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51" w:rsidRPr="00293FE9" w:rsidRDefault="005C0E7F" w:rsidP="00120951">
      <w:pPr>
        <w:spacing w:after="360"/>
        <w:jc w:val="right"/>
        <w:rPr>
          <w:rFonts w:ascii="Arial" w:hAnsi="Arial" w:cs="Arial"/>
          <w:color w:val="127547"/>
          <w:sz w:val="36"/>
          <w:szCs w:val="36"/>
        </w:rPr>
      </w:pPr>
      <w:bookmarkStart w:id="0" w:name="_GoBack"/>
      <w:bookmarkEnd w:id="0"/>
      <w:r>
        <w:rPr>
          <w:rFonts w:ascii="Arial" w:hAnsi="Arial" w:cs="Arial"/>
          <w:noProof/>
          <w:color w:val="008166"/>
          <w:sz w:val="36"/>
          <w:szCs w:val="36"/>
          <w:lang w:eastAsia="en-US"/>
        </w:rPr>
        <mc:AlternateContent>
          <mc:Choice Requires="wps">
            <w:drawing>
              <wp:anchor distT="0" distB="0" distL="114300" distR="114300" simplePos="0" relativeHeight="251659264" behindDoc="0" locked="0" layoutInCell="1" allowOverlap="1">
                <wp:simplePos x="0" y="0"/>
                <wp:positionH relativeFrom="column">
                  <wp:posOffset>4857750</wp:posOffset>
                </wp:positionH>
                <wp:positionV relativeFrom="paragraph">
                  <wp:posOffset>381635</wp:posOffset>
                </wp:positionV>
                <wp:extent cx="2047875" cy="342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42900"/>
                        </a:xfrm>
                        <a:prstGeom prst="rect">
                          <a:avLst/>
                        </a:prstGeom>
                        <a:solidFill>
                          <a:srgbClr val="FFFFFF"/>
                        </a:solidFill>
                        <a:ln w="9525">
                          <a:noFill/>
                          <a:miter lim="800000"/>
                          <a:headEnd/>
                          <a:tailEnd/>
                        </a:ln>
                      </wps:spPr>
                      <wps:txbx>
                        <w:txbxContent>
                          <w:p w:rsidR="00FF08E7" w:rsidRPr="001B58BE" w:rsidRDefault="00E75655" w:rsidP="00116020">
                            <w:pPr>
                              <w:jc w:val="right"/>
                              <w:rPr>
                                <w:b/>
                                <w:i/>
                                <w:sz w:val="32"/>
                                <w:szCs w:val="32"/>
                              </w:rPr>
                            </w:pPr>
                            <w:r>
                              <w:rPr>
                                <w:b/>
                                <w:i/>
                                <w:sz w:val="32"/>
                                <w:szCs w:val="32"/>
                              </w:rPr>
                              <w:t>September</w:t>
                            </w:r>
                            <w:r w:rsidR="00FF08E7" w:rsidRPr="001B58BE">
                              <w:rPr>
                                <w:b/>
                                <w:i/>
                                <w:sz w:val="32"/>
                                <w:szCs w:val="32"/>
                              </w:rPr>
                              <w:t xml:space="preserve"> 30, 2013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5pt;margin-top:30.05pt;width:16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dgIQIAAB0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" stroked="f">
                <v:textbox>
                  <w:txbxContent>
                    <w:p w:rsidR="00FF08E7" w:rsidRPr="001B58BE" w:rsidRDefault="00E75655" w:rsidP="00116020">
                      <w:pPr>
                        <w:jc w:val="right"/>
                        <w:rPr>
                          <w:b/>
                          <w:i/>
                          <w:sz w:val="32"/>
                          <w:szCs w:val="32"/>
                        </w:rPr>
                      </w:pPr>
                      <w:r>
                        <w:rPr>
                          <w:b/>
                          <w:i/>
                          <w:sz w:val="32"/>
                          <w:szCs w:val="32"/>
                        </w:rPr>
                        <w:t>September</w:t>
                      </w:r>
                      <w:r w:rsidR="00FF08E7" w:rsidRPr="001B58BE">
                        <w:rPr>
                          <w:b/>
                          <w:i/>
                          <w:sz w:val="32"/>
                          <w:szCs w:val="32"/>
                        </w:rPr>
                        <w:t xml:space="preserve"> 30, 2013</w:t>
                      </w:r>
                    </w:p>
                  </w:txbxContent>
                </v:textbox>
              </v:shape>
            </w:pict>
          </mc:Fallback>
        </mc:AlternateContent>
      </w:r>
      <w:r w:rsidR="00120951" w:rsidRPr="00956975">
        <w:rPr>
          <w:rFonts w:ascii="Arial" w:hAnsi="Arial" w:cs="Arial"/>
          <w:noProof/>
          <w:color w:val="008166"/>
          <w:sz w:val="36"/>
          <w:szCs w:val="36"/>
          <w:lang w:eastAsia="en-US"/>
        </w:rPr>
        <w:drawing>
          <wp:anchor distT="0" distB="0" distL="114300" distR="114300" simplePos="0" relativeHeight="251675648" behindDoc="0" locked="0" layoutInCell="1" allowOverlap="1">
            <wp:simplePos x="0" y="0"/>
            <wp:positionH relativeFrom="column">
              <wp:posOffset>1009650</wp:posOffset>
            </wp:positionH>
            <wp:positionV relativeFrom="paragraph">
              <wp:posOffset>-94615</wp:posOffset>
            </wp:positionV>
            <wp:extent cx="1485900" cy="1238250"/>
            <wp:effectExtent l="19050" t="0" r="0" b="0"/>
            <wp:wrapNone/>
            <wp:docPr id="4" name="Picture 4" descr="Bucyrus Area Commun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cyrus Area Community Foundation"/>
                    <pic:cNvPicPr>
                      <a:picLocks noChangeAspect="1" noChangeArrowheads="1"/>
                    </pic:cNvPicPr>
                  </pic:nvPicPr>
                  <pic:blipFill>
                    <a:blip r:embed="rId9" cstate="print"/>
                    <a:srcRect t="58766"/>
                    <a:stretch>
                      <a:fillRect/>
                    </a:stretch>
                  </pic:blipFill>
                  <pic:spPr bwMode="auto">
                    <a:xfrm>
                      <a:off x="0" y="0"/>
                      <a:ext cx="1485900" cy="1238250"/>
                    </a:xfrm>
                    <a:prstGeom prst="rect">
                      <a:avLst/>
                    </a:prstGeom>
                    <a:noFill/>
                    <a:ln w="9525">
                      <a:noFill/>
                      <a:miter lim="800000"/>
                      <a:headEnd/>
                      <a:tailEnd/>
                    </a:ln>
                  </pic:spPr>
                </pic:pic>
              </a:graphicData>
            </a:graphic>
          </wp:anchor>
        </w:drawing>
      </w:r>
      <w:r w:rsidR="00120951" w:rsidRPr="00956975">
        <w:rPr>
          <w:rFonts w:ascii="Arial" w:hAnsi="Arial" w:cs="Arial"/>
          <w:noProof/>
          <w:color w:val="008166"/>
          <w:sz w:val="36"/>
          <w:szCs w:val="36"/>
          <w:lang w:eastAsia="en-US"/>
        </w:rPr>
        <w:drawing>
          <wp:anchor distT="0" distB="0" distL="114300" distR="114300" simplePos="0" relativeHeight="251673600" behindDoc="0" locked="0" layoutInCell="1" allowOverlap="1">
            <wp:simplePos x="0" y="0"/>
            <wp:positionH relativeFrom="column">
              <wp:posOffset>-114300</wp:posOffset>
            </wp:positionH>
            <wp:positionV relativeFrom="paragraph">
              <wp:posOffset>-37465</wp:posOffset>
            </wp:positionV>
            <wp:extent cx="1085850" cy="1285875"/>
            <wp:effectExtent l="19050" t="0" r="0" b="0"/>
            <wp:wrapNone/>
            <wp:docPr id="1" name="Picture 1" descr="Bucyrus Area Commun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yrus Area Community Foundation"/>
                    <pic:cNvPicPr>
                      <a:picLocks noChangeAspect="1" noChangeArrowheads="1"/>
                    </pic:cNvPicPr>
                  </pic:nvPicPr>
                  <pic:blipFill>
                    <a:blip r:embed="rId9" cstate="print"/>
                    <a:srcRect b="41492"/>
                    <a:stretch>
                      <a:fillRect/>
                    </a:stretch>
                  </pic:blipFill>
                  <pic:spPr bwMode="auto">
                    <a:xfrm>
                      <a:off x="0" y="0"/>
                      <a:ext cx="1085850" cy="1285875"/>
                    </a:xfrm>
                    <a:prstGeom prst="rect">
                      <a:avLst/>
                    </a:prstGeom>
                    <a:noFill/>
                    <a:ln w="9525">
                      <a:noFill/>
                      <a:miter lim="800000"/>
                      <a:headEnd/>
                      <a:tailEnd/>
                    </a:ln>
                  </pic:spPr>
                </pic:pic>
              </a:graphicData>
            </a:graphic>
          </wp:anchor>
        </w:drawing>
      </w:r>
      <w:r w:rsidR="00120951" w:rsidRPr="00956975">
        <w:rPr>
          <w:rFonts w:ascii="Arial" w:hAnsi="Arial" w:cs="Arial"/>
          <w:color w:val="008166"/>
          <w:sz w:val="36"/>
          <w:szCs w:val="36"/>
        </w:rPr>
        <w:t xml:space="preserve"> </w:t>
      </w:r>
      <w:r w:rsidR="00120951" w:rsidRPr="00293FE9">
        <w:rPr>
          <w:rFonts w:ascii="Arial" w:hAnsi="Arial" w:cs="Arial"/>
          <w:color w:val="127547"/>
          <w:sz w:val="36"/>
          <w:szCs w:val="36"/>
        </w:rPr>
        <w:t>Endowment Summary</w:t>
      </w:r>
      <w:r w:rsidR="00120951" w:rsidRPr="00293FE9">
        <w:rPr>
          <w:rFonts w:ascii="Arial" w:hAnsi="Arial" w:cs="Arial"/>
          <w:noProof/>
          <w:color w:val="127547"/>
          <w:sz w:val="36"/>
          <w:szCs w:val="36"/>
          <w:lang w:eastAsia="en-US"/>
        </w:rPr>
        <w:t xml:space="preserve"> </w:t>
      </w:r>
    </w:p>
    <w:p w:rsidR="00E75F7E" w:rsidRPr="00116020" w:rsidRDefault="00116020" w:rsidP="00A747F7">
      <w:pPr>
        <w:spacing w:after="360"/>
        <w:jc w:val="both"/>
        <w:sectPr w:rsidR="00E75F7E" w:rsidRPr="00116020" w:rsidSect="004C3C6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432" w:left="720" w:header="720" w:footer="720" w:gutter="0"/>
          <w:cols w:space="36"/>
          <w:docGrid w:linePitch="360"/>
        </w:sectPr>
      </w:pPr>
      <w:r>
        <w:rPr>
          <w:rFonts w:ascii="Arial" w:hAnsi="Arial" w:cs="Arial"/>
          <w:color w:val="92D050"/>
          <w:sz w:val="36"/>
          <w:szCs w:val="36"/>
        </w:rPr>
        <w:tab/>
      </w:r>
      <w:r>
        <w:rPr>
          <w:rFonts w:ascii="Arial" w:hAnsi="Arial" w:cs="Arial"/>
          <w:color w:val="92D050"/>
          <w:sz w:val="36"/>
          <w:szCs w:val="36"/>
        </w:rPr>
        <w:tab/>
      </w:r>
    </w:p>
    <w:p w:rsidR="001B07FF" w:rsidRPr="009F7ABA" w:rsidRDefault="00120951" w:rsidP="00407052">
      <w:pPr>
        <w:spacing w:before="240" w:after="120"/>
        <w:jc w:val="both"/>
        <w:rPr>
          <w:rFonts w:ascii="Arial" w:hAnsi="Arial" w:cs="Arial"/>
          <w:b/>
          <w:sz w:val="24"/>
          <w:szCs w:val="28"/>
        </w:rPr>
      </w:pPr>
      <w:r>
        <w:rPr>
          <w:rFonts w:ascii="Arial" w:hAnsi="Arial" w:cs="Arial"/>
          <w:b/>
          <w:sz w:val="24"/>
          <w:szCs w:val="28"/>
        </w:rPr>
        <w:lastRenderedPageBreak/>
        <w:br/>
      </w:r>
      <w:r w:rsidR="001B58BE">
        <w:rPr>
          <w:rFonts w:ascii="Arial" w:hAnsi="Arial" w:cs="Arial"/>
          <w:b/>
          <w:sz w:val="24"/>
          <w:szCs w:val="28"/>
        </w:rPr>
        <w:br/>
      </w:r>
      <w:r w:rsidR="00C9409A" w:rsidRPr="009F7ABA">
        <w:rPr>
          <w:rFonts w:ascii="Arial" w:hAnsi="Arial" w:cs="Arial"/>
          <w:b/>
          <w:sz w:val="24"/>
          <w:szCs w:val="28"/>
        </w:rPr>
        <w:t>Asset Allocation</w:t>
      </w:r>
    </w:p>
    <w:p w:rsidR="009D3166" w:rsidRPr="009D3166" w:rsidRDefault="00955B27" w:rsidP="009D3166">
      <w:pPr>
        <w:spacing w:after="0" w:line="240" w:lineRule="auto"/>
        <w:jc w:val="both"/>
        <w:rPr>
          <w:rFonts w:ascii="ArialMT" w:hAnsi="ArialMT" w:cs="Arial"/>
          <w:sz w:val="20"/>
          <w:szCs w:val="20"/>
        </w:rPr>
      </w:pPr>
      <w:r w:rsidRPr="00955B27">
        <w:rPr>
          <w:noProof/>
          <w:szCs w:val="20"/>
          <w:lang w:eastAsia="en-US"/>
        </w:rPr>
        <w:drawing>
          <wp:anchor distT="0" distB="0" distL="114300" distR="114300" simplePos="0" relativeHeight="251680768" behindDoc="0" locked="0" layoutInCell="1" allowOverlap="1">
            <wp:simplePos x="0" y="0"/>
            <wp:positionH relativeFrom="column">
              <wp:posOffset>771525</wp:posOffset>
            </wp:positionH>
            <wp:positionV relativeFrom="paragraph">
              <wp:posOffset>821690</wp:posOffset>
            </wp:positionV>
            <wp:extent cx="3200400" cy="1771650"/>
            <wp:effectExtent l="0" t="0" r="0" b="0"/>
            <wp:wrapThrough wrapText="bothSides">
              <wp:wrapPolygon edited="0">
                <wp:start x="11829" y="1394"/>
                <wp:lineTo x="9386" y="2787"/>
                <wp:lineTo x="7329" y="4413"/>
                <wp:lineTo x="6943" y="6271"/>
                <wp:lineTo x="6171" y="8826"/>
                <wp:lineTo x="6043" y="12542"/>
                <wp:lineTo x="6686" y="16258"/>
                <wp:lineTo x="6686" y="16723"/>
                <wp:lineTo x="9000" y="19974"/>
                <wp:lineTo x="9771" y="20206"/>
                <wp:lineTo x="9900" y="20206"/>
                <wp:lineTo x="12471" y="20206"/>
                <wp:lineTo x="12600" y="20206"/>
                <wp:lineTo x="12986" y="19974"/>
                <wp:lineTo x="13500" y="19974"/>
                <wp:lineTo x="15557" y="16955"/>
                <wp:lineTo x="15686" y="16258"/>
                <wp:lineTo x="16329" y="13006"/>
                <wp:lineTo x="16457" y="12542"/>
                <wp:lineTo x="16329" y="8826"/>
                <wp:lineTo x="18771" y="5342"/>
                <wp:lineTo x="18900" y="4413"/>
                <wp:lineTo x="15171" y="1394"/>
                <wp:lineTo x="11829" y="1394"/>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200400" cy="1771650"/>
                    </a:xfrm>
                    <a:prstGeom prst="rect">
                      <a:avLst/>
                    </a:prstGeom>
                    <a:noFill/>
                    <a:ln w="9525">
                      <a:noFill/>
                      <a:miter lim="800000"/>
                      <a:headEnd/>
                      <a:tailEnd/>
                    </a:ln>
                  </pic:spPr>
                </pic:pic>
              </a:graphicData>
            </a:graphic>
          </wp:anchor>
        </w:drawing>
      </w:r>
      <w:r w:rsidR="00FF08E7">
        <w:rPr>
          <w:rFonts w:ascii="ArialMT" w:hAnsi="ArialMT" w:cs="Arial"/>
          <w:sz w:val="20"/>
          <w:szCs w:val="20"/>
        </w:rPr>
        <w:t xml:space="preserve">As </w:t>
      </w:r>
      <w:r w:rsidR="00E75655">
        <w:rPr>
          <w:rFonts w:ascii="ArialMT" w:hAnsi="ArialMT" w:cs="Arial"/>
          <w:sz w:val="20"/>
          <w:szCs w:val="20"/>
        </w:rPr>
        <w:t>3</w:t>
      </w:r>
      <w:r w:rsidR="00E75655" w:rsidRPr="00E75655">
        <w:rPr>
          <w:rFonts w:ascii="ArialMT" w:hAnsi="ArialMT" w:cs="Arial"/>
          <w:sz w:val="20"/>
          <w:szCs w:val="20"/>
          <w:vertAlign w:val="superscript"/>
        </w:rPr>
        <w:t>rd</w:t>
      </w:r>
      <w:r w:rsidR="00E75655">
        <w:rPr>
          <w:rFonts w:ascii="ArialMT" w:hAnsi="ArialMT" w:cs="Arial"/>
          <w:sz w:val="20"/>
          <w:szCs w:val="20"/>
          <w:vertAlign w:val="superscript"/>
        </w:rPr>
        <w:t xml:space="preserve"> </w:t>
      </w:r>
      <w:r w:rsidR="00E75655">
        <w:rPr>
          <w:rFonts w:ascii="ArialMT" w:hAnsi="ArialMT" w:cs="Arial"/>
          <w:sz w:val="20"/>
          <w:szCs w:val="20"/>
        </w:rPr>
        <w:t xml:space="preserve">quarter </w:t>
      </w:r>
      <w:r w:rsidR="00FF08E7">
        <w:rPr>
          <w:rFonts w:ascii="ArialMT" w:hAnsi="ArialMT" w:cs="Arial"/>
          <w:sz w:val="20"/>
          <w:szCs w:val="20"/>
        </w:rPr>
        <w:t>2013</w:t>
      </w:r>
      <w:r w:rsidR="009D3166" w:rsidRPr="009D3166">
        <w:rPr>
          <w:rFonts w:ascii="ArialMT" w:hAnsi="ArialMT" w:cs="Arial"/>
          <w:sz w:val="20"/>
          <w:szCs w:val="20"/>
        </w:rPr>
        <w:t xml:space="preserve"> came to a close, the Foundation’s Endowment remained broadly diversified across equity, fixed income, and alternati</w:t>
      </w:r>
      <w:r w:rsidR="005673EE">
        <w:rPr>
          <w:rFonts w:ascii="ArialMT" w:hAnsi="ArialMT" w:cs="Arial"/>
          <w:sz w:val="20"/>
          <w:szCs w:val="20"/>
        </w:rPr>
        <w:t>ve investments. Nearly 70</w:t>
      </w:r>
      <w:r w:rsidR="009D3166" w:rsidRPr="009D3166">
        <w:rPr>
          <w:rFonts w:ascii="ArialMT" w:hAnsi="ArialMT" w:cs="Arial"/>
          <w:sz w:val="20"/>
          <w:szCs w:val="20"/>
        </w:rPr>
        <w:t>% was invested in mutual funds containing equities (i.e., stocks) with exposure to international markets and various inve</w:t>
      </w:r>
      <w:r w:rsidR="00664CDC">
        <w:rPr>
          <w:rFonts w:ascii="ArialMT" w:hAnsi="ArialMT" w:cs="Arial"/>
          <w:sz w:val="20"/>
          <w:szCs w:val="20"/>
        </w:rPr>
        <w:t>stment styles. Approximately 16</w:t>
      </w:r>
      <w:r w:rsidR="005673EE">
        <w:rPr>
          <w:rFonts w:ascii="ArialMT" w:hAnsi="ArialMT" w:cs="Arial"/>
          <w:sz w:val="20"/>
          <w:szCs w:val="20"/>
        </w:rPr>
        <w:t>%</w:t>
      </w:r>
      <w:r w:rsidR="009D3166" w:rsidRPr="009D3166">
        <w:rPr>
          <w:rFonts w:ascii="ArialMT" w:hAnsi="ArialMT" w:cs="Arial"/>
          <w:sz w:val="20"/>
          <w:szCs w:val="20"/>
        </w:rPr>
        <w:t xml:space="preserve"> of the Endowment was positioned in mutual funds containing fixed income (i.e., bond) securities and cash, and the remainder of the portfolio was invested in mutual funds containing alternative assets, such as energy, natural resources and commodities. </w:t>
      </w:r>
    </w:p>
    <w:p w:rsidR="00904941" w:rsidRDefault="00904941" w:rsidP="009D3166">
      <w:pPr>
        <w:spacing w:after="0" w:line="240" w:lineRule="auto"/>
        <w:jc w:val="both"/>
        <w:rPr>
          <w:rFonts w:ascii="Arial" w:hAnsi="Arial" w:cs="Arial"/>
          <w:b/>
          <w:sz w:val="24"/>
          <w:szCs w:val="28"/>
        </w:rPr>
      </w:pPr>
    </w:p>
    <w:p w:rsidR="005673EE" w:rsidRDefault="005673EE" w:rsidP="00BE5FB4">
      <w:pPr>
        <w:spacing w:after="120"/>
        <w:jc w:val="both"/>
        <w:rPr>
          <w:rFonts w:ascii="Arial" w:hAnsi="Arial" w:cs="Arial"/>
          <w:b/>
          <w:sz w:val="24"/>
          <w:szCs w:val="28"/>
        </w:rPr>
      </w:pPr>
    </w:p>
    <w:p w:rsidR="00BE5FB4" w:rsidRDefault="00BE5FB4" w:rsidP="00BE5FB4">
      <w:pPr>
        <w:spacing w:after="120"/>
        <w:jc w:val="both"/>
        <w:rPr>
          <w:rFonts w:ascii="Arial" w:hAnsi="Arial" w:cs="Arial"/>
          <w:b/>
          <w:sz w:val="24"/>
          <w:szCs w:val="28"/>
        </w:rPr>
      </w:pPr>
      <w:r>
        <w:rPr>
          <w:rFonts w:ascii="Arial" w:hAnsi="Arial" w:cs="Arial"/>
          <w:b/>
          <w:sz w:val="24"/>
          <w:szCs w:val="28"/>
        </w:rPr>
        <w:t>Performance</w:t>
      </w:r>
    </w:p>
    <w:p w:rsidR="00BE5FB4" w:rsidRPr="00904941" w:rsidRDefault="00955B27" w:rsidP="00BE5FB4">
      <w:pPr>
        <w:spacing w:after="0" w:line="240" w:lineRule="auto"/>
        <w:jc w:val="both"/>
        <w:rPr>
          <w:rFonts w:ascii="Arial" w:hAnsi="Arial" w:cs="Arial"/>
          <w:b/>
          <w:sz w:val="24"/>
          <w:szCs w:val="28"/>
        </w:rPr>
      </w:pPr>
      <w:r w:rsidRPr="00955B27">
        <w:rPr>
          <w:noProof/>
          <w:lang w:eastAsia="en-US"/>
        </w:rPr>
        <w:drawing>
          <wp:anchor distT="0" distB="0" distL="114300" distR="114300" simplePos="0" relativeHeight="251679744" behindDoc="1" locked="0" layoutInCell="1" allowOverlap="1">
            <wp:simplePos x="0" y="0"/>
            <wp:positionH relativeFrom="column">
              <wp:posOffset>-123825</wp:posOffset>
            </wp:positionH>
            <wp:positionV relativeFrom="paragraph">
              <wp:posOffset>821690</wp:posOffset>
            </wp:positionV>
            <wp:extent cx="3314700" cy="276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314700" cy="2762250"/>
                    </a:xfrm>
                    <a:prstGeom prst="rect">
                      <a:avLst/>
                    </a:prstGeom>
                    <a:noFill/>
                    <a:ln w="9525">
                      <a:noFill/>
                      <a:miter lim="800000"/>
                      <a:headEnd/>
                      <a:tailEnd/>
                    </a:ln>
                  </pic:spPr>
                </pic:pic>
              </a:graphicData>
            </a:graphic>
          </wp:anchor>
        </w:drawing>
      </w:r>
      <w:r w:rsidR="00BE5FB4">
        <w:rPr>
          <w:rFonts w:ascii="ArialMT" w:eastAsiaTheme="minorHAnsi" w:hAnsi="ArialMT" w:cs="ArialMT"/>
          <w:sz w:val="20"/>
          <w:lang w:eastAsia="en-US"/>
        </w:rPr>
        <w:t>Perfor</w:t>
      </w:r>
      <w:r w:rsidR="00211C0E">
        <w:rPr>
          <w:rFonts w:ascii="ArialMT" w:eastAsiaTheme="minorHAnsi" w:hAnsi="ArialMT" w:cs="ArialMT"/>
          <w:sz w:val="20"/>
          <w:lang w:eastAsia="en-US"/>
        </w:rPr>
        <w:t>ma</w:t>
      </w:r>
      <w:r w:rsidR="001A5AB6">
        <w:rPr>
          <w:rFonts w:ascii="ArialMT" w:eastAsiaTheme="minorHAnsi" w:hAnsi="ArialMT" w:cs="ArialMT"/>
          <w:sz w:val="20"/>
          <w:lang w:eastAsia="en-US"/>
        </w:rPr>
        <w:t>nce</w:t>
      </w:r>
      <w:r w:rsidR="00E3531D">
        <w:rPr>
          <w:rFonts w:ascii="ArialMT" w:eastAsiaTheme="minorHAnsi" w:hAnsi="ArialMT" w:cs="ArialMT"/>
          <w:sz w:val="20"/>
          <w:lang w:eastAsia="en-US"/>
        </w:rPr>
        <w:t xml:space="preserve"> of the Endowment year-to-date</w:t>
      </w:r>
      <w:r w:rsidR="001A5AB6">
        <w:rPr>
          <w:rFonts w:ascii="ArialMT" w:eastAsiaTheme="minorHAnsi" w:hAnsi="ArialMT" w:cs="ArialMT"/>
          <w:sz w:val="20"/>
          <w:lang w:eastAsia="en-US"/>
        </w:rPr>
        <w:t xml:space="preserve"> 2013</w:t>
      </w:r>
      <w:r w:rsidR="00BE5FB4">
        <w:rPr>
          <w:rFonts w:ascii="ArialMT" w:eastAsiaTheme="minorHAnsi" w:hAnsi="ArialMT" w:cs="ArialMT"/>
          <w:sz w:val="20"/>
          <w:lang w:eastAsia="en-US"/>
        </w:rPr>
        <w:t xml:space="preserve"> </w:t>
      </w:r>
      <w:r w:rsidR="00331B71">
        <w:rPr>
          <w:rFonts w:ascii="ArialMT" w:eastAsiaTheme="minorHAnsi" w:hAnsi="ArialMT" w:cs="ArialMT"/>
          <w:sz w:val="20"/>
          <w:lang w:eastAsia="en-US"/>
        </w:rPr>
        <w:t xml:space="preserve">was </w:t>
      </w:r>
      <w:r w:rsidR="00771C79">
        <w:rPr>
          <w:rFonts w:ascii="ArialMT" w:eastAsiaTheme="minorHAnsi" w:hAnsi="ArialMT" w:cs="ArialMT"/>
          <w:sz w:val="20"/>
          <w:lang w:eastAsia="en-US"/>
        </w:rPr>
        <w:t>13.33</w:t>
      </w:r>
      <w:r w:rsidR="00DE29EC">
        <w:rPr>
          <w:rFonts w:ascii="ArialMT" w:eastAsiaTheme="minorHAnsi" w:hAnsi="ArialMT" w:cs="ArialMT"/>
          <w:sz w:val="20"/>
          <w:lang w:eastAsia="en-US"/>
        </w:rPr>
        <w:t>%, outperforming the benchmark</w:t>
      </w:r>
      <w:r w:rsidR="00E3531D">
        <w:rPr>
          <w:rFonts w:ascii="ArialMT" w:eastAsiaTheme="minorHAnsi" w:hAnsi="ArialMT" w:cs="ArialMT"/>
          <w:sz w:val="20"/>
          <w:lang w:eastAsia="en-US"/>
        </w:rPr>
        <w:t xml:space="preserve"> (</w:t>
      </w:r>
      <w:r w:rsidR="00771C79">
        <w:rPr>
          <w:rFonts w:ascii="ArialMT" w:eastAsiaTheme="minorHAnsi" w:hAnsi="ArialMT" w:cs="ArialMT"/>
          <w:sz w:val="20"/>
          <w:lang w:eastAsia="en-US"/>
        </w:rPr>
        <w:t>10.14</w:t>
      </w:r>
      <w:r w:rsidR="00BE5FB4">
        <w:rPr>
          <w:rFonts w:ascii="ArialMT" w:eastAsiaTheme="minorHAnsi" w:hAnsi="ArialMT" w:cs="ArialMT"/>
          <w:sz w:val="20"/>
          <w:lang w:eastAsia="en-US"/>
        </w:rPr>
        <w:t xml:space="preserve">%).   </w:t>
      </w:r>
      <w:r w:rsidR="00331B71">
        <w:rPr>
          <w:rFonts w:ascii="ArialMT" w:eastAsiaTheme="minorHAnsi" w:hAnsi="ArialMT" w:cs="ArialMT"/>
          <w:sz w:val="20"/>
          <w:lang w:eastAsia="en-US"/>
        </w:rPr>
        <w:t>Most equity asset classes had double digit ret</w:t>
      </w:r>
      <w:r w:rsidR="00E3531D">
        <w:rPr>
          <w:rFonts w:ascii="ArialMT" w:eastAsiaTheme="minorHAnsi" w:hAnsi="ArialMT" w:cs="ArialMT"/>
          <w:sz w:val="20"/>
          <w:lang w:eastAsia="en-US"/>
        </w:rPr>
        <w:t>urns in 2013</w:t>
      </w:r>
      <w:r w:rsidR="001A5AB6">
        <w:rPr>
          <w:rFonts w:ascii="ArialMT" w:eastAsiaTheme="minorHAnsi" w:hAnsi="ArialMT" w:cs="ArialMT"/>
          <w:sz w:val="20"/>
          <w:lang w:eastAsia="en-US"/>
        </w:rPr>
        <w:t xml:space="preserve">. Domestic equities </w:t>
      </w:r>
      <w:r w:rsidR="00E3531D">
        <w:rPr>
          <w:rFonts w:ascii="ArialMT" w:eastAsiaTheme="minorHAnsi" w:hAnsi="ArialMT" w:cs="ArialMT"/>
          <w:sz w:val="20"/>
          <w:lang w:eastAsia="en-US"/>
        </w:rPr>
        <w:t xml:space="preserve">well </w:t>
      </w:r>
      <w:r w:rsidR="00331B71">
        <w:rPr>
          <w:rFonts w:ascii="ArialMT" w:eastAsiaTheme="minorHAnsi" w:hAnsi="ArialMT" w:cs="ArialMT"/>
          <w:sz w:val="20"/>
          <w:lang w:eastAsia="en-US"/>
        </w:rPr>
        <w:t>outper</w:t>
      </w:r>
      <w:r w:rsidR="001A5AB6">
        <w:rPr>
          <w:rFonts w:ascii="ArialMT" w:eastAsiaTheme="minorHAnsi" w:hAnsi="ArialMT" w:cs="ArialMT"/>
          <w:sz w:val="20"/>
          <w:lang w:eastAsia="en-US"/>
        </w:rPr>
        <w:t>forme</w:t>
      </w:r>
      <w:r w:rsidR="006A23F9">
        <w:rPr>
          <w:rFonts w:ascii="ArialMT" w:eastAsiaTheme="minorHAnsi" w:hAnsi="ArialMT" w:cs="ArialMT"/>
          <w:sz w:val="20"/>
          <w:lang w:eastAsia="en-US"/>
        </w:rPr>
        <w:t>d int</w:t>
      </w:r>
      <w:r w:rsidR="00E3531D">
        <w:rPr>
          <w:rFonts w:ascii="ArialMT" w:eastAsiaTheme="minorHAnsi" w:hAnsi="ArialMT" w:cs="ArialMT"/>
          <w:sz w:val="20"/>
          <w:lang w:eastAsia="en-US"/>
        </w:rPr>
        <w:t xml:space="preserve">ernational equities </w:t>
      </w:r>
      <w:r w:rsidR="00771C79">
        <w:rPr>
          <w:rFonts w:ascii="ArialMT" w:eastAsiaTheme="minorHAnsi" w:hAnsi="ArialMT" w:cs="ArialMT"/>
          <w:sz w:val="20"/>
          <w:lang w:eastAsia="en-US"/>
        </w:rPr>
        <w:t>year-to-date</w:t>
      </w:r>
      <w:r w:rsidR="00331B71">
        <w:rPr>
          <w:rFonts w:ascii="ArialMT" w:eastAsiaTheme="minorHAnsi" w:hAnsi="ArialMT" w:cs="ArialMT"/>
          <w:sz w:val="20"/>
          <w:lang w:eastAsia="en-US"/>
        </w:rPr>
        <w:t xml:space="preserve">. </w:t>
      </w:r>
      <w:r w:rsidR="00BE5FB4">
        <w:rPr>
          <w:rFonts w:ascii="ArialMT" w:eastAsiaTheme="minorHAnsi" w:hAnsi="ArialMT" w:cs="ArialMT"/>
          <w:sz w:val="20"/>
          <w:lang w:eastAsia="en-US"/>
        </w:rPr>
        <w:t>The Foundation remains confident it is investing to both preserve and grow the Endowment for the long-term.</w:t>
      </w:r>
    </w:p>
    <w:p w:rsidR="009D3166" w:rsidRPr="00904941" w:rsidRDefault="009D3166" w:rsidP="00BE5FB4">
      <w:pPr>
        <w:spacing w:after="0" w:line="240" w:lineRule="auto"/>
        <w:jc w:val="both"/>
        <w:rPr>
          <w:rFonts w:ascii="Arial" w:hAnsi="Arial" w:cs="Arial"/>
          <w:b/>
          <w:sz w:val="24"/>
          <w:szCs w:val="28"/>
        </w:rPr>
      </w:pPr>
      <w:r>
        <w:rPr>
          <w:rFonts w:ascii="ArialMT" w:eastAsiaTheme="minorHAnsi" w:hAnsi="ArialMT" w:cs="ArialMT"/>
          <w:sz w:val="20"/>
          <w:lang w:eastAsia="en-US"/>
        </w:rPr>
        <w:br/>
      </w:r>
    </w:p>
    <w:p w:rsidR="009D3166" w:rsidRDefault="009D3166" w:rsidP="009D3166">
      <w:pPr>
        <w:spacing w:after="0" w:line="240" w:lineRule="auto"/>
        <w:jc w:val="both"/>
        <w:rPr>
          <w:rFonts w:ascii="ArialMT" w:eastAsiaTheme="minorHAnsi" w:hAnsi="ArialMT" w:cs="ArialMT"/>
          <w:sz w:val="20"/>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Default="009D3166" w:rsidP="009D3166">
      <w:pPr>
        <w:spacing w:after="0" w:line="240" w:lineRule="auto"/>
        <w:jc w:val="both"/>
        <w:rPr>
          <w:rFonts w:ascii="ArialMT" w:eastAsiaTheme="minorHAnsi" w:hAnsi="ArialMT" w:cs="ArialMT"/>
          <w:sz w:val="12"/>
          <w:szCs w:val="12"/>
          <w:lang w:eastAsia="en-US"/>
        </w:rPr>
      </w:pPr>
    </w:p>
    <w:p w:rsidR="009D3166" w:rsidRPr="009D3166" w:rsidRDefault="00544FC1" w:rsidP="009D3166">
      <w:pPr>
        <w:spacing w:after="0" w:line="240" w:lineRule="auto"/>
        <w:jc w:val="both"/>
        <w:rPr>
          <w:rFonts w:ascii="ArialMT" w:eastAsiaTheme="minorHAnsi" w:hAnsi="ArialMT" w:cs="ArialMT"/>
          <w:sz w:val="12"/>
          <w:szCs w:val="12"/>
          <w:lang w:eastAsia="en-US"/>
        </w:rPr>
      </w:pPr>
      <w:r>
        <w:rPr>
          <w:rFonts w:ascii="ArialMT" w:eastAsiaTheme="minorHAnsi" w:hAnsi="ArialMT" w:cs="ArialMT"/>
          <w:sz w:val="12"/>
          <w:szCs w:val="12"/>
          <w:lang w:eastAsia="en-US"/>
        </w:rPr>
        <w:br/>
      </w:r>
      <w:r w:rsidR="009D3166" w:rsidRPr="009D3166">
        <w:rPr>
          <w:rFonts w:ascii="ArialMT" w:eastAsiaTheme="minorHAnsi" w:hAnsi="ArialMT" w:cs="ArialMT"/>
          <w:sz w:val="12"/>
          <w:szCs w:val="12"/>
          <w:lang w:eastAsia="en-US"/>
        </w:rPr>
        <w:t>*E</w:t>
      </w:r>
      <w:r w:rsidR="00293FE9">
        <w:rPr>
          <w:rFonts w:ascii="ArialMT" w:eastAsiaTheme="minorHAnsi" w:hAnsi="ArialMT" w:cs="ArialMT"/>
          <w:sz w:val="12"/>
          <w:szCs w:val="12"/>
          <w:lang w:eastAsia="en-US"/>
        </w:rPr>
        <w:t>ndowment returns as reported by the Consultant, Mason Investment Advisory Services, using the time-weighted return method of calculation</w:t>
      </w:r>
    </w:p>
    <w:p w:rsidR="00BE5FB4" w:rsidRPr="00331B71" w:rsidRDefault="009D3166" w:rsidP="00331B71">
      <w:pPr>
        <w:spacing w:after="0" w:line="240" w:lineRule="auto"/>
        <w:jc w:val="both"/>
        <w:rPr>
          <w:rFonts w:ascii="ArialMT" w:eastAsiaTheme="minorHAnsi" w:hAnsi="ArialMT" w:cs="ArialMT"/>
          <w:sz w:val="12"/>
          <w:szCs w:val="12"/>
          <w:lang w:eastAsia="en-US"/>
        </w:rPr>
      </w:pPr>
      <w:r w:rsidRPr="009D3166">
        <w:rPr>
          <w:rFonts w:ascii="ArialMT" w:eastAsiaTheme="minorHAnsi" w:hAnsi="ArialMT" w:cs="ArialMT"/>
          <w:sz w:val="12"/>
          <w:szCs w:val="12"/>
          <w:lang w:eastAsia="en-US"/>
        </w:rPr>
        <w:t>**Benchmark represents average return of all community foundations between $5 mm and $24.9 mm in assets that participated in COF surve</w:t>
      </w:r>
      <w:r>
        <w:rPr>
          <w:rFonts w:ascii="ArialMT" w:eastAsiaTheme="minorHAnsi" w:hAnsi="ArialMT" w:cs="ArialMT"/>
          <w:sz w:val="12"/>
          <w:szCs w:val="12"/>
          <w:lang w:eastAsia="en-US"/>
        </w:rPr>
        <w:t>y</w:t>
      </w:r>
    </w:p>
    <w:p w:rsidR="00AB5CA8" w:rsidRDefault="00AB5CA8" w:rsidP="00904941">
      <w:pPr>
        <w:spacing w:after="120"/>
        <w:jc w:val="both"/>
        <w:rPr>
          <w:rFonts w:ascii="Arial" w:hAnsi="Arial" w:cs="Arial"/>
          <w:b/>
          <w:sz w:val="24"/>
          <w:szCs w:val="28"/>
        </w:rPr>
      </w:pPr>
    </w:p>
    <w:p w:rsidR="00C9409A" w:rsidRPr="00CA14C0" w:rsidRDefault="001B58BE" w:rsidP="00904941">
      <w:pPr>
        <w:spacing w:after="120"/>
        <w:jc w:val="both"/>
        <w:rPr>
          <w:rFonts w:ascii="Arial" w:hAnsi="Arial" w:cs="Arial"/>
          <w:b/>
          <w:sz w:val="24"/>
          <w:szCs w:val="28"/>
        </w:rPr>
      </w:pPr>
      <w:r>
        <w:rPr>
          <w:rFonts w:ascii="Arial" w:hAnsi="Arial" w:cs="Arial"/>
          <w:b/>
          <w:sz w:val="24"/>
          <w:szCs w:val="28"/>
        </w:rPr>
        <w:lastRenderedPageBreak/>
        <w:br/>
      </w:r>
      <w:r w:rsidR="00AB5CA8">
        <w:rPr>
          <w:rFonts w:ascii="Arial" w:hAnsi="Arial" w:cs="Arial"/>
          <w:b/>
          <w:sz w:val="24"/>
          <w:szCs w:val="28"/>
        </w:rPr>
        <w:br/>
      </w:r>
      <w:r w:rsidR="00120951">
        <w:rPr>
          <w:rFonts w:ascii="Arial" w:hAnsi="Arial" w:cs="Arial"/>
          <w:b/>
          <w:sz w:val="24"/>
          <w:szCs w:val="28"/>
        </w:rPr>
        <w:t>E</w:t>
      </w:r>
      <w:r w:rsidR="00C9409A" w:rsidRPr="009F7ABA">
        <w:rPr>
          <w:rFonts w:ascii="Arial" w:hAnsi="Arial" w:cs="Arial"/>
          <w:b/>
          <w:sz w:val="24"/>
          <w:szCs w:val="28"/>
        </w:rPr>
        <w:t>ndowment Value</w:t>
      </w:r>
    </w:p>
    <w:p w:rsidR="00E0512A" w:rsidRDefault="00E0512A" w:rsidP="00E0512A">
      <w:pPr>
        <w:spacing w:after="0" w:line="240" w:lineRule="auto"/>
        <w:jc w:val="both"/>
        <w:rPr>
          <w:rFonts w:ascii="ArialMT" w:eastAsiaTheme="minorHAnsi" w:hAnsi="ArialMT" w:cs="ArialMT"/>
          <w:sz w:val="20"/>
          <w:lang w:eastAsia="en-US"/>
        </w:rPr>
      </w:pPr>
      <w:r>
        <w:rPr>
          <w:rFonts w:ascii="ArialMT" w:eastAsiaTheme="minorHAnsi" w:hAnsi="ArialMT" w:cs="ArialMT"/>
          <w:sz w:val="20"/>
          <w:lang w:eastAsia="en-US"/>
        </w:rPr>
        <w:t>Despite the slight dip in the second quarter, t</w:t>
      </w:r>
      <w:r w:rsidRPr="00544FC1">
        <w:rPr>
          <w:rFonts w:ascii="ArialMT" w:eastAsiaTheme="minorHAnsi" w:hAnsi="ArialMT" w:cs="ArialMT"/>
          <w:sz w:val="20"/>
          <w:lang w:eastAsia="en-US"/>
        </w:rPr>
        <w:t xml:space="preserve">he total value of the Endowment </w:t>
      </w:r>
      <w:r w:rsidR="00955B27">
        <w:rPr>
          <w:rFonts w:ascii="ArialMT" w:eastAsiaTheme="minorHAnsi" w:hAnsi="ArialMT" w:cs="ArialMT"/>
          <w:sz w:val="20"/>
          <w:lang w:eastAsia="en-US"/>
        </w:rPr>
        <w:t>grew year-to-date</w:t>
      </w:r>
      <w:r>
        <w:rPr>
          <w:rFonts w:ascii="ArialMT" w:eastAsiaTheme="minorHAnsi" w:hAnsi="ArialMT" w:cs="ArialMT"/>
          <w:sz w:val="20"/>
          <w:lang w:eastAsia="en-US"/>
        </w:rPr>
        <w:t xml:space="preserve"> 2013</w:t>
      </w:r>
      <w:r w:rsidRPr="00544FC1">
        <w:rPr>
          <w:rFonts w:ascii="ArialMT" w:eastAsiaTheme="minorHAnsi" w:hAnsi="ArialMT" w:cs="ArialMT"/>
          <w:sz w:val="20"/>
          <w:lang w:eastAsia="en-US"/>
        </w:rPr>
        <w:t>.  Endow</w:t>
      </w:r>
      <w:r>
        <w:rPr>
          <w:rFonts w:ascii="ArialMT" w:eastAsiaTheme="minorHAnsi" w:hAnsi="ArialMT" w:cs="ArialMT"/>
          <w:sz w:val="20"/>
          <w:lang w:eastAsia="en-US"/>
        </w:rPr>
        <w:t>ed assets increased by nearly</w:t>
      </w:r>
      <w:r w:rsidRPr="00544FC1">
        <w:rPr>
          <w:rFonts w:ascii="ArialMT" w:eastAsiaTheme="minorHAnsi" w:hAnsi="ArialMT" w:cs="ArialMT"/>
          <w:sz w:val="20"/>
          <w:lang w:eastAsia="en-US"/>
        </w:rPr>
        <w:t xml:space="preserve"> </w:t>
      </w:r>
      <w:r w:rsidR="00955B27">
        <w:rPr>
          <w:rFonts w:ascii="ArialMT" w:eastAsiaTheme="minorHAnsi" w:hAnsi="ArialMT" w:cs="ArialMT"/>
          <w:sz w:val="20"/>
          <w:lang w:eastAsia="en-US"/>
        </w:rPr>
        <w:t>$1.3 million</w:t>
      </w:r>
      <w:r w:rsidRPr="00544FC1">
        <w:rPr>
          <w:rFonts w:ascii="ArialMT" w:eastAsiaTheme="minorHAnsi" w:hAnsi="ArialMT" w:cs="ArialMT"/>
          <w:sz w:val="20"/>
          <w:lang w:eastAsia="en-US"/>
        </w:rPr>
        <w:t xml:space="preserve"> due </w:t>
      </w:r>
      <w:r>
        <w:rPr>
          <w:rFonts w:ascii="ArialMT" w:eastAsiaTheme="minorHAnsi" w:hAnsi="ArialMT" w:cs="ArialMT"/>
          <w:sz w:val="20"/>
          <w:lang w:eastAsia="en-US"/>
        </w:rPr>
        <w:t xml:space="preserve">mostly </w:t>
      </w:r>
      <w:r w:rsidRPr="00544FC1">
        <w:rPr>
          <w:rFonts w:ascii="ArialMT" w:eastAsiaTheme="minorHAnsi" w:hAnsi="ArialMT" w:cs="ArialMT"/>
          <w:sz w:val="20"/>
          <w:lang w:eastAsia="en-US"/>
        </w:rPr>
        <w:t>to the positive returns of equities.</w:t>
      </w:r>
    </w:p>
    <w:p w:rsidR="009979B4" w:rsidRDefault="00955B27" w:rsidP="00956975">
      <w:pPr>
        <w:spacing w:after="0" w:line="240" w:lineRule="auto"/>
        <w:ind w:left="-90"/>
        <w:rPr>
          <w:rFonts w:ascii="ArialMT" w:eastAsiaTheme="minorHAnsi" w:hAnsi="ArialMT" w:cs="ArialMT"/>
          <w:sz w:val="20"/>
          <w:lang w:eastAsia="en-US"/>
        </w:rPr>
      </w:pPr>
      <w:r>
        <w:rPr>
          <w:rFonts w:ascii="ArialMT" w:eastAsiaTheme="minorHAnsi" w:hAnsi="ArialMT" w:cs="ArialMT"/>
          <w:noProof/>
          <w:sz w:val="20"/>
          <w:lang w:eastAsia="en-US"/>
        </w:rPr>
        <w:drawing>
          <wp:anchor distT="0" distB="0" distL="114300" distR="114300" simplePos="0" relativeHeight="251658239" behindDoc="0" locked="0" layoutInCell="1" allowOverlap="1">
            <wp:simplePos x="0" y="0"/>
            <wp:positionH relativeFrom="column">
              <wp:posOffset>-142875</wp:posOffset>
            </wp:positionH>
            <wp:positionV relativeFrom="paragraph">
              <wp:posOffset>47625</wp:posOffset>
            </wp:positionV>
            <wp:extent cx="3343275" cy="2009775"/>
            <wp:effectExtent l="1905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3343275" cy="2009775"/>
                    </a:xfrm>
                    <a:prstGeom prst="rect">
                      <a:avLst/>
                    </a:prstGeom>
                    <a:noFill/>
                    <a:ln w="9525">
                      <a:noFill/>
                      <a:miter lim="800000"/>
                      <a:headEnd/>
                      <a:tailEnd/>
                    </a:ln>
                  </pic:spPr>
                </pic:pic>
              </a:graphicData>
            </a:graphic>
          </wp:anchor>
        </w:drawing>
      </w:r>
      <w:r w:rsidR="00956975" w:rsidRPr="00956975">
        <w:rPr>
          <w:rFonts w:ascii="ArialMT" w:eastAsiaTheme="minorHAnsi" w:hAnsi="ArialMT" w:cs="ArialMT"/>
          <w:noProof/>
          <w:sz w:val="20"/>
          <w:lang w:eastAsia="en-US"/>
        </w:rPr>
        <w:drawing>
          <wp:inline distT="0" distB="0" distL="0" distR="0">
            <wp:extent cx="3200400" cy="192024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3166" w:rsidRDefault="009D3166" w:rsidP="009D3166">
      <w:pPr>
        <w:spacing w:after="0" w:line="240" w:lineRule="auto"/>
        <w:jc w:val="both"/>
        <w:rPr>
          <w:rFonts w:ascii="Arial" w:hAnsi="Arial" w:cs="Arial"/>
          <w:b/>
          <w:sz w:val="24"/>
          <w:szCs w:val="28"/>
        </w:rPr>
      </w:pPr>
    </w:p>
    <w:p w:rsidR="009979B4" w:rsidRDefault="00E52614" w:rsidP="00BE5FB4">
      <w:pPr>
        <w:spacing w:after="120"/>
        <w:jc w:val="both"/>
        <w:rPr>
          <w:rFonts w:ascii="Arial" w:hAnsi="Arial" w:cs="Arial"/>
          <w:b/>
          <w:sz w:val="24"/>
          <w:szCs w:val="28"/>
        </w:rPr>
      </w:pPr>
      <w:r w:rsidRPr="009F7ABA">
        <w:rPr>
          <w:rFonts w:ascii="Arial" w:hAnsi="Arial" w:cs="Arial"/>
          <w:b/>
          <w:sz w:val="24"/>
          <w:szCs w:val="28"/>
        </w:rPr>
        <w:t>Investment Policy Summary</w:t>
      </w:r>
    </w:p>
    <w:p w:rsidR="00992EB7" w:rsidRPr="009979B4" w:rsidRDefault="000223F2" w:rsidP="00BE5FB4">
      <w:pPr>
        <w:spacing w:after="0" w:line="240" w:lineRule="auto"/>
        <w:jc w:val="both"/>
        <w:rPr>
          <w:rFonts w:ascii="Arial" w:hAnsi="Arial" w:cs="Arial"/>
          <w:b/>
          <w:sz w:val="24"/>
          <w:szCs w:val="28"/>
        </w:rPr>
      </w:pPr>
      <w:r>
        <w:rPr>
          <w:rFonts w:ascii="ArialMT" w:eastAsiaTheme="minorHAnsi" w:hAnsi="ArialMT" w:cs="ArialMT"/>
          <w:sz w:val="20"/>
          <w:lang w:eastAsia="en-US"/>
        </w:rPr>
        <w:t xml:space="preserve">The </w:t>
      </w:r>
      <w:r w:rsidR="008023B8">
        <w:rPr>
          <w:rFonts w:ascii="ArialMT" w:eastAsiaTheme="minorHAnsi" w:hAnsi="ArialMT" w:cs="ArialMT"/>
          <w:sz w:val="20"/>
          <w:lang w:eastAsia="en-US"/>
        </w:rPr>
        <w:t>Endowment</w:t>
      </w:r>
      <w:r>
        <w:rPr>
          <w:rFonts w:ascii="ArialMT" w:eastAsiaTheme="minorHAnsi" w:hAnsi="ArialMT" w:cs="ArialMT"/>
          <w:sz w:val="20"/>
          <w:lang w:eastAsia="en-US"/>
        </w:rPr>
        <w:t xml:space="preserve"> is invested according to guidelines established </w:t>
      </w:r>
      <w:r w:rsidR="00E0512A">
        <w:rPr>
          <w:rFonts w:ascii="ArialMT" w:eastAsiaTheme="minorHAnsi" w:hAnsi="ArialMT" w:cs="ArialMT"/>
          <w:sz w:val="20"/>
          <w:lang w:eastAsia="en-US"/>
        </w:rPr>
        <w:t>by the Board of Trustees</w:t>
      </w:r>
      <w:r w:rsidR="008023B8">
        <w:rPr>
          <w:rFonts w:ascii="ArialMT" w:eastAsiaTheme="minorHAnsi" w:hAnsi="ArialMT" w:cs="ArialMT"/>
          <w:sz w:val="20"/>
          <w:lang w:eastAsia="en-US"/>
        </w:rPr>
        <w:t xml:space="preserve"> </w:t>
      </w:r>
      <w:r>
        <w:rPr>
          <w:rFonts w:ascii="ArialMT" w:eastAsiaTheme="minorHAnsi" w:hAnsi="ArialMT" w:cs="ArialMT"/>
          <w:sz w:val="20"/>
          <w:lang w:eastAsia="en-US"/>
        </w:rPr>
        <w:t xml:space="preserve">in the Investment Policy </w:t>
      </w:r>
      <w:r w:rsidR="00CA2DF3">
        <w:rPr>
          <w:rFonts w:ascii="ArialMT" w:eastAsiaTheme="minorHAnsi" w:hAnsi="ArialMT" w:cs="ArialMT"/>
          <w:sz w:val="20"/>
          <w:lang w:eastAsia="en-US"/>
        </w:rPr>
        <w:t>Statement</w:t>
      </w:r>
      <w:r>
        <w:rPr>
          <w:rFonts w:ascii="ArialMT" w:eastAsiaTheme="minorHAnsi" w:hAnsi="ArialMT" w:cs="ArialMT"/>
          <w:sz w:val="20"/>
          <w:lang w:eastAsia="en-US"/>
        </w:rPr>
        <w:t>. This policy is reviewed regularly</w:t>
      </w:r>
      <w:r w:rsidR="00536350">
        <w:rPr>
          <w:rFonts w:ascii="ArialMT" w:eastAsiaTheme="minorHAnsi" w:hAnsi="ArialMT" w:cs="ArialMT"/>
          <w:sz w:val="20"/>
          <w:lang w:eastAsia="en-US"/>
        </w:rPr>
        <w:t xml:space="preserve"> with an external consultant so that the investment strategies used for the Endowment are kept in compliance with the policy statement.</w:t>
      </w:r>
    </w:p>
    <w:p w:rsidR="009D3166" w:rsidRDefault="009D3166" w:rsidP="009D3166">
      <w:pPr>
        <w:spacing w:after="0" w:line="240" w:lineRule="auto"/>
        <w:jc w:val="both"/>
        <w:rPr>
          <w:rFonts w:ascii="Arial" w:hAnsi="Arial" w:cs="Arial"/>
          <w:b/>
          <w:sz w:val="24"/>
          <w:szCs w:val="28"/>
        </w:rPr>
      </w:pPr>
    </w:p>
    <w:p w:rsidR="009979B4" w:rsidRDefault="00F22D77" w:rsidP="00BE5FB4">
      <w:pPr>
        <w:spacing w:after="120"/>
        <w:jc w:val="both"/>
        <w:rPr>
          <w:rFonts w:ascii="Arial" w:hAnsi="Arial" w:cs="Arial"/>
          <w:b/>
          <w:sz w:val="24"/>
          <w:szCs w:val="28"/>
        </w:rPr>
      </w:pPr>
      <w:r>
        <w:rPr>
          <w:rFonts w:ascii="Arial" w:hAnsi="Arial" w:cs="Arial"/>
          <w:b/>
          <w:sz w:val="24"/>
          <w:szCs w:val="28"/>
        </w:rPr>
        <w:t>Distribution</w:t>
      </w:r>
      <w:r w:rsidR="00C9409A" w:rsidRPr="009F7ABA">
        <w:rPr>
          <w:rFonts w:ascii="Arial" w:hAnsi="Arial" w:cs="Arial"/>
          <w:b/>
          <w:sz w:val="24"/>
          <w:szCs w:val="28"/>
        </w:rPr>
        <w:t xml:space="preserve"> Policy</w:t>
      </w:r>
    </w:p>
    <w:p w:rsidR="00992EB7" w:rsidRPr="00245FB0" w:rsidRDefault="002F39AB" w:rsidP="00BE5FB4">
      <w:pPr>
        <w:spacing w:after="0" w:line="240" w:lineRule="auto"/>
        <w:jc w:val="both"/>
        <w:rPr>
          <w:rFonts w:ascii="Arial" w:hAnsi="Arial" w:cs="Arial"/>
          <w:sz w:val="20"/>
          <w:szCs w:val="28"/>
        </w:rPr>
      </w:pPr>
      <w:r>
        <w:rPr>
          <w:rFonts w:ascii="ArialMT" w:eastAsiaTheme="minorHAnsi" w:hAnsi="ArialMT" w:cs="ArialMT"/>
          <w:sz w:val="20"/>
          <w:lang w:eastAsia="en-US"/>
        </w:rPr>
        <w:t xml:space="preserve">The Foundation executes a </w:t>
      </w:r>
      <w:r w:rsidR="001C5A4E">
        <w:rPr>
          <w:rFonts w:ascii="ArialMT" w:eastAsiaTheme="minorHAnsi" w:hAnsi="ArialMT" w:cs="ArialMT"/>
          <w:sz w:val="20"/>
          <w:lang w:eastAsia="en-US"/>
        </w:rPr>
        <w:t>grant-</w:t>
      </w:r>
      <w:r>
        <w:rPr>
          <w:rFonts w:ascii="ArialMT" w:eastAsiaTheme="minorHAnsi" w:hAnsi="ArialMT" w:cs="ArialMT"/>
          <w:sz w:val="20"/>
          <w:lang w:eastAsia="en-US"/>
        </w:rPr>
        <w:t xml:space="preserve">making program designed to support the </w:t>
      </w:r>
      <w:r w:rsidR="008023B8">
        <w:rPr>
          <w:rFonts w:ascii="ArialMT" w:eastAsiaTheme="minorHAnsi" w:hAnsi="ArialMT" w:cs="ArialMT"/>
          <w:sz w:val="20"/>
          <w:lang w:eastAsia="en-US"/>
        </w:rPr>
        <w:t xml:space="preserve">immediate and long-term </w:t>
      </w:r>
      <w:r>
        <w:rPr>
          <w:rFonts w:ascii="ArialMT" w:eastAsiaTheme="minorHAnsi" w:hAnsi="ArialMT" w:cs="ArialMT"/>
          <w:sz w:val="20"/>
          <w:lang w:eastAsia="en-US"/>
        </w:rPr>
        <w:t>needs of the community</w:t>
      </w:r>
      <w:r w:rsidR="001C5A4E">
        <w:rPr>
          <w:rFonts w:ascii="ArialMT" w:eastAsiaTheme="minorHAnsi" w:hAnsi="ArialMT" w:cs="ArialMT"/>
          <w:sz w:val="20"/>
          <w:lang w:eastAsia="en-US"/>
        </w:rPr>
        <w:t>,</w:t>
      </w:r>
      <w:r>
        <w:rPr>
          <w:rFonts w:ascii="ArialMT" w:eastAsiaTheme="minorHAnsi" w:hAnsi="ArialMT" w:cs="ArialMT"/>
          <w:sz w:val="20"/>
          <w:lang w:eastAsia="en-US"/>
        </w:rPr>
        <w:t xml:space="preserve"> while preserving the value of the Endowment.</w:t>
      </w:r>
      <w:r w:rsidR="00F22D77">
        <w:rPr>
          <w:rFonts w:ascii="ArialMT" w:eastAsiaTheme="minorHAnsi" w:hAnsi="ArialMT" w:cs="ArialMT"/>
          <w:sz w:val="20"/>
          <w:lang w:eastAsia="en-US"/>
        </w:rPr>
        <w:t xml:space="preserve"> </w:t>
      </w:r>
      <w:r w:rsidR="008023B8">
        <w:rPr>
          <w:rFonts w:ascii="ArialMT" w:eastAsiaTheme="minorHAnsi" w:hAnsi="ArialMT" w:cs="ArialMT"/>
          <w:sz w:val="20"/>
          <w:lang w:eastAsia="en-US"/>
        </w:rPr>
        <w:t xml:space="preserve">Please contact </w:t>
      </w:r>
      <w:r w:rsidR="00F22D77">
        <w:rPr>
          <w:rFonts w:ascii="ArialMT" w:eastAsiaTheme="minorHAnsi" w:hAnsi="ArialMT" w:cs="ArialMT"/>
          <w:sz w:val="20"/>
          <w:lang w:eastAsia="en-US"/>
        </w:rPr>
        <w:t xml:space="preserve">the Foundation </w:t>
      </w:r>
      <w:r w:rsidR="001759C7">
        <w:rPr>
          <w:rFonts w:ascii="ArialMT" w:eastAsiaTheme="minorHAnsi" w:hAnsi="ArialMT" w:cs="ArialMT"/>
          <w:sz w:val="20"/>
          <w:lang w:eastAsia="en-US"/>
        </w:rPr>
        <w:t xml:space="preserve">if you wish to receive more information about the distribution process and </w:t>
      </w:r>
      <w:r w:rsidR="008023B8">
        <w:rPr>
          <w:rFonts w:ascii="ArialMT" w:eastAsiaTheme="minorHAnsi" w:hAnsi="ArialMT" w:cs="ArialMT"/>
          <w:sz w:val="20"/>
          <w:lang w:eastAsia="en-US"/>
        </w:rPr>
        <w:t>how grant amounts are determined.</w:t>
      </w:r>
    </w:p>
    <w:p w:rsidR="009F7ABA" w:rsidRDefault="00FC0E3A" w:rsidP="00BE5FB4">
      <w:pPr>
        <w:spacing w:before="240" w:after="120"/>
        <w:jc w:val="both"/>
        <w:rPr>
          <w:rFonts w:ascii="Arial" w:hAnsi="Arial" w:cs="Arial"/>
          <w:b/>
          <w:sz w:val="24"/>
          <w:szCs w:val="28"/>
        </w:rPr>
      </w:pPr>
      <w:r>
        <w:rPr>
          <w:rFonts w:ascii="Arial" w:hAnsi="Arial" w:cs="Arial"/>
          <w:b/>
          <w:sz w:val="24"/>
          <w:szCs w:val="28"/>
        </w:rPr>
        <w:t>Questions?</w:t>
      </w:r>
    </w:p>
    <w:p w:rsidR="00BC5787" w:rsidRPr="00BC5787" w:rsidRDefault="00BC5787" w:rsidP="00BE5FB4">
      <w:pPr>
        <w:spacing w:after="0" w:line="240" w:lineRule="auto"/>
        <w:jc w:val="both"/>
        <w:rPr>
          <w:rFonts w:ascii="ArialMT" w:eastAsiaTheme="minorHAnsi" w:hAnsi="ArialMT" w:cs="ArialMT"/>
          <w:sz w:val="20"/>
          <w:lang w:eastAsia="en-US"/>
        </w:rPr>
      </w:pPr>
      <w:r w:rsidRPr="00BC5787">
        <w:rPr>
          <w:rFonts w:ascii="ArialMT" w:eastAsiaTheme="minorHAnsi" w:hAnsi="ArialMT" w:cs="ArialMT"/>
          <w:sz w:val="20"/>
          <w:lang w:eastAsia="en-US"/>
        </w:rPr>
        <w:t xml:space="preserve">If you have any questions or would like </w:t>
      </w:r>
      <w:r w:rsidR="00E071B3">
        <w:rPr>
          <w:rFonts w:ascii="ArialMT" w:eastAsiaTheme="minorHAnsi" w:hAnsi="ArialMT" w:cs="ArialMT"/>
          <w:sz w:val="20"/>
          <w:lang w:eastAsia="en-US"/>
        </w:rPr>
        <w:t xml:space="preserve">to receive </w:t>
      </w:r>
      <w:r w:rsidRPr="00BC5787">
        <w:rPr>
          <w:rFonts w:ascii="ArialMT" w:eastAsiaTheme="minorHAnsi" w:hAnsi="ArialMT" w:cs="ArialMT"/>
          <w:sz w:val="20"/>
          <w:lang w:eastAsia="en-US"/>
        </w:rPr>
        <w:t>more information, pleas</w:t>
      </w:r>
      <w:r w:rsidR="00E0512A">
        <w:rPr>
          <w:rFonts w:ascii="ArialMT" w:eastAsiaTheme="minorHAnsi" w:hAnsi="ArialMT" w:cs="ArialMT"/>
          <w:sz w:val="20"/>
          <w:lang w:eastAsia="en-US"/>
        </w:rPr>
        <w:t>e contact the Foundation at (419) 562-3958</w:t>
      </w:r>
      <w:r w:rsidRPr="00BC5787">
        <w:rPr>
          <w:rFonts w:ascii="ArialMT" w:eastAsiaTheme="minorHAnsi" w:hAnsi="ArialMT" w:cs="ArialMT"/>
          <w:sz w:val="20"/>
          <w:lang w:eastAsia="en-US"/>
        </w:rPr>
        <w:t xml:space="preserve">. We would be </w:t>
      </w:r>
      <w:r w:rsidR="00447025">
        <w:rPr>
          <w:rFonts w:ascii="ArialMT" w:eastAsiaTheme="minorHAnsi" w:hAnsi="ArialMT" w:cs="ArialMT"/>
          <w:sz w:val="20"/>
          <w:lang w:eastAsia="en-US"/>
        </w:rPr>
        <w:t xml:space="preserve">very </w:t>
      </w:r>
      <w:r w:rsidRPr="00BC5787">
        <w:rPr>
          <w:rFonts w:ascii="ArialMT" w:eastAsiaTheme="minorHAnsi" w:hAnsi="ArialMT" w:cs="ArialMT"/>
          <w:sz w:val="20"/>
          <w:lang w:eastAsia="en-US"/>
        </w:rPr>
        <w:t>happy to assist you.</w:t>
      </w:r>
      <w:r w:rsidR="00357C2C">
        <w:rPr>
          <w:rFonts w:ascii="ArialMT" w:eastAsiaTheme="minorHAnsi" w:hAnsi="ArialMT" w:cs="ArialMT"/>
          <w:sz w:val="20"/>
          <w:lang w:eastAsia="en-US"/>
        </w:rPr>
        <w:t xml:space="preserve"> </w:t>
      </w:r>
    </w:p>
    <w:sectPr w:rsidR="00BC5787" w:rsidRPr="00BC5787" w:rsidSect="002355EC">
      <w:type w:val="continuous"/>
      <w:pgSz w:w="12240" w:h="15840"/>
      <w:pgMar w:top="432" w:right="720" w:bottom="43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94" w:rsidRDefault="00E91894" w:rsidP="00340232">
      <w:pPr>
        <w:spacing w:after="0" w:line="240" w:lineRule="auto"/>
      </w:pPr>
      <w:r>
        <w:separator/>
      </w:r>
    </w:p>
  </w:endnote>
  <w:endnote w:type="continuationSeparator" w:id="0">
    <w:p w:rsidR="00E91894" w:rsidRDefault="00E91894" w:rsidP="0034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75" w:rsidRDefault="00956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E7" w:rsidRPr="007678D8" w:rsidRDefault="00E0512A" w:rsidP="003D0294">
    <w:pPr>
      <w:spacing w:after="0"/>
      <w:rPr>
        <w:rFonts w:ascii="Arial" w:hAnsi="Arial" w:cs="Arial"/>
        <w:b/>
        <w:caps/>
        <w:color w:val="92D050"/>
        <w:sz w:val="16"/>
      </w:rPr>
    </w:pPr>
    <w:r>
      <w:rPr>
        <w:rFonts w:ascii="Arial" w:hAnsi="Arial" w:cs="Arial"/>
        <w:b/>
        <w:caps/>
        <w:color w:val="808080" w:themeColor="background1" w:themeShade="80"/>
        <w:sz w:val="16"/>
      </w:rPr>
      <w:t>254 East Mansfield street, bucyrus, Ohio 44820</w:t>
    </w:r>
    <w:r w:rsidR="00120951">
      <w:rPr>
        <w:rFonts w:ascii="Arial" w:hAnsi="Arial" w:cs="Arial"/>
        <w:b/>
        <w:caps/>
        <w:color w:val="808080" w:themeColor="background1" w:themeShade="80"/>
        <w:sz w:val="16"/>
      </w:rPr>
      <w:t xml:space="preserve">   </w:t>
    </w:r>
    <w:r>
      <w:rPr>
        <w:rFonts w:ascii="Arial" w:hAnsi="Arial" w:cs="Arial"/>
        <w:b/>
        <w:caps/>
        <w:color w:val="808080" w:themeColor="background1" w:themeShade="80"/>
        <w:sz w:val="16"/>
      </w:rPr>
      <w:t xml:space="preserve">  p: (419) 562-3958     </w:t>
    </w:r>
    <w:r w:rsidRPr="00293FE9">
      <w:rPr>
        <w:rFonts w:ascii="Arial" w:hAnsi="Arial" w:cs="Arial"/>
        <w:b/>
        <w:caps/>
        <w:color w:val="127547"/>
        <w:sz w:val="16"/>
      </w:rPr>
      <w:t>CFcrawford</w:t>
    </w:r>
    <w:r w:rsidR="00FF08E7" w:rsidRPr="00293FE9">
      <w:rPr>
        <w:rFonts w:ascii="Arial" w:hAnsi="Arial" w:cs="Arial"/>
        <w:b/>
        <w:caps/>
        <w:color w:val="127547"/>
        <w:sz w:val="16"/>
      </w:rPr>
      <w:t>.ORG</w:t>
    </w:r>
    <w:r w:rsidR="00120951">
      <w:rPr>
        <w:rFonts w:ascii="Arial" w:hAnsi="Arial" w:cs="Arial"/>
        <w:b/>
        <w:caps/>
        <w:color w:val="92D050"/>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75" w:rsidRDefault="009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94" w:rsidRDefault="00E91894" w:rsidP="00340232">
      <w:pPr>
        <w:spacing w:after="0" w:line="240" w:lineRule="auto"/>
      </w:pPr>
      <w:r>
        <w:separator/>
      </w:r>
    </w:p>
  </w:footnote>
  <w:footnote w:type="continuationSeparator" w:id="0">
    <w:p w:rsidR="00E91894" w:rsidRDefault="00E91894" w:rsidP="0034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75" w:rsidRDefault="00956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75" w:rsidRDefault="009569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75" w:rsidRDefault="00956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D319A5"/>
    <w:multiLevelType w:val="hybridMultilevel"/>
    <w:tmpl w:val="F676AC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720F0"/>
    <w:multiLevelType w:val="hybridMultilevel"/>
    <w:tmpl w:val="B0D8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252C"/>
    <w:multiLevelType w:val="hybridMultilevel"/>
    <w:tmpl w:val="9A260EA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2EF06A8"/>
    <w:multiLevelType w:val="hybridMultilevel"/>
    <w:tmpl w:val="FFC6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F1E07"/>
    <w:multiLevelType w:val="hybridMultilevel"/>
    <w:tmpl w:val="42A8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274AD"/>
    <w:multiLevelType w:val="hybridMultilevel"/>
    <w:tmpl w:val="B1E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C4146"/>
    <w:multiLevelType w:val="hybridMultilevel"/>
    <w:tmpl w:val="C8C0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95D05"/>
    <w:multiLevelType w:val="hybridMultilevel"/>
    <w:tmpl w:val="9256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162E2"/>
    <w:multiLevelType w:val="hybridMultilevel"/>
    <w:tmpl w:val="8AAC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367E5"/>
    <w:multiLevelType w:val="hybridMultilevel"/>
    <w:tmpl w:val="F81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A65E6"/>
    <w:multiLevelType w:val="hybridMultilevel"/>
    <w:tmpl w:val="08CC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652AD8"/>
    <w:multiLevelType w:val="hybridMultilevel"/>
    <w:tmpl w:val="A048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321D4"/>
    <w:multiLevelType w:val="hybridMultilevel"/>
    <w:tmpl w:val="4D32C702"/>
    <w:lvl w:ilvl="0" w:tplc="0409000F">
      <w:start w:val="1"/>
      <w:numFmt w:val="decimal"/>
      <w:lvlText w:val="%1."/>
      <w:lvlJc w:val="left"/>
      <w:pPr>
        <w:ind w:left="90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6457F"/>
    <w:multiLevelType w:val="hybridMultilevel"/>
    <w:tmpl w:val="9B56CBB2"/>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14"/>
  </w:num>
  <w:num w:numId="4">
    <w:abstractNumId w:val="4"/>
  </w:num>
  <w:num w:numId="5">
    <w:abstractNumId w:val="12"/>
  </w:num>
  <w:num w:numId="6">
    <w:abstractNumId w:val="7"/>
  </w:num>
  <w:num w:numId="7">
    <w:abstractNumId w:val="5"/>
  </w:num>
  <w:num w:numId="8">
    <w:abstractNumId w:val="13"/>
  </w:num>
  <w:num w:numId="9">
    <w:abstractNumId w:val="3"/>
  </w:num>
  <w:num w:numId="10">
    <w:abstractNumId w:val="8"/>
  </w:num>
  <w:num w:numId="11">
    <w:abstractNumId w:val="15"/>
  </w:num>
  <w:num w:numId="12">
    <w:abstractNumId w:val="10"/>
  </w:num>
  <w:num w:numId="13">
    <w:abstractNumId w:val="11"/>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88"/>
    <w:rsid w:val="00020446"/>
    <w:rsid w:val="000223F2"/>
    <w:rsid w:val="000321CD"/>
    <w:rsid w:val="000340EF"/>
    <w:rsid w:val="00047DF0"/>
    <w:rsid w:val="000527AC"/>
    <w:rsid w:val="0005375D"/>
    <w:rsid w:val="00056F53"/>
    <w:rsid w:val="000642EB"/>
    <w:rsid w:val="0008460F"/>
    <w:rsid w:val="00085B71"/>
    <w:rsid w:val="000A420E"/>
    <w:rsid w:val="000D3090"/>
    <w:rsid w:val="000E0C8E"/>
    <w:rsid w:val="000E6E3C"/>
    <w:rsid w:val="000E71AA"/>
    <w:rsid w:val="000F5FAF"/>
    <w:rsid w:val="00102C9E"/>
    <w:rsid w:val="00105E0A"/>
    <w:rsid w:val="00115A46"/>
    <w:rsid w:val="00116020"/>
    <w:rsid w:val="001178EF"/>
    <w:rsid w:val="00120881"/>
    <w:rsid w:val="00120951"/>
    <w:rsid w:val="00127C65"/>
    <w:rsid w:val="00141C7C"/>
    <w:rsid w:val="00146862"/>
    <w:rsid w:val="001514AC"/>
    <w:rsid w:val="00164256"/>
    <w:rsid w:val="00171B6F"/>
    <w:rsid w:val="00171F08"/>
    <w:rsid w:val="001759C7"/>
    <w:rsid w:val="0017614D"/>
    <w:rsid w:val="001817AF"/>
    <w:rsid w:val="00190B57"/>
    <w:rsid w:val="00191CC0"/>
    <w:rsid w:val="00194C30"/>
    <w:rsid w:val="0019691B"/>
    <w:rsid w:val="00197BAB"/>
    <w:rsid w:val="001A5AB6"/>
    <w:rsid w:val="001B07FF"/>
    <w:rsid w:val="001B58BE"/>
    <w:rsid w:val="001C56F1"/>
    <w:rsid w:val="001C5A4E"/>
    <w:rsid w:val="001D3545"/>
    <w:rsid w:val="001D6CDB"/>
    <w:rsid w:val="001E5A89"/>
    <w:rsid w:val="001F4D88"/>
    <w:rsid w:val="002008C2"/>
    <w:rsid w:val="0020767E"/>
    <w:rsid w:val="00211C0E"/>
    <w:rsid w:val="002124DF"/>
    <w:rsid w:val="002132FF"/>
    <w:rsid w:val="00215A90"/>
    <w:rsid w:val="002306A2"/>
    <w:rsid w:val="002355EC"/>
    <w:rsid w:val="00245FB0"/>
    <w:rsid w:val="00252E1F"/>
    <w:rsid w:val="002539C2"/>
    <w:rsid w:val="00253A39"/>
    <w:rsid w:val="0025672F"/>
    <w:rsid w:val="00276605"/>
    <w:rsid w:val="002865AD"/>
    <w:rsid w:val="00293FE9"/>
    <w:rsid w:val="002A5FC0"/>
    <w:rsid w:val="002A72CF"/>
    <w:rsid w:val="002A75E8"/>
    <w:rsid w:val="002B547E"/>
    <w:rsid w:val="002C798C"/>
    <w:rsid w:val="002D01AE"/>
    <w:rsid w:val="002E747E"/>
    <w:rsid w:val="002F39AB"/>
    <w:rsid w:val="00305FA6"/>
    <w:rsid w:val="00320588"/>
    <w:rsid w:val="00324830"/>
    <w:rsid w:val="00331B71"/>
    <w:rsid w:val="003349C3"/>
    <w:rsid w:val="00336157"/>
    <w:rsid w:val="00340232"/>
    <w:rsid w:val="0035479A"/>
    <w:rsid w:val="00357C2C"/>
    <w:rsid w:val="003660BF"/>
    <w:rsid w:val="00377F53"/>
    <w:rsid w:val="003B084B"/>
    <w:rsid w:val="003C0964"/>
    <w:rsid w:val="003C0B49"/>
    <w:rsid w:val="003D0294"/>
    <w:rsid w:val="003D1627"/>
    <w:rsid w:val="003D215D"/>
    <w:rsid w:val="003F7657"/>
    <w:rsid w:val="0040467E"/>
    <w:rsid w:val="00406245"/>
    <w:rsid w:val="00407052"/>
    <w:rsid w:val="00416688"/>
    <w:rsid w:val="004248C7"/>
    <w:rsid w:val="0043666A"/>
    <w:rsid w:val="00447025"/>
    <w:rsid w:val="004721AC"/>
    <w:rsid w:val="00473E33"/>
    <w:rsid w:val="00473F7A"/>
    <w:rsid w:val="004768B9"/>
    <w:rsid w:val="0048663B"/>
    <w:rsid w:val="004B3788"/>
    <w:rsid w:val="004B4C01"/>
    <w:rsid w:val="004C1456"/>
    <w:rsid w:val="004C3C63"/>
    <w:rsid w:val="004C7BB1"/>
    <w:rsid w:val="004E4315"/>
    <w:rsid w:val="004F0297"/>
    <w:rsid w:val="004F5E6D"/>
    <w:rsid w:val="00502A60"/>
    <w:rsid w:val="005073AF"/>
    <w:rsid w:val="00535464"/>
    <w:rsid w:val="00536350"/>
    <w:rsid w:val="00544FC1"/>
    <w:rsid w:val="005532D8"/>
    <w:rsid w:val="00557A57"/>
    <w:rsid w:val="005673EE"/>
    <w:rsid w:val="00575890"/>
    <w:rsid w:val="005A2AD6"/>
    <w:rsid w:val="005A52BB"/>
    <w:rsid w:val="005A6965"/>
    <w:rsid w:val="005C0E7F"/>
    <w:rsid w:val="005C3ACA"/>
    <w:rsid w:val="005C50E3"/>
    <w:rsid w:val="005C5363"/>
    <w:rsid w:val="00614B19"/>
    <w:rsid w:val="00620947"/>
    <w:rsid w:val="00631CB9"/>
    <w:rsid w:val="00641F29"/>
    <w:rsid w:val="006614A3"/>
    <w:rsid w:val="00662C77"/>
    <w:rsid w:val="00663DB4"/>
    <w:rsid w:val="00664CDC"/>
    <w:rsid w:val="00667C51"/>
    <w:rsid w:val="00672685"/>
    <w:rsid w:val="00673902"/>
    <w:rsid w:val="00675207"/>
    <w:rsid w:val="00681DC2"/>
    <w:rsid w:val="006830F5"/>
    <w:rsid w:val="0068788B"/>
    <w:rsid w:val="006A03B9"/>
    <w:rsid w:val="006A23F9"/>
    <w:rsid w:val="006A3161"/>
    <w:rsid w:val="006B5404"/>
    <w:rsid w:val="006E0FB5"/>
    <w:rsid w:val="006E7E88"/>
    <w:rsid w:val="00710144"/>
    <w:rsid w:val="00723B5D"/>
    <w:rsid w:val="007245A2"/>
    <w:rsid w:val="007273C0"/>
    <w:rsid w:val="00733602"/>
    <w:rsid w:val="007345F0"/>
    <w:rsid w:val="00747B56"/>
    <w:rsid w:val="007678D8"/>
    <w:rsid w:val="00771C79"/>
    <w:rsid w:val="007A0B88"/>
    <w:rsid w:val="007D331B"/>
    <w:rsid w:val="007D4757"/>
    <w:rsid w:val="007E5564"/>
    <w:rsid w:val="007F637A"/>
    <w:rsid w:val="008023B8"/>
    <w:rsid w:val="0081257D"/>
    <w:rsid w:val="00815F61"/>
    <w:rsid w:val="008162DD"/>
    <w:rsid w:val="00822A30"/>
    <w:rsid w:val="00824102"/>
    <w:rsid w:val="00827635"/>
    <w:rsid w:val="008331DA"/>
    <w:rsid w:val="008353BA"/>
    <w:rsid w:val="008441BA"/>
    <w:rsid w:val="00867989"/>
    <w:rsid w:val="0087402E"/>
    <w:rsid w:val="00876BF0"/>
    <w:rsid w:val="00882227"/>
    <w:rsid w:val="008828E1"/>
    <w:rsid w:val="008859DD"/>
    <w:rsid w:val="00892383"/>
    <w:rsid w:val="00894E60"/>
    <w:rsid w:val="00896BCA"/>
    <w:rsid w:val="008B3E74"/>
    <w:rsid w:val="008B4528"/>
    <w:rsid w:val="00904941"/>
    <w:rsid w:val="009240F5"/>
    <w:rsid w:val="00932AED"/>
    <w:rsid w:val="00933644"/>
    <w:rsid w:val="0094316C"/>
    <w:rsid w:val="00955B27"/>
    <w:rsid w:val="00956975"/>
    <w:rsid w:val="00961349"/>
    <w:rsid w:val="0096327E"/>
    <w:rsid w:val="00981F9A"/>
    <w:rsid w:val="0098347A"/>
    <w:rsid w:val="00992EB7"/>
    <w:rsid w:val="009979B4"/>
    <w:rsid w:val="009A51CB"/>
    <w:rsid w:val="009B19C1"/>
    <w:rsid w:val="009C3672"/>
    <w:rsid w:val="009D30E5"/>
    <w:rsid w:val="009D3166"/>
    <w:rsid w:val="009D63CB"/>
    <w:rsid w:val="009F7ABA"/>
    <w:rsid w:val="00A01944"/>
    <w:rsid w:val="00A055A5"/>
    <w:rsid w:val="00A139CF"/>
    <w:rsid w:val="00A17D4A"/>
    <w:rsid w:val="00A34A2D"/>
    <w:rsid w:val="00A409C5"/>
    <w:rsid w:val="00A57A6D"/>
    <w:rsid w:val="00A602E0"/>
    <w:rsid w:val="00A747F7"/>
    <w:rsid w:val="00A765F7"/>
    <w:rsid w:val="00A76794"/>
    <w:rsid w:val="00A85CA7"/>
    <w:rsid w:val="00A928C3"/>
    <w:rsid w:val="00AA1A30"/>
    <w:rsid w:val="00AB5CA8"/>
    <w:rsid w:val="00AC0F61"/>
    <w:rsid w:val="00AD5D8F"/>
    <w:rsid w:val="00AE228D"/>
    <w:rsid w:val="00AE3EAB"/>
    <w:rsid w:val="00AE7BD8"/>
    <w:rsid w:val="00AF7AEF"/>
    <w:rsid w:val="00B11E15"/>
    <w:rsid w:val="00B27199"/>
    <w:rsid w:val="00B36008"/>
    <w:rsid w:val="00B4125D"/>
    <w:rsid w:val="00B43BB0"/>
    <w:rsid w:val="00B50F74"/>
    <w:rsid w:val="00B670E4"/>
    <w:rsid w:val="00B72F69"/>
    <w:rsid w:val="00B76526"/>
    <w:rsid w:val="00B83FA0"/>
    <w:rsid w:val="00BA45BE"/>
    <w:rsid w:val="00BA5562"/>
    <w:rsid w:val="00BC5787"/>
    <w:rsid w:val="00BD1098"/>
    <w:rsid w:val="00BD462E"/>
    <w:rsid w:val="00BD6595"/>
    <w:rsid w:val="00BD6BDE"/>
    <w:rsid w:val="00BE5FB4"/>
    <w:rsid w:val="00BF0E61"/>
    <w:rsid w:val="00BF1F80"/>
    <w:rsid w:val="00BF7B39"/>
    <w:rsid w:val="00C05766"/>
    <w:rsid w:val="00C06580"/>
    <w:rsid w:val="00C2430E"/>
    <w:rsid w:val="00C30A2E"/>
    <w:rsid w:val="00C4044A"/>
    <w:rsid w:val="00C459C0"/>
    <w:rsid w:val="00C51A93"/>
    <w:rsid w:val="00C56A2E"/>
    <w:rsid w:val="00C6615E"/>
    <w:rsid w:val="00C7617D"/>
    <w:rsid w:val="00C82F12"/>
    <w:rsid w:val="00C9409A"/>
    <w:rsid w:val="00CA14C0"/>
    <w:rsid w:val="00CA2DF3"/>
    <w:rsid w:val="00CA6121"/>
    <w:rsid w:val="00CC16EF"/>
    <w:rsid w:val="00CC4F78"/>
    <w:rsid w:val="00CD007C"/>
    <w:rsid w:val="00CD4D76"/>
    <w:rsid w:val="00CE06AE"/>
    <w:rsid w:val="00CE51F1"/>
    <w:rsid w:val="00CF00C5"/>
    <w:rsid w:val="00D044DA"/>
    <w:rsid w:val="00D16528"/>
    <w:rsid w:val="00D2641C"/>
    <w:rsid w:val="00D26C28"/>
    <w:rsid w:val="00D35774"/>
    <w:rsid w:val="00D447F2"/>
    <w:rsid w:val="00D52502"/>
    <w:rsid w:val="00D64364"/>
    <w:rsid w:val="00D7058F"/>
    <w:rsid w:val="00DA03B1"/>
    <w:rsid w:val="00DA112A"/>
    <w:rsid w:val="00DC6BC2"/>
    <w:rsid w:val="00DD28AE"/>
    <w:rsid w:val="00DD40E1"/>
    <w:rsid w:val="00DE29EC"/>
    <w:rsid w:val="00DE7BB8"/>
    <w:rsid w:val="00E050E7"/>
    <w:rsid w:val="00E0512A"/>
    <w:rsid w:val="00E071B3"/>
    <w:rsid w:val="00E1728E"/>
    <w:rsid w:val="00E247C0"/>
    <w:rsid w:val="00E3531D"/>
    <w:rsid w:val="00E525F2"/>
    <w:rsid w:val="00E52614"/>
    <w:rsid w:val="00E554F1"/>
    <w:rsid w:val="00E56B93"/>
    <w:rsid w:val="00E576B5"/>
    <w:rsid w:val="00E6595E"/>
    <w:rsid w:val="00E75655"/>
    <w:rsid w:val="00E75F7E"/>
    <w:rsid w:val="00E91894"/>
    <w:rsid w:val="00E938F0"/>
    <w:rsid w:val="00EC6A33"/>
    <w:rsid w:val="00EE5250"/>
    <w:rsid w:val="00F16AA1"/>
    <w:rsid w:val="00F213B2"/>
    <w:rsid w:val="00F22273"/>
    <w:rsid w:val="00F22D77"/>
    <w:rsid w:val="00F25876"/>
    <w:rsid w:val="00F51BE1"/>
    <w:rsid w:val="00F776CB"/>
    <w:rsid w:val="00F80947"/>
    <w:rsid w:val="00F867FD"/>
    <w:rsid w:val="00F96C9C"/>
    <w:rsid w:val="00FA2B2B"/>
    <w:rsid w:val="00FA4150"/>
    <w:rsid w:val="00FA443D"/>
    <w:rsid w:val="00FB0E3E"/>
    <w:rsid w:val="00FB1AE6"/>
    <w:rsid w:val="00FC0E3A"/>
    <w:rsid w:val="00FE2295"/>
    <w:rsid w:val="00FE2ADA"/>
    <w:rsid w:val="00FE5690"/>
    <w:rsid w:val="00FE791D"/>
    <w:rsid w:val="00FF08E7"/>
    <w:rsid w:val="00FF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88"/>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88"/>
    <w:rPr>
      <w:rFonts w:ascii="Tahoma" w:eastAsia="SimSun" w:hAnsi="Tahoma" w:cs="Tahoma"/>
      <w:sz w:val="16"/>
      <w:szCs w:val="16"/>
      <w:lang w:eastAsia="zh-CN"/>
    </w:rPr>
  </w:style>
  <w:style w:type="paragraph" w:styleId="ListParagraph">
    <w:name w:val="List Paragraph"/>
    <w:basedOn w:val="Normal"/>
    <w:uiPriority w:val="34"/>
    <w:qFormat/>
    <w:rsid w:val="00320588"/>
    <w:pPr>
      <w:ind w:left="720"/>
      <w:contextualSpacing/>
    </w:pPr>
  </w:style>
  <w:style w:type="paragraph" w:styleId="FootnoteText">
    <w:name w:val="footnote text"/>
    <w:basedOn w:val="Normal"/>
    <w:link w:val="FootnoteTextChar"/>
    <w:uiPriority w:val="99"/>
    <w:semiHidden/>
    <w:unhideWhenUsed/>
    <w:rsid w:val="00340232"/>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40232"/>
    <w:rPr>
      <w:sz w:val="20"/>
      <w:szCs w:val="20"/>
    </w:rPr>
  </w:style>
  <w:style w:type="character" w:styleId="FootnoteReference">
    <w:name w:val="footnote reference"/>
    <w:basedOn w:val="DefaultParagraphFont"/>
    <w:uiPriority w:val="99"/>
    <w:semiHidden/>
    <w:unhideWhenUsed/>
    <w:rsid w:val="00340232"/>
    <w:rPr>
      <w:vertAlign w:val="superscript"/>
    </w:rPr>
  </w:style>
  <w:style w:type="paragraph" w:styleId="Header">
    <w:name w:val="header"/>
    <w:basedOn w:val="Normal"/>
    <w:link w:val="HeaderChar"/>
    <w:uiPriority w:val="99"/>
    <w:unhideWhenUsed/>
    <w:rsid w:val="007D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1B"/>
    <w:rPr>
      <w:rFonts w:ascii="Calibri" w:eastAsia="SimSun" w:hAnsi="Calibri" w:cs="Times New Roman"/>
      <w:lang w:eastAsia="zh-CN"/>
    </w:rPr>
  </w:style>
  <w:style w:type="paragraph" w:styleId="Footer">
    <w:name w:val="footer"/>
    <w:basedOn w:val="Normal"/>
    <w:link w:val="FooterChar"/>
    <w:uiPriority w:val="99"/>
    <w:unhideWhenUsed/>
    <w:rsid w:val="007D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1B"/>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88"/>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88"/>
    <w:rPr>
      <w:rFonts w:ascii="Tahoma" w:eastAsia="SimSun" w:hAnsi="Tahoma" w:cs="Tahoma"/>
      <w:sz w:val="16"/>
      <w:szCs w:val="16"/>
      <w:lang w:eastAsia="zh-CN"/>
    </w:rPr>
  </w:style>
  <w:style w:type="paragraph" w:styleId="ListParagraph">
    <w:name w:val="List Paragraph"/>
    <w:basedOn w:val="Normal"/>
    <w:uiPriority w:val="34"/>
    <w:qFormat/>
    <w:rsid w:val="00320588"/>
    <w:pPr>
      <w:ind w:left="720"/>
      <w:contextualSpacing/>
    </w:pPr>
  </w:style>
  <w:style w:type="paragraph" w:styleId="FootnoteText">
    <w:name w:val="footnote text"/>
    <w:basedOn w:val="Normal"/>
    <w:link w:val="FootnoteTextChar"/>
    <w:uiPriority w:val="99"/>
    <w:semiHidden/>
    <w:unhideWhenUsed/>
    <w:rsid w:val="00340232"/>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40232"/>
    <w:rPr>
      <w:sz w:val="20"/>
      <w:szCs w:val="20"/>
    </w:rPr>
  </w:style>
  <w:style w:type="character" w:styleId="FootnoteReference">
    <w:name w:val="footnote reference"/>
    <w:basedOn w:val="DefaultParagraphFont"/>
    <w:uiPriority w:val="99"/>
    <w:semiHidden/>
    <w:unhideWhenUsed/>
    <w:rsid w:val="00340232"/>
    <w:rPr>
      <w:vertAlign w:val="superscript"/>
    </w:rPr>
  </w:style>
  <w:style w:type="paragraph" w:styleId="Header">
    <w:name w:val="header"/>
    <w:basedOn w:val="Normal"/>
    <w:link w:val="HeaderChar"/>
    <w:uiPriority w:val="99"/>
    <w:unhideWhenUsed/>
    <w:rsid w:val="007D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1B"/>
    <w:rPr>
      <w:rFonts w:ascii="Calibri" w:eastAsia="SimSun" w:hAnsi="Calibri" w:cs="Times New Roman"/>
      <w:lang w:eastAsia="zh-CN"/>
    </w:rPr>
  </w:style>
  <w:style w:type="paragraph" w:styleId="Footer">
    <w:name w:val="footer"/>
    <w:basedOn w:val="Normal"/>
    <w:link w:val="FooterChar"/>
    <w:uiPriority w:val="99"/>
    <w:unhideWhenUsed/>
    <w:rsid w:val="007D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1B"/>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hea\Desktop\Crawford%20County%20Annual%20Endowment%20Summary%206.3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dLbls>
          <c:showLegendKey val="0"/>
          <c:showVal val="0"/>
          <c:showCatName val="0"/>
          <c:showSerName val="0"/>
          <c:showPercent val="0"/>
          <c:showBubbleSize val="0"/>
        </c:dLbls>
        <c:gapWidth val="0"/>
        <c:overlap val="100"/>
        <c:axId val="116972928"/>
        <c:axId val="128197760"/>
      </c:barChart>
      <c:catAx>
        <c:axId val="116972928"/>
        <c:scaling>
          <c:orientation val="minMax"/>
          <c:max val="7"/>
          <c:min val="1"/>
        </c:scaling>
        <c:delete val="0"/>
        <c:axPos val="b"/>
        <c:numFmt formatCode="[$-409]mmm\-yy;@" sourceLinked="1"/>
        <c:majorTickMark val="out"/>
        <c:minorTickMark val="none"/>
        <c:tickLblPos val="nextTo"/>
        <c:crossAx val="128197760"/>
        <c:crosses val="autoZero"/>
        <c:auto val="1"/>
        <c:lblAlgn val="ctr"/>
        <c:lblOffset val="100"/>
        <c:tickLblSkip val="3"/>
        <c:noMultiLvlLbl val="0"/>
      </c:catAx>
      <c:valAx>
        <c:axId val="128197760"/>
        <c:scaling>
          <c:orientation val="minMax"/>
          <c:max val="14000000"/>
          <c:min val="0"/>
        </c:scaling>
        <c:delete val="0"/>
        <c:axPos val="l"/>
        <c:majorGridlines/>
        <c:numFmt formatCode="_(&quot;$&quot;* #,##0_);_(&quot;$&quot;* \(#,##0\);_(&quot;$&quot;* &quot;-&quot;_);_(@_)" sourceLinked="1"/>
        <c:majorTickMark val="out"/>
        <c:minorTickMark val="none"/>
        <c:tickLblPos val="nextTo"/>
        <c:crossAx val="116972928"/>
        <c:crosses val="autoZero"/>
        <c:crossBetween val="between"/>
        <c:majorUnit val="2000000"/>
        <c:dispUnits>
          <c:builtInUnit val="millions"/>
          <c:dispUnitsLbl>
            <c:layout>
              <c:manualLayout>
                <c:xMode val="edge"/>
                <c:yMode val="edge"/>
                <c:x val="3.333333333333334E-2"/>
                <c:y val="0.25973388743073761"/>
              </c:manualLayout>
            </c:layout>
            <c:tx>
              <c:rich>
                <a:bodyPr/>
                <a:lstStyle/>
                <a:p>
                  <a:pPr>
                    <a:defRPr/>
                  </a:pPr>
                  <a:r>
                    <a:rPr lang="en-US"/>
                    <a:t>Millions of Dollars</a:t>
                  </a:r>
                </a:p>
              </c:rich>
            </c:tx>
          </c:dispUnitsLbl>
        </c:dispUnits>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FB7A-F065-4E5F-9A96-EA37FB17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4</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Janet</cp:lastModifiedBy>
  <cp:revision>2</cp:revision>
  <cp:lastPrinted>2013-11-11T21:09:00Z</cp:lastPrinted>
  <dcterms:created xsi:type="dcterms:W3CDTF">2013-11-12T19:22:00Z</dcterms:created>
  <dcterms:modified xsi:type="dcterms:W3CDTF">2013-11-12T19:22:00Z</dcterms:modified>
</cp:coreProperties>
</file>