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CA" w:rsidRDefault="00B12DCA" w:rsidP="00B12DCA"/>
    <w:p w:rsidR="00B12DCA" w:rsidRDefault="00B12DCA" w:rsidP="00B12DCA"/>
    <w:p w:rsidR="00B12DCA" w:rsidRDefault="00B12DCA" w:rsidP="00B12DCA"/>
    <w:p w:rsidR="00B12DCA" w:rsidRDefault="00B12DCA" w:rsidP="00B12DCA"/>
    <w:p w:rsidR="0063006C" w:rsidRDefault="0063006C" w:rsidP="00B12DCA"/>
    <w:p w:rsidR="00B12DCA" w:rsidRDefault="00B12DCA" w:rsidP="00B12DCA"/>
    <w:p w:rsidR="007746DC" w:rsidRDefault="007746DC" w:rsidP="006F5CC7">
      <w:pPr>
        <w:jc w:val="center"/>
        <w:rPr>
          <w:rFonts w:ascii="Whitney Book" w:hAnsi="Whitney Book" w:cs="Tahoma"/>
          <w:b/>
          <w:sz w:val="48"/>
          <w:szCs w:val="48"/>
        </w:rPr>
      </w:pPr>
    </w:p>
    <w:p w:rsidR="00B12DCA" w:rsidRPr="006F5CC7" w:rsidRDefault="006F5CC7" w:rsidP="006F5CC7">
      <w:pPr>
        <w:jc w:val="center"/>
        <w:rPr>
          <w:rFonts w:ascii="Whitney Book" w:hAnsi="Whitney Book" w:cs="Tahoma"/>
          <w:b/>
          <w:sz w:val="48"/>
          <w:szCs w:val="48"/>
        </w:rPr>
      </w:pPr>
      <w:r w:rsidRPr="006F5CC7">
        <w:rPr>
          <w:rFonts w:ascii="Whitney Book" w:hAnsi="Whitney Book" w:cs="Tahoma"/>
          <w:b/>
          <w:sz w:val="48"/>
          <w:szCs w:val="48"/>
        </w:rPr>
        <w:t xml:space="preserve">Thank you for your interest to </w:t>
      </w:r>
      <w:r w:rsidR="00873826">
        <w:rPr>
          <w:rFonts w:ascii="Whitney Book" w:hAnsi="Whitney Book" w:cs="Tahoma"/>
          <w:b/>
          <w:sz w:val="48"/>
          <w:szCs w:val="48"/>
        </w:rPr>
        <w:t xml:space="preserve">present your work at </w:t>
      </w:r>
      <w:proofErr w:type="spellStart"/>
      <w:r w:rsidRPr="006F5CC7">
        <w:rPr>
          <w:rFonts w:ascii="Whitney Book" w:hAnsi="Whitney Book" w:cs="Tahoma"/>
          <w:b/>
          <w:sz w:val="48"/>
          <w:szCs w:val="48"/>
        </w:rPr>
        <w:t>xMAP</w:t>
      </w:r>
      <w:proofErr w:type="spellEnd"/>
      <w:r w:rsidR="007746DC">
        <w:rPr>
          <w:rFonts w:ascii="Whitney Book" w:hAnsi="Whitney Book" w:cs="Tahoma"/>
          <w:b/>
          <w:sz w:val="48"/>
          <w:szCs w:val="48"/>
        </w:rPr>
        <w:t>®</w:t>
      </w:r>
      <w:r w:rsidR="00E06358">
        <w:rPr>
          <w:rFonts w:ascii="Whitney Book" w:hAnsi="Whitney Book" w:cs="Tahoma"/>
          <w:b/>
          <w:sz w:val="48"/>
          <w:szCs w:val="48"/>
        </w:rPr>
        <w:t xml:space="preserve"> Connect 2017</w:t>
      </w:r>
      <w:r w:rsidRPr="006F5CC7">
        <w:rPr>
          <w:rFonts w:ascii="Whitney Book" w:hAnsi="Whitney Book" w:cs="Tahoma"/>
          <w:b/>
          <w:sz w:val="48"/>
          <w:szCs w:val="48"/>
        </w:rPr>
        <w:t>!</w:t>
      </w:r>
    </w:p>
    <w:p w:rsidR="006F5CC7" w:rsidRPr="007652B1" w:rsidRDefault="006F5CC7" w:rsidP="007652B1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</w:p>
    <w:p w:rsidR="00B12DCA" w:rsidRPr="006F5CC7" w:rsidRDefault="003249DE" w:rsidP="00B12DCA">
      <w:pPr>
        <w:pStyle w:val="Listenabsatz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Prepare a presentation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title,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the title included on the submission should be suitable for published material.</w:t>
      </w:r>
    </w:p>
    <w:p w:rsidR="00B12DCA" w:rsidRPr="006F5CC7" w:rsidRDefault="00AD0438" w:rsidP="00B12DCA">
      <w:pPr>
        <w:pStyle w:val="Listenabsatz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Abstract text is limited to 3000 characters (</w:t>
      </w:r>
      <w:proofErr w:type="spellStart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approx</w:t>
      </w:r>
      <w:proofErr w:type="spellEnd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500 words). </w:t>
      </w:r>
    </w:p>
    <w:p w:rsidR="00B12DCA" w:rsidRPr="006F5CC7" w:rsidRDefault="00A627B6" w:rsidP="00B12DCA">
      <w:pPr>
        <w:pStyle w:val="Listenabsatz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We ask to use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4 core elements: 1) background and aim, 2) methods, 3) results, 4) conclusions.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We kindly ask you to use the 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format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below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:rsidR="00B12DCA" w:rsidRPr="006F5CC7" w:rsidRDefault="00A627B6" w:rsidP="00B12DCA">
      <w:pPr>
        <w:pStyle w:val="Listenabsatz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Please 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nsure the submission has been approved by all authors.</w:t>
      </w:r>
    </w:p>
    <w:p w:rsidR="00A627B6" w:rsidRPr="005F50AE" w:rsidRDefault="00AD0438" w:rsidP="005F50AE">
      <w:pPr>
        <w:pStyle w:val="Listenabsatz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By submitting an abstract, you agree to be present the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8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and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9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 of November at the congress, should your abstract be selected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</w:rPr>
        <w:t>.</w:t>
      </w:r>
    </w:p>
    <w:p w:rsidR="00A627B6" w:rsidRPr="00A627B6" w:rsidRDefault="00A627B6" w:rsidP="00A627B6">
      <w:pPr>
        <w:pStyle w:val="Listenabsatz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A627B6">
        <w:rPr>
          <w:rFonts w:ascii="Whitney Book" w:eastAsia="Times New Roman" w:hAnsi="Whitney Book" w:cs="Tahoma"/>
          <w:color w:val="000000"/>
          <w:sz w:val="24"/>
          <w:szCs w:val="24"/>
        </w:rPr>
        <w:t>Please indicate if you would like to b</w:t>
      </w:r>
      <w:r w:rsidR="005F50AE">
        <w:rPr>
          <w:rFonts w:ascii="Whitney Book" w:eastAsia="Times New Roman" w:hAnsi="Whitney Book" w:cs="Tahoma"/>
          <w:color w:val="000000"/>
          <w:sz w:val="24"/>
          <w:szCs w:val="24"/>
        </w:rPr>
        <w:t>e a speaker or present a poster.</w:t>
      </w:r>
    </w:p>
    <w:p w:rsidR="00C139B9" w:rsidRPr="006F5CC7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:rsidR="00C139B9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:rsidR="00B12DCA" w:rsidRPr="006F5CC7" w:rsidRDefault="00B12DCA">
      <w:pPr>
        <w:rPr>
          <w:rFonts w:ascii="Whitney Book" w:eastAsia="Times New Roman" w:hAnsi="Whitney Book" w:cs="Tahoma"/>
          <w:color w:val="000000"/>
          <w:sz w:val="18"/>
          <w:szCs w:val="18"/>
        </w:rPr>
      </w:pPr>
      <w:r w:rsidRPr="006F5CC7">
        <w:rPr>
          <w:rFonts w:ascii="Whitney Book" w:eastAsia="Times New Roman" w:hAnsi="Whitney Book" w:cs="Tahoma"/>
          <w:color w:val="000000"/>
          <w:sz w:val="18"/>
          <w:szCs w:val="18"/>
        </w:rPr>
        <w:br w:type="page"/>
      </w:r>
    </w:p>
    <w:p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38" w:rsidRPr="006F5CC7" w:rsidTr="00AD0438">
        <w:tc>
          <w:tcPr>
            <w:tcW w:w="9576" w:type="dxa"/>
          </w:tcPr>
          <w:p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  <w:r w:rsidR="008665AF">
              <w:rPr>
                <w:rFonts w:ascii="Verdana" w:hAnsi="Verdana"/>
              </w:rPr>
              <w:t xml:space="preserve"> Tim Waterboer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  <w:r w:rsidR="008665AF">
              <w:rPr>
                <w:rFonts w:ascii="Verdana" w:hAnsi="Verdana"/>
              </w:rPr>
              <w:t xml:space="preserve"> German Cancer Research Center (DKFZ)</w:t>
            </w:r>
          </w:p>
          <w:p w:rsidR="006F5CC7" w:rsidRPr="007746DC" w:rsidRDefault="007746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:rsidR="007746DC" w:rsidRPr="008665AF" w:rsidRDefault="007746DC">
            <w:pPr>
              <w:rPr>
                <w:rFonts w:ascii="Verdana" w:hAnsi="Verdana"/>
                <w:lang w:val="de-DE"/>
              </w:rPr>
            </w:pPr>
            <w:r w:rsidRPr="008665AF">
              <w:rPr>
                <w:rFonts w:ascii="Verdana" w:hAnsi="Verdana"/>
                <w:lang w:val="de-DE"/>
              </w:rPr>
              <w:t>Street:</w:t>
            </w:r>
            <w:r w:rsidR="008665AF" w:rsidRPr="008665AF">
              <w:rPr>
                <w:rFonts w:ascii="Verdana" w:hAnsi="Verdana"/>
                <w:lang w:val="de-DE"/>
              </w:rPr>
              <w:t xml:space="preserve"> Im </w:t>
            </w:r>
            <w:proofErr w:type="spellStart"/>
            <w:r w:rsidR="008665AF" w:rsidRPr="008665AF">
              <w:rPr>
                <w:rFonts w:ascii="Verdana" w:hAnsi="Verdana"/>
                <w:lang w:val="de-DE"/>
              </w:rPr>
              <w:t>Neuenheimer</w:t>
            </w:r>
            <w:proofErr w:type="spellEnd"/>
            <w:r w:rsidR="008665AF" w:rsidRPr="008665AF">
              <w:rPr>
                <w:rFonts w:ascii="Verdana" w:hAnsi="Verdana"/>
                <w:lang w:val="de-DE"/>
              </w:rPr>
              <w:t xml:space="preserve"> Feld 242</w:t>
            </w:r>
          </w:p>
          <w:p w:rsidR="006F5CC7" w:rsidRPr="008665AF" w:rsidRDefault="007746DC">
            <w:pPr>
              <w:rPr>
                <w:rFonts w:ascii="Verdana" w:hAnsi="Verdana"/>
              </w:rPr>
            </w:pPr>
            <w:r w:rsidRPr="008665AF">
              <w:rPr>
                <w:rFonts w:ascii="Verdana" w:hAnsi="Verdana"/>
              </w:rPr>
              <w:t>Postal code:</w:t>
            </w:r>
            <w:r w:rsidR="008665AF" w:rsidRPr="008665AF">
              <w:rPr>
                <w:rFonts w:ascii="Verdana" w:hAnsi="Verdana"/>
              </w:rPr>
              <w:t xml:space="preserve"> 69120 Heidelberg</w:t>
            </w:r>
          </w:p>
          <w:p w:rsidR="007746DC" w:rsidRP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Country:</w:t>
            </w:r>
            <w:r w:rsidR="008665AF">
              <w:rPr>
                <w:rFonts w:ascii="Verdana" w:hAnsi="Verdana"/>
              </w:rPr>
              <w:t xml:space="preserve"> Germany</w:t>
            </w:r>
          </w:p>
          <w:p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  <w:r w:rsidR="008665AF">
              <w:rPr>
                <w:rFonts w:ascii="Verdana" w:hAnsi="Verdana"/>
              </w:rPr>
              <w:t xml:space="preserve"> +49-6221-42-4948</w:t>
            </w:r>
          </w:p>
          <w:p w:rsidR="007746DC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  <w:r w:rsidR="008665AF">
              <w:rPr>
                <w:rFonts w:ascii="Verdana" w:hAnsi="Verdana"/>
              </w:rPr>
              <w:t xml:space="preserve"> t.waterboer@dkfz.de</w:t>
            </w:r>
          </w:p>
          <w:p w:rsidR="00AD0438" w:rsidRDefault="00AD0438">
            <w:pPr>
              <w:rPr>
                <w:rFonts w:ascii="Verdana" w:hAnsi="Verdana"/>
              </w:rPr>
            </w:pPr>
          </w:p>
          <w:p w:rsidR="005F50AE" w:rsidRPr="006F5CC7" w:rsidRDefault="005F50AE" w:rsidP="005F50AE">
            <w:pPr>
              <w:rPr>
                <w:rFonts w:ascii="Verdana" w:hAnsi="Verdana"/>
              </w:rPr>
            </w:pPr>
          </w:p>
          <w:p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  <w:r w:rsidR="008665AF" w:rsidRPr="008665AF">
              <w:rPr>
                <w:rFonts w:ascii="Verdana" w:hAnsi="Verdana"/>
              </w:rPr>
              <w:t>High-throughput, multiplexed bead based serology in</w:t>
            </w:r>
            <w:r w:rsidR="008665AF">
              <w:rPr>
                <w:rFonts w:ascii="Verdana" w:hAnsi="Verdana"/>
              </w:rPr>
              <w:t xml:space="preserve"> infections and cancer research</w:t>
            </w:r>
          </w:p>
          <w:p w:rsidR="006F5CC7" w:rsidRPr="008665AF" w:rsidRDefault="006F5CC7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7746DC" w:rsidRDefault="007746DC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1) Background and aim:</w:t>
            </w:r>
            <w:r w:rsidR="008E2FB0">
              <w:rPr>
                <w:rFonts w:ascii="Verdana" w:hAnsi="Verdana"/>
              </w:rPr>
              <w:t xml:space="preserve"> </w:t>
            </w:r>
          </w:p>
          <w:p w:rsidR="00B12DCA" w:rsidRPr="006F5CC7" w:rsidRDefault="00F74475" w:rsidP="00A233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Detecting antibodies against infectious agents has a long-standing history in etiological research associating pathogens with cancer development. H</w:t>
            </w:r>
            <w:r w:rsidR="00364D63">
              <w:rPr>
                <w:rFonts w:ascii="Verdana" w:hAnsi="Verdana"/>
              </w:rPr>
              <w:t xml:space="preserve">istorically, most </w:t>
            </w:r>
            <w:proofErr w:type="spellStart"/>
            <w:r>
              <w:rPr>
                <w:rFonts w:ascii="Verdana" w:hAnsi="Verdana"/>
              </w:rPr>
              <w:t>seroepidemiological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2E757F">
              <w:rPr>
                <w:rFonts w:ascii="Verdana" w:hAnsi="Verdana"/>
              </w:rPr>
              <w:t>approaches</w:t>
            </w:r>
            <w:r>
              <w:rPr>
                <w:rFonts w:ascii="Verdana" w:hAnsi="Verdana"/>
              </w:rPr>
              <w:t xml:space="preserve"> </w:t>
            </w:r>
            <w:r w:rsidR="00364D63">
              <w:rPr>
                <w:rFonts w:ascii="Verdana" w:hAnsi="Verdana"/>
              </w:rPr>
              <w:t xml:space="preserve">have </w:t>
            </w:r>
            <w:r>
              <w:rPr>
                <w:rFonts w:ascii="Verdana" w:hAnsi="Verdana"/>
              </w:rPr>
              <w:t>focus</w:t>
            </w:r>
            <w:r w:rsidR="00364D63">
              <w:rPr>
                <w:rFonts w:ascii="Verdana" w:hAnsi="Verdana"/>
              </w:rPr>
              <w:t>ed</w:t>
            </w:r>
            <w:r>
              <w:rPr>
                <w:rFonts w:ascii="Verdana" w:hAnsi="Verdana"/>
              </w:rPr>
              <w:t xml:space="preserve"> on single viruses or bacteria</w:t>
            </w:r>
            <w:r w:rsidR="00364D63">
              <w:rPr>
                <w:rFonts w:ascii="Verdana" w:hAnsi="Verdana"/>
              </w:rPr>
              <w:t xml:space="preserve"> though</w:t>
            </w:r>
            <w:r>
              <w:rPr>
                <w:rFonts w:ascii="Verdana" w:hAnsi="Verdana"/>
              </w:rPr>
              <w:t xml:space="preserve">, and </w:t>
            </w:r>
            <w:r w:rsidR="00364D63">
              <w:rPr>
                <w:rFonts w:ascii="Verdana" w:hAnsi="Verdana"/>
              </w:rPr>
              <w:t xml:space="preserve">many </w:t>
            </w:r>
            <w:r w:rsidR="002E757F">
              <w:rPr>
                <w:rFonts w:ascii="Verdana" w:hAnsi="Verdana"/>
              </w:rPr>
              <w:t xml:space="preserve">studies </w:t>
            </w:r>
            <w:r w:rsidR="00364D63">
              <w:rPr>
                <w:rFonts w:ascii="Verdana" w:hAnsi="Verdana"/>
              </w:rPr>
              <w:t>we</w:t>
            </w:r>
            <w:r>
              <w:rPr>
                <w:rFonts w:ascii="Verdana" w:hAnsi="Verdana"/>
              </w:rPr>
              <w:t>re underpowered</w:t>
            </w:r>
            <w:r w:rsidR="00364D63">
              <w:rPr>
                <w:rFonts w:ascii="Verdana" w:hAnsi="Verdana"/>
              </w:rPr>
              <w:t xml:space="preserve"> because classical immunoassays such as ELISA require large sample volumes.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</w:p>
          <w:p w:rsidR="00B12DCA" w:rsidRPr="006F5CC7" w:rsidRDefault="00F74475" w:rsidP="00A233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have developed multiplex serology, a h</w:t>
            </w:r>
            <w:r w:rsidRPr="008665AF">
              <w:rPr>
                <w:rFonts w:ascii="Verdana" w:hAnsi="Verdana"/>
              </w:rPr>
              <w:t>igh-throughput bead based</w:t>
            </w:r>
            <w:r>
              <w:rPr>
                <w:rFonts w:ascii="Verdana" w:hAnsi="Verdana"/>
              </w:rPr>
              <w:t xml:space="preserve"> assay that allows analyzing up to 2000 plasma or serum samples per day for antibodies to up 100 antigens simultaneously</w:t>
            </w:r>
            <w:r w:rsidR="00364D63">
              <w:rPr>
                <w:rFonts w:ascii="Verdana" w:hAnsi="Verdana"/>
              </w:rPr>
              <w:t>, based on sample volumes of less than 5 µl</w:t>
            </w:r>
            <w:r>
              <w:rPr>
                <w:rFonts w:ascii="Verdana" w:hAnsi="Verdana"/>
              </w:rPr>
              <w:t xml:space="preserve">. </w:t>
            </w:r>
            <w:r w:rsidR="00364D63">
              <w:rPr>
                <w:rFonts w:ascii="Verdana" w:hAnsi="Verdana"/>
              </w:rPr>
              <w:t xml:space="preserve">Antigens are bacterially expressed Glutathione S-Transferase fusion proteins that are </w:t>
            </w:r>
            <w:r w:rsidR="00364D63" w:rsidRPr="00364D63">
              <w:rPr>
                <w:rFonts w:ascii="Verdana" w:hAnsi="Verdana"/>
                <w:i/>
              </w:rPr>
              <w:t>in situ</w:t>
            </w:r>
            <w:r w:rsidR="00364D63">
              <w:rPr>
                <w:rFonts w:ascii="Verdana" w:hAnsi="Verdana"/>
              </w:rPr>
              <w:t xml:space="preserve"> affinity purified on Glutathione-</w:t>
            </w:r>
            <w:proofErr w:type="spellStart"/>
            <w:r w:rsidR="00364D63">
              <w:rPr>
                <w:rFonts w:ascii="Verdana" w:hAnsi="Verdana"/>
              </w:rPr>
              <w:t>derivatized</w:t>
            </w:r>
            <w:proofErr w:type="spellEnd"/>
            <w:r w:rsidR="00364D63">
              <w:rPr>
                <w:rFonts w:ascii="Verdana" w:hAnsi="Verdana"/>
              </w:rPr>
              <w:t xml:space="preserve"> fluorescence-encoded polystyrene </w:t>
            </w:r>
            <w:proofErr w:type="spellStart"/>
            <w:r w:rsidR="00364D63">
              <w:rPr>
                <w:rFonts w:ascii="Verdana" w:hAnsi="Verdana"/>
              </w:rPr>
              <w:t>microparticles</w:t>
            </w:r>
            <w:proofErr w:type="spellEnd"/>
            <w:r w:rsidR="00364D63">
              <w:rPr>
                <w:rFonts w:ascii="Verdana" w:hAnsi="Verdana"/>
              </w:rPr>
              <w:t>.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</w:p>
          <w:p w:rsidR="00B12DCA" w:rsidRPr="003157E3" w:rsidRDefault="00364D63" w:rsidP="00A233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Multiplex serology has been developed and validated for all infectious agents known to cause cancer (such as Human Papillomaviruses (HPV), </w:t>
            </w:r>
            <w:r w:rsidRPr="00364D63">
              <w:rPr>
                <w:rFonts w:ascii="Verdana" w:hAnsi="Verdana"/>
                <w:i/>
              </w:rPr>
              <w:t>Helicobacter pylori</w:t>
            </w:r>
            <w:r>
              <w:rPr>
                <w:rFonts w:ascii="Verdana" w:hAnsi="Verdana"/>
              </w:rPr>
              <w:t xml:space="preserve">, Hepatitis B and C viruses), and many others suspected to be involved in cancer development (e.g., </w:t>
            </w:r>
            <w:r w:rsidRPr="00364D63">
              <w:rPr>
                <w:rFonts w:ascii="Verdana" w:hAnsi="Verdana"/>
                <w:i/>
              </w:rPr>
              <w:t>Chlamydia trachomatis</w:t>
            </w:r>
            <w:r>
              <w:rPr>
                <w:rFonts w:ascii="Verdana" w:hAnsi="Verdana"/>
              </w:rPr>
              <w:t xml:space="preserve">, Human Herpesvirus 6). </w:t>
            </w:r>
            <w:proofErr w:type="gramStart"/>
            <w:r w:rsidR="00A476D8">
              <w:rPr>
                <w:rFonts w:ascii="Verdana" w:hAnsi="Verdana"/>
              </w:rPr>
              <w:t>In less than 15 years, the method has been employed in more than 200 published studies</w:t>
            </w:r>
            <w:r w:rsidR="00165CB5">
              <w:rPr>
                <w:rFonts w:ascii="Verdana" w:hAnsi="Verdana"/>
              </w:rPr>
              <w:t xml:space="preserve">, and has given rise to the </w:t>
            </w:r>
            <w:r w:rsidR="003157E3">
              <w:rPr>
                <w:rFonts w:ascii="Verdana" w:hAnsi="Verdana"/>
              </w:rPr>
              <w:t xml:space="preserve">discovery of biomarkers that are currently on their way into clinical practice, such as antibodies to the E6 </w:t>
            </w:r>
            <w:proofErr w:type="spellStart"/>
            <w:r w:rsidR="003157E3">
              <w:rPr>
                <w:rFonts w:ascii="Verdana" w:hAnsi="Verdana"/>
              </w:rPr>
              <w:t>oncoprotein</w:t>
            </w:r>
            <w:proofErr w:type="spellEnd"/>
            <w:r w:rsidR="003157E3">
              <w:rPr>
                <w:rFonts w:ascii="Verdana" w:hAnsi="Verdana"/>
              </w:rPr>
              <w:t xml:space="preserve"> of HPV type 16 and the pgp3 protein of </w:t>
            </w:r>
            <w:r w:rsidR="003157E3" w:rsidRPr="00364D63">
              <w:rPr>
                <w:rFonts w:ascii="Verdana" w:hAnsi="Verdana"/>
                <w:i/>
              </w:rPr>
              <w:t>C</w:t>
            </w:r>
            <w:r w:rsidR="003157E3">
              <w:rPr>
                <w:rFonts w:ascii="Verdana" w:hAnsi="Verdana"/>
                <w:i/>
              </w:rPr>
              <w:t xml:space="preserve">. </w:t>
            </w:r>
            <w:r w:rsidR="003157E3" w:rsidRPr="00364D63">
              <w:rPr>
                <w:rFonts w:ascii="Verdana" w:hAnsi="Verdana"/>
                <w:i/>
              </w:rPr>
              <w:t>trachomatis</w:t>
            </w:r>
            <w:r w:rsidR="003157E3" w:rsidRPr="003157E3">
              <w:rPr>
                <w:rFonts w:ascii="Verdana" w:hAnsi="Verdana"/>
              </w:rPr>
              <w:t xml:space="preserve"> which are </w:t>
            </w:r>
            <w:r w:rsidR="003157E3">
              <w:rPr>
                <w:rFonts w:ascii="Verdana" w:hAnsi="Verdana"/>
              </w:rPr>
              <w:t xml:space="preserve">predictive for the </w:t>
            </w:r>
            <w:r w:rsidR="00D065F4">
              <w:rPr>
                <w:rFonts w:ascii="Verdana" w:hAnsi="Verdana"/>
              </w:rPr>
              <w:t>development of oropharyngeal cancer (OPC) and ovarian cancer, respectively.</w:t>
            </w:r>
            <w:proofErr w:type="gramEnd"/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</w:p>
          <w:p w:rsidR="00B12DCA" w:rsidRPr="006F5CC7" w:rsidRDefault="002E757F" w:rsidP="00A233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Multiplex serology represents a quantum leap in </w:t>
            </w:r>
            <w:proofErr w:type="spellStart"/>
            <w:r>
              <w:rPr>
                <w:rFonts w:ascii="Verdana" w:hAnsi="Verdana"/>
              </w:rPr>
              <w:t>seroepidemiological</w:t>
            </w:r>
            <w:proofErr w:type="spellEnd"/>
            <w:r>
              <w:rPr>
                <w:rFonts w:ascii="Verdana" w:hAnsi="Verdana"/>
              </w:rPr>
              <w:t xml:space="preserve"> studies of infectious agents associated with cancer, and other chronic outcomes, such as neurodegenerative and autoimmune diseases. </w:t>
            </w:r>
            <w:bookmarkStart w:id="0" w:name="_GoBack"/>
            <w:bookmarkEnd w:id="0"/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</w:tbl>
    <w:p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4C"/>
    <w:rsid w:val="00165CB5"/>
    <w:rsid w:val="002E757F"/>
    <w:rsid w:val="003157E3"/>
    <w:rsid w:val="003249DE"/>
    <w:rsid w:val="00364D63"/>
    <w:rsid w:val="005F50AE"/>
    <w:rsid w:val="0063006C"/>
    <w:rsid w:val="006D2150"/>
    <w:rsid w:val="006F5CC7"/>
    <w:rsid w:val="00713DBC"/>
    <w:rsid w:val="007652B1"/>
    <w:rsid w:val="007746DC"/>
    <w:rsid w:val="008665AF"/>
    <w:rsid w:val="00873826"/>
    <w:rsid w:val="008C387C"/>
    <w:rsid w:val="008E2FB0"/>
    <w:rsid w:val="00A476D8"/>
    <w:rsid w:val="00A627B6"/>
    <w:rsid w:val="00A72D7C"/>
    <w:rsid w:val="00AD0438"/>
    <w:rsid w:val="00B12DCA"/>
    <w:rsid w:val="00C139B9"/>
    <w:rsid w:val="00D065F4"/>
    <w:rsid w:val="00D858A7"/>
    <w:rsid w:val="00DF7C4C"/>
    <w:rsid w:val="00E06358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32D"/>
  <w15:docId w15:val="{33660E16-6DB7-4E3D-B062-4C3016A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F7C4C"/>
  </w:style>
  <w:style w:type="table" w:styleId="Tabellenraster">
    <w:name w:val="Table Grid"/>
    <w:basedOn w:val="NormaleTabelle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043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043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D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77A9-AB96-4E68-A02C-A273049F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Luminex Corporation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Waterboer, Tim</cp:lastModifiedBy>
  <cp:revision>7</cp:revision>
  <cp:lastPrinted>2016-03-24T15:23:00Z</cp:lastPrinted>
  <dcterms:created xsi:type="dcterms:W3CDTF">2018-10-11T19:55:00Z</dcterms:created>
  <dcterms:modified xsi:type="dcterms:W3CDTF">2018-10-11T20:53:00Z</dcterms:modified>
</cp:coreProperties>
</file>