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38" w:rsidRPr="00DF7C4C" w:rsidRDefault="00AD0438" w:rsidP="00AD043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0438" w:rsidRPr="006F5CC7" w:rsidTr="00AD0438">
        <w:tc>
          <w:tcPr>
            <w:tcW w:w="9576" w:type="dxa"/>
          </w:tcPr>
          <w:p w:rsidR="00AD0438" w:rsidRPr="006F5CC7" w:rsidRDefault="00B12DCA">
            <w:pPr>
              <w:rPr>
                <w:rFonts w:ascii="Verdana" w:hAnsi="Verdana"/>
                <w:b/>
              </w:rPr>
            </w:pPr>
            <w:r w:rsidRPr="006F5CC7">
              <w:rPr>
                <w:rFonts w:ascii="Verdana" w:hAnsi="Verdana"/>
                <w:b/>
              </w:rPr>
              <w:t>Contact details:</w:t>
            </w:r>
          </w:p>
          <w:p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Name:</w:t>
            </w:r>
            <w:r w:rsidR="003C1F3B">
              <w:rPr>
                <w:rFonts w:ascii="Verdana" w:hAnsi="Verdana"/>
              </w:rPr>
              <w:t xml:space="preserve"> Wilco de Jager</w:t>
            </w:r>
          </w:p>
          <w:p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Institute/ Organization:</w:t>
            </w:r>
            <w:r w:rsidR="003C1F3B">
              <w:rPr>
                <w:rFonts w:ascii="Verdana" w:hAnsi="Verdana"/>
              </w:rPr>
              <w:t xml:space="preserve"> Luminex </w:t>
            </w:r>
            <w:r w:rsidR="00935BD6">
              <w:rPr>
                <w:rFonts w:ascii="Verdana" w:hAnsi="Verdana"/>
              </w:rPr>
              <w:t>corporation</w:t>
            </w:r>
          </w:p>
          <w:p w:rsidR="006F5CC7" w:rsidRPr="00B23F51" w:rsidRDefault="007746DC">
            <w:pPr>
              <w:rPr>
                <w:rFonts w:ascii="Verdana" w:hAnsi="Verdana"/>
                <w:b/>
                <w:lang w:val="nl-NL"/>
              </w:rPr>
            </w:pPr>
            <w:r w:rsidRPr="00B23F51">
              <w:rPr>
                <w:rFonts w:ascii="Verdana" w:hAnsi="Verdana"/>
                <w:b/>
                <w:lang w:val="nl-NL"/>
              </w:rPr>
              <w:t>Address</w:t>
            </w:r>
          </w:p>
          <w:p w:rsidR="007746DC" w:rsidRPr="00B23F51" w:rsidRDefault="007746DC">
            <w:pPr>
              <w:rPr>
                <w:rFonts w:ascii="Verdana" w:hAnsi="Verdana"/>
                <w:lang w:val="nl-NL"/>
              </w:rPr>
            </w:pPr>
            <w:r w:rsidRPr="00B23F51">
              <w:rPr>
                <w:rFonts w:ascii="Verdana" w:hAnsi="Verdana"/>
                <w:lang w:val="nl-NL"/>
              </w:rPr>
              <w:t>Street:</w:t>
            </w:r>
            <w:r w:rsidR="000E2CBC" w:rsidRPr="00B23F51">
              <w:rPr>
                <w:rFonts w:ascii="Verdana" w:hAnsi="Verdana"/>
                <w:lang w:val="nl-NL"/>
              </w:rPr>
              <w:t>Het Zuiderkruis 1</w:t>
            </w:r>
          </w:p>
          <w:p w:rsidR="006F5CC7" w:rsidRPr="00B23F51" w:rsidRDefault="007746DC">
            <w:pPr>
              <w:rPr>
                <w:rFonts w:ascii="Verdana" w:hAnsi="Verdana"/>
                <w:lang w:val="nl-NL"/>
              </w:rPr>
            </w:pPr>
            <w:r w:rsidRPr="00B23F51">
              <w:rPr>
                <w:rFonts w:ascii="Verdana" w:hAnsi="Verdana"/>
                <w:lang w:val="nl-NL"/>
              </w:rPr>
              <w:t>Postal code:</w:t>
            </w:r>
            <w:r w:rsidR="000E2CBC" w:rsidRPr="00B23F51">
              <w:rPr>
                <w:rFonts w:ascii="Verdana" w:hAnsi="Verdana"/>
                <w:lang w:val="nl-NL"/>
              </w:rPr>
              <w:t>5215 MV ‘s-Hertogenbosch</w:t>
            </w:r>
          </w:p>
          <w:p w:rsidR="007746DC" w:rsidRPr="006F5CC7" w:rsidRDefault="007746D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Country:</w:t>
            </w:r>
            <w:r w:rsidR="000E2CBC">
              <w:rPr>
                <w:rFonts w:ascii="Verdana" w:hAnsi="Verdana"/>
              </w:rPr>
              <w:t>the</w:t>
            </w:r>
            <w:proofErr w:type="spellEnd"/>
            <w:r w:rsidR="000E2CBC">
              <w:rPr>
                <w:rFonts w:ascii="Verdana" w:hAnsi="Verdana"/>
              </w:rPr>
              <w:t xml:space="preserve"> Netherlands</w:t>
            </w:r>
          </w:p>
          <w:p w:rsidR="006F5CC7" w:rsidRPr="006F5CC7" w:rsidRDefault="007746DC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Phone number</w:t>
            </w:r>
            <w:r w:rsidR="006F5CC7" w:rsidRPr="006F5CC7">
              <w:rPr>
                <w:rFonts w:ascii="Verdana" w:hAnsi="Verdana"/>
              </w:rPr>
              <w:t>:</w:t>
            </w:r>
            <w:r w:rsidR="000E2CBC">
              <w:rPr>
                <w:rFonts w:ascii="Verdana" w:hAnsi="Verdana"/>
              </w:rPr>
              <w:t>+31(06)11075484</w:t>
            </w:r>
          </w:p>
          <w:p w:rsidR="007746DC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Email address:</w:t>
            </w:r>
            <w:r w:rsidR="000E2CBC">
              <w:rPr>
                <w:rFonts w:ascii="Verdana" w:hAnsi="Verdana"/>
              </w:rPr>
              <w:t>wdejager@luminexcorp.com</w:t>
            </w:r>
          </w:p>
          <w:p w:rsidR="00AD0438" w:rsidRDefault="00AD0438">
            <w:pPr>
              <w:rPr>
                <w:rFonts w:ascii="Verdana" w:hAnsi="Verdana"/>
              </w:rPr>
            </w:pPr>
          </w:p>
          <w:p w:rsidR="005F50AE" w:rsidRPr="006F5CC7" w:rsidRDefault="005F50AE" w:rsidP="005F50AE">
            <w:pPr>
              <w:rPr>
                <w:rFonts w:ascii="Verdana" w:hAnsi="Verdana"/>
              </w:rPr>
            </w:pPr>
          </w:p>
          <w:p w:rsidR="005F50AE" w:rsidRPr="006F5CC7" w:rsidRDefault="005F50AE">
            <w:pPr>
              <w:rPr>
                <w:rFonts w:ascii="Verdana" w:hAnsi="Verdana"/>
              </w:rPr>
            </w:pPr>
          </w:p>
        </w:tc>
      </w:tr>
      <w:tr w:rsidR="00B12DCA" w:rsidRPr="006F5CC7" w:rsidTr="00B12DCA">
        <w:tc>
          <w:tcPr>
            <w:tcW w:w="9576" w:type="dxa"/>
          </w:tcPr>
          <w:p w:rsidR="00B12DCA" w:rsidRPr="006F5CC7" w:rsidRDefault="00B12DCA" w:rsidP="00A2331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F5CC7">
              <w:rPr>
                <w:rFonts w:ascii="Verdana" w:hAnsi="Verdana"/>
                <w:b/>
                <w:sz w:val="28"/>
                <w:szCs w:val="28"/>
              </w:rPr>
              <w:t xml:space="preserve">Title: </w:t>
            </w:r>
            <w:proofErr w:type="spellStart"/>
            <w:r w:rsidR="000D73AE" w:rsidRPr="000D73AE">
              <w:rPr>
                <w:rFonts w:ascii="Verdana" w:hAnsi="Verdana"/>
              </w:rPr>
              <w:t>xMAP</w:t>
            </w:r>
            <w:proofErr w:type="spellEnd"/>
            <w:r w:rsidR="000D73AE" w:rsidRPr="000D73AE">
              <w:rPr>
                <w:rFonts w:ascii="Verdana" w:hAnsi="Verdana"/>
              </w:rPr>
              <w:t xml:space="preserve"> Technology Multiplex Biomarker Quantification Assay Development: From Cookbook to Bench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6F5CC7" w:rsidRPr="007746DC" w:rsidRDefault="006F5CC7" w:rsidP="00A2331F">
            <w:pPr>
              <w:rPr>
                <w:rFonts w:ascii="Verdana" w:hAnsi="Verdana"/>
                <w:sz w:val="24"/>
                <w:szCs w:val="24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</w:tc>
      </w:tr>
      <w:tr w:rsidR="00B12DCA" w:rsidRPr="006F5CC7" w:rsidTr="00B12DCA">
        <w:tc>
          <w:tcPr>
            <w:tcW w:w="9576" w:type="dxa"/>
          </w:tcPr>
          <w:p w:rsidR="007746DC" w:rsidRDefault="007746DC" w:rsidP="00A2331F">
            <w:pPr>
              <w:rPr>
                <w:rFonts w:ascii="Verdana" w:hAnsi="Verdana"/>
              </w:rPr>
            </w:pPr>
          </w:p>
          <w:p w:rsidR="00935BD6" w:rsidRPr="009C5B53" w:rsidRDefault="00935BD6" w:rsidP="00A2331F">
            <w:pPr>
              <w:rPr>
                <w:rFonts w:ascii="Verdana" w:hAnsi="Verdana"/>
              </w:rPr>
            </w:pPr>
            <w:r w:rsidRPr="009C5B53">
              <w:rPr>
                <w:rFonts w:ascii="Verdana" w:hAnsi="Verdana"/>
              </w:rPr>
              <w:t xml:space="preserve">Diagnosis of complex disease and response to treatment is often associated with multiple indicators, both clinical and laboratorial. In the recent </w:t>
            </w:r>
            <w:r w:rsidR="00487383" w:rsidRPr="009C5B53">
              <w:rPr>
                <w:rFonts w:ascii="Verdana" w:hAnsi="Verdana"/>
              </w:rPr>
              <w:t>decades,</w:t>
            </w:r>
            <w:r w:rsidR="000E2CBC">
              <w:rPr>
                <w:rFonts w:ascii="Verdana" w:hAnsi="Verdana"/>
              </w:rPr>
              <w:t xml:space="preserve"> </w:t>
            </w:r>
            <w:r w:rsidRPr="009C5B53">
              <w:rPr>
                <w:rFonts w:ascii="Verdana" w:hAnsi="Verdana"/>
              </w:rPr>
              <w:t>translational research has developed from classical animal discovery models, to humanized setting</w:t>
            </w:r>
            <w:r w:rsidR="00487383" w:rsidRPr="009C5B53">
              <w:rPr>
                <w:rFonts w:ascii="Verdana" w:hAnsi="Verdana"/>
              </w:rPr>
              <w:t>s</w:t>
            </w:r>
            <w:r w:rsidRPr="009C5B53">
              <w:rPr>
                <w:rFonts w:ascii="Verdana" w:hAnsi="Verdana"/>
              </w:rPr>
              <w:t xml:space="preserve"> using mass cohorts and big data collection. This development underscores the need for multiplex technology to test large numbers of soluble mediators in small sample volumes.</w:t>
            </w:r>
          </w:p>
          <w:p w:rsidR="009C5B53" w:rsidRDefault="009C5B53" w:rsidP="009C5B53">
            <w:pPr>
              <w:rPr>
                <w:rFonts w:ascii="Verdana" w:hAnsi="Verdana"/>
              </w:rPr>
            </w:pPr>
          </w:p>
          <w:p w:rsidR="00A33114" w:rsidRDefault="009C5B53" w:rsidP="009C5B53">
            <w:pPr>
              <w:rPr>
                <w:rFonts w:ascii="Verdana" w:hAnsi="Verdana"/>
              </w:rPr>
            </w:pPr>
            <w:r w:rsidRPr="009C5B53">
              <w:rPr>
                <w:rFonts w:ascii="Verdana" w:hAnsi="Verdana"/>
              </w:rPr>
              <w:t xml:space="preserve">The </w:t>
            </w:r>
            <w:proofErr w:type="spellStart"/>
            <w:r w:rsidRPr="009C5B53">
              <w:rPr>
                <w:rFonts w:ascii="Verdana" w:hAnsi="Verdana"/>
              </w:rPr>
              <w:t>xMAP</w:t>
            </w:r>
            <w:proofErr w:type="spellEnd"/>
            <w:r w:rsidRPr="009C5B53">
              <w:rPr>
                <w:rFonts w:ascii="Verdana" w:hAnsi="Verdana"/>
              </w:rPr>
              <w:t xml:space="preserve">® Cookbook is a collection of methods and protocols for developing multiplex assays on the </w:t>
            </w:r>
            <w:proofErr w:type="spellStart"/>
            <w:r w:rsidRPr="009C5B53">
              <w:rPr>
                <w:rFonts w:ascii="Verdana" w:hAnsi="Verdana"/>
              </w:rPr>
              <w:t>xMAP</w:t>
            </w:r>
            <w:proofErr w:type="spellEnd"/>
            <w:r w:rsidRPr="009C5B53">
              <w:rPr>
                <w:rFonts w:ascii="Verdana" w:hAnsi="Verdana"/>
              </w:rPr>
              <w:t xml:space="preserve"> platform</w:t>
            </w:r>
            <w:r>
              <w:rPr>
                <w:rFonts w:ascii="Verdana" w:hAnsi="Verdana"/>
              </w:rPr>
              <w:t xml:space="preserve">. </w:t>
            </w:r>
            <w:r w:rsidR="00A33114">
              <w:rPr>
                <w:rFonts w:ascii="Verdana" w:hAnsi="Verdana"/>
              </w:rPr>
              <w:t>During the session, we will go over some common pitfalls for both first time and long-term users</w:t>
            </w:r>
            <w:r w:rsidR="000E2CBC">
              <w:rPr>
                <w:rFonts w:ascii="Verdana" w:hAnsi="Verdana"/>
              </w:rPr>
              <w:t>. H</w:t>
            </w:r>
            <w:r w:rsidR="00A33114">
              <w:rPr>
                <w:rFonts w:ascii="Verdana" w:hAnsi="Verdana"/>
              </w:rPr>
              <w:t>ow to translate these protocols to real-time (custom) assays</w:t>
            </w:r>
            <w:r w:rsidR="000E2CBC">
              <w:rPr>
                <w:rFonts w:ascii="Verdana" w:hAnsi="Verdana"/>
              </w:rPr>
              <w:t>, and in what manner the field application specialists/scientist can help with your applications.</w:t>
            </w:r>
          </w:p>
          <w:p w:rsidR="00A33114" w:rsidRPr="009C5B53" w:rsidRDefault="00A33114" w:rsidP="009C5B53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</w:tc>
      </w:tr>
    </w:tbl>
    <w:p w:rsidR="00AD0438" w:rsidRDefault="00AD0438" w:rsidP="00AD0438"/>
    <w:sectPr w:rsidR="00AD0438" w:rsidSect="00AD043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7A2"/>
    <w:multiLevelType w:val="multilevel"/>
    <w:tmpl w:val="D26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64E4B"/>
    <w:multiLevelType w:val="hybridMultilevel"/>
    <w:tmpl w:val="C4DC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EF4"/>
    <w:multiLevelType w:val="hybridMultilevel"/>
    <w:tmpl w:val="4A56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4C"/>
    <w:rsid w:val="000D73AE"/>
    <w:rsid w:val="000E2CBC"/>
    <w:rsid w:val="003249DE"/>
    <w:rsid w:val="003C1F3B"/>
    <w:rsid w:val="00487383"/>
    <w:rsid w:val="005F50AE"/>
    <w:rsid w:val="0063006C"/>
    <w:rsid w:val="006D2150"/>
    <w:rsid w:val="006F5CC7"/>
    <w:rsid w:val="00713DBC"/>
    <w:rsid w:val="007652B1"/>
    <w:rsid w:val="007746DC"/>
    <w:rsid w:val="00873826"/>
    <w:rsid w:val="008C387C"/>
    <w:rsid w:val="008E2B65"/>
    <w:rsid w:val="00935BD6"/>
    <w:rsid w:val="009C5B53"/>
    <w:rsid w:val="00A33114"/>
    <w:rsid w:val="00A627B6"/>
    <w:rsid w:val="00A72D7C"/>
    <w:rsid w:val="00AD0438"/>
    <w:rsid w:val="00B12DCA"/>
    <w:rsid w:val="00B23F51"/>
    <w:rsid w:val="00C139B9"/>
    <w:rsid w:val="00DF7C4C"/>
    <w:rsid w:val="00E06358"/>
    <w:rsid w:val="00EF4CB8"/>
    <w:rsid w:val="00F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34199-EA09-4215-A8FF-ED6CA95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C4C"/>
  </w:style>
  <w:style w:type="table" w:styleId="TableGrid">
    <w:name w:val="Table Grid"/>
    <w:basedOn w:val="TableNormal"/>
    <w:uiPriority w:val="59"/>
    <w:rsid w:val="00AD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4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B5B9-E641-4501-9263-493B8BE6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Luminex Corporation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Sulter</dc:creator>
  <cp:lastModifiedBy>Marcha Van Der Steen</cp:lastModifiedBy>
  <cp:revision>2</cp:revision>
  <cp:lastPrinted>2016-03-24T15:23:00Z</cp:lastPrinted>
  <dcterms:created xsi:type="dcterms:W3CDTF">2018-10-15T13:52:00Z</dcterms:created>
  <dcterms:modified xsi:type="dcterms:W3CDTF">2018-10-15T13:52:00Z</dcterms:modified>
</cp:coreProperties>
</file>