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DD" w:rsidRPr="00D94D6E" w:rsidRDefault="004465B5" w:rsidP="005C3CCD">
      <w:pPr>
        <w:spacing w:after="12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 Luminex-based diagnostic test</w:t>
      </w:r>
      <w:r w:rsidR="009B2752" w:rsidRPr="00D94D6E">
        <w:rPr>
          <w:b/>
          <w:sz w:val="22"/>
          <w:szCs w:val="22"/>
        </w:rPr>
        <w:t xml:space="preserve"> reduces unneeded prostate biopsies and improves the detection of prostate cancer</w:t>
      </w:r>
    </w:p>
    <w:p w:rsidR="00BB2AD9" w:rsidRPr="00D64508" w:rsidRDefault="00F77C26" w:rsidP="005C3CCD">
      <w:pPr>
        <w:spacing w:after="120"/>
        <w:jc w:val="both"/>
        <w:rPr>
          <w:sz w:val="22"/>
          <w:szCs w:val="22"/>
          <w:lang w:val="de-CH"/>
        </w:rPr>
      </w:pPr>
      <w:r w:rsidRPr="00D64508">
        <w:rPr>
          <w:sz w:val="22"/>
          <w:szCs w:val="22"/>
          <w:lang w:val="de-CH"/>
        </w:rPr>
        <w:t xml:space="preserve">Annalisa </w:t>
      </w:r>
      <w:r w:rsidR="002B0034" w:rsidRPr="00D64508">
        <w:rPr>
          <w:sz w:val="22"/>
          <w:szCs w:val="22"/>
          <w:lang w:val="de-CH"/>
        </w:rPr>
        <w:t>Macagno</w:t>
      </w:r>
      <w:r w:rsidR="00F82FCF" w:rsidRPr="00D64508">
        <w:rPr>
          <w:sz w:val="22"/>
          <w:szCs w:val="22"/>
          <w:vertAlign w:val="superscript"/>
          <w:lang w:val="de-CH"/>
        </w:rPr>
        <w:t>1</w:t>
      </w:r>
      <w:r w:rsidR="002B0034" w:rsidRPr="00D64508">
        <w:rPr>
          <w:sz w:val="22"/>
          <w:szCs w:val="22"/>
          <w:lang w:val="de-CH"/>
        </w:rPr>
        <w:t xml:space="preserve">, </w:t>
      </w:r>
      <w:r w:rsidR="00D64508">
        <w:rPr>
          <w:sz w:val="22"/>
          <w:szCs w:val="22"/>
          <w:lang w:val="de-CH"/>
        </w:rPr>
        <w:t>Jens Goepfert</w:t>
      </w:r>
      <w:r w:rsidR="00D64508" w:rsidRPr="00D64508">
        <w:rPr>
          <w:sz w:val="22"/>
          <w:szCs w:val="22"/>
          <w:vertAlign w:val="superscript"/>
          <w:lang w:val="de-CH"/>
        </w:rPr>
        <w:t>2</w:t>
      </w:r>
      <w:r w:rsidR="00D64508">
        <w:rPr>
          <w:sz w:val="22"/>
          <w:szCs w:val="22"/>
          <w:lang w:val="de-CH"/>
        </w:rPr>
        <w:t xml:space="preserve">, </w:t>
      </w:r>
      <w:r w:rsidR="002B0456" w:rsidRPr="00D64508">
        <w:rPr>
          <w:sz w:val="22"/>
          <w:szCs w:val="22"/>
          <w:lang w:val="de-CH"/>
        </w:rPr>
        <w:t>Pierre</w:t>
      </w:r>
      <w:r>
        <w:rPr>
          <w:sz w:val="22"/>
          <w:szCs w:val="22"/>
          <w:lang w:val="de-CH"/>
        </w:rPr>
        <w:t xml:space="preserve"> </w:t>
      </w:r>
      <w:r w:rsidRPr="00D64508">
        <w:rPr>
          <w:sz w:val="22"/>
          <w:szCs w:val="22"/>
          <w:lang w:val="de-CH"/>
        </w:rPr>
        <w:t>Tennstedt</w:t>
      </w:r>
      <w:r w:rsidR="00D64508">
        <w:rPr>
          <w:sz w:val="22"/>
          <w:szCs w:val="22"/>
          <w:vertAlign w:val="superscript"/>
          <w:lang w:val="de-CH"/>
        </w:rPr>
        <w:t>3</w:t>
      </w:r>
      <w:r w:rsidR="00613255" w:rsidRPr="00D64508">
        <w:rPr>
          <w:sz w:val="22"/>
          <w:szCs w:val="22"/>
          <w:lang w:val="de-CH"/>
        </w:rPr>
        <w:t>,</w:t>
      </w:r>
      <w:r w:rsidR="002B0456" w:rsidRPr="00D64508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Bruno </w:t>
      </w:r>
      <w:r w:rsidR="00BB2AD9" w:rsidRPr="00D64508">
        <w:rPr>
          <w:sz w:val="22"/>
          <w:szCs w:val="22"/>
          <w:lang w:val="de-CH"/>
        </w:rPr>
        <w:t>Golding</w:t>
      </w:r>
      <w:r w:rsidR="00F82FCF" w:rsidRPr="00D64508">
        <w:rPr>
          <w:sz w:val="22"/>
          <w:szCs w:val="22"/>
          <w:vertAlign w:val="superscript"/>
          <w:lang w:val="de-CH"/>
        </w:rPr>
        <w:t>1</w:t>
      </w:r>
      <w:r w:rsidR="00A12D4B" w:rsidRPr="00D64508">
        <w:rPr>
          <w:sz w:val="22"/>
          <w:szCs w:val="22"/>
          <w:lang w:val="de-CH"/>
        </w:rPr>
        <w:t>,</w:t>
      </w:r>
      <w:r w:rsidR="0089053B">
        <w:rPr>
          <w:sz w:val="22"/>
          <w:szCs w:val="22"/>
          <w:lang w:val="de-CH"/>
        </w:rPr>
        <w:t xml:space="preserve"> Thomas</w:t>
      </w:r>
      <w:r w:rsidR="002B0456" w:rsidRPr="00D64508">
        <w:rPr>
          <w:sz w:val="22"/>
          <w:szCs w:val="22"/>
          <w:lang w:val="de-CH"/>
        </w:rPr>
        <w:t xml:space="preserve"> </w:t>
      </w:r>
      <w:r w:rsidR="00D64508" w:rsidRPr="00D64508">
        <w:rPr>
          <w:sz w:val="22"/>
          <w:szCs w:val="22"/>
          <w:lang w:val="de-CH"/>
        </w:rPr>
        <w:t>Steuber</w:t>
      </w:r>
      <w:r w:rsidR="00D64508">
        <w:rPr>
          <w:sz w:val="22"/>
          <w:szCs w:val="22"/>
          <w:vertAlign w:val="superscript"/>
          <w:lang w:val="de-CH"/>
        </w:rPr>
        <w:t>3</w:t>
      </w:r>
      <w:r w:rsidR="00D64508">
        <w:rPr>
          <w:sz w:val="22"/>
          <w:szCs w:val="22"/>
          <w:lang w:val="de-CH"/>
        </w:rPr>
        <w:t xml:space="preserve">, </w:t>
      </w:r>
      <w:r w:rsidR="0089053B">
        <w:rPr>
          <w:sz w:val="22"/>
          <w:szCs w:val="22"/>
          <w:lang w:val="de-CH"/>
        </w:rPr>
        <w:t xml:space="preserve">Silke </w:t>
      </w:r>
      <w:r w:rsidR="00D64508">
        <w:rPr>
          <w:sz w:val="22"/>
          <w:szCs w:val="22"/>
          <w:lang w:val="de-CH"/>
        </w:rPr>
        <w:t>Gi</w:t>
      </w:r>
      <w:r w:rsidR="00BB2AD9" w:rsidRPr="00D64508">
        <w:rPr>
          <w:sz w:val="22"/>
          <w:szCs w:val="22"/>
          <w:lang w:val="de-CH"/>
        </w:rPr>
        <w:t>llessen</w:t>
      </w:r>
      <w:r w:rsidR="00D64508">
        <w:rPr>
          <w:sz w:val="22"/>
          <w:szCs w:val="22"/>
          <w:vertAlign w:val="superscript"/>
          <w:lang w:val="de-CH"/>
        </w:rPr>
        <w:t>4</w:t>
      </w:r>
      <w:r w:rsidR="002B0034" w:rsidRPr="00D64508">
        <w:rPr>
          <w:sz w:val="22"/>
          <w:szCs w:val="22"/>
          <w:lang w:val="de-CH"/>
        </w:rPr>
        <w:t xml:space="preserve">, </w:t>
      </w:r>
      <w:r w:rsidR="00D64508">
        <w:rPr>
          <w:sz w:val="22"/>
          <w:szCs w:val="22"/>
          <w:lang w:val="de-CH"/>
        </w:rPr>
        <w:t>Thomas Joos</w:t>
      </w:r>
      <w:r w:rsidR="00D64508" w:rsidRPr="00D64508">
        <w:rPr>
          <w:sz w:val="22"/>
          <w:szCs w:val="22"/>
          <w:vertAlign w:val="superscript"/>
          <w:lang w:val="de-CH"/>
        </w:rPr>
        <w:t>2</w:t>
      </w:r>
      <w:r w:rsidR="00D64508">
        <w:rPr>
          <w:sz w:val="22"/>
          <w:szCs w:val="22"/>
          <w:lang w:val="de-CH"/>
        </w:rPr>
        <w:t xml:space="preserve">, </w:t>
      </w:r>
      <w:r w:rsidR="00FC58DF">
        <w:rPr>
          <w:sz w:val="22"/>
          <w:szCs w:val="22"/>
          <w:lang w:val="de-CH"/>
        </w:rPr>
        <w:t xml:space="preserve">Ralph </w:t>
      </w:r>
      <w:r w:rsidR="002B0034" w:rsidRPr="00D64508">
        <w:rPr>
          <w:sz w:val="22"/>
          <w:szCs w:val="22"/>
          <w:lang w:val="de-CH"/>
        </w:rPr>
        <w:t>Schiess</w:t>
      </w:r>
      <w:r w:rsidR="00D64508">
        <w:rPr>
          <w:sz w:val="22"/>
          <w:szCs w:val="22"/>
          <w:vertAlign w:val="superscript"/>
          <w:lang w:val="de-CH"/>
        </w:rPr>
        <w:t>1</w:t>
      </w:r>
    </w:p>
    <w:p w:rsidR="00F82FCF" w:rsidRDefault="00F82FCF" w:rsidP="00F82FCF">
      <w:pPr>
        <w:spacing w:after="120"/>
        <w:jc w:val="both"/>
        <w:rPr>
          <w:rFonts w:ascii="Calibri" w:eastAsia="MS Mincho" w:hAnsi="Calibri" w:cs="MS Mincho"/>
          <w:bCs/>
          <w:iCs/>
          <w:sz w:val="22"/>
          <w:szCs w:val="22"/>
          <w:lang w:val="de-CH"/>
        </w:rPr>
      </w:pPr>
      <w:r w:rsidRPr="00D64508">
        <w:rPr>
          <w:rFonts w:ascii="Calibri" w:eastAsia="MS Mincho" w:hAnsi="Calibri" w:cs="MS Mincho"/>
          <w:bCs/>
          <w:iCs/>
          <w:sz w:val="22"/>
          <w:szCs w:val="22"/>
          <w:vertAlign w:val="superscript"/>
          <w:lang w:val="de-CH"/>
        </w:rPr>
        <w:t>1</w:t>
      </w:r>
      <w:r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>ProteoMediX, Schlieren, Switzerland</w:t>
      </w:r>
    </w:p>
    <w:p w:rsidR="00D64508" w:rsidRPr="00D64508" w:rsidRDefault="00D64508" w:rsidP="00F82FCF">
      <w:pPr>
        <w:spacing w:after="120"/>
        <w:jc w:val="both"/>
        <w:rPr>
          <w:rFonts w:ascii="Calibri" w:eastAsia="MS Mincho" w:hAnsi="Calibri" w:cs="MS Mincho"/>
          <w:bCs/>
          <w:iCs/>
          <w:sz w:val="22"/>
          <w:szCs w:val="22"/>
          <w:lang w:val="de-DE"/>
        </w:rPr>
      </w:pPr>
      <w:r w:rsidRPr="00D64508">
        <w:rPr>
          <w:rFonts w:ascii="Calibri" w:eastAsia="MS Mincho" w:hAnsi="Calibri" w:cs="MS Mincho"/>
          <w:bCs/>
          <w:iCs/>
          <w:sz w:val="22"/>
          <w:szCs w:val="22"/>
          <w:vertAlign w:val="superscript"/>
          <w:lang w:val="de-DE"/>
        </w:rPr>
        <w:t>2</w:t>
      </w:r>
      <w:r w:rsidRPr="00D64508">
        <w:rPr>
          <w:rFonts w:ascii="Calibri" w:eastAsia="MS Mincho" w:hAnsi="Calibri" w:cs="MS Mincho"/>
          <w:bCs/>
          <w:iCs/>
          <w:sz w:val="22"/>
          <w:szCs w:val="22"/>
          <w:lang w:val="de-DE"/>
        </w:rPr>
        <w:t>NMI Tübingen, Reutlingen, Germany</w:t>
      </w:r>
    </w:p>
    <w:p w:rsidR="009B2752" w:rsidRPr="00D64508" w:rsidRDefault="00D64508" w:rsidP="005C3CCD">
      <w:pPr>
        <w:spacing w:after="120"/>
        <w:jc w:val="both"/>
        <w:rPr>
          <w:rFonts w:ascii="Calibri" w:eastAsia="MS Mincho" w:hAnsi="Calibri" w:cs="MS Mincho"/>
          <w:bCs/>
          <w:iCs/>
          <w:sz w:val="22"/>
          <w:szCs w:val="22"/>
          <w:lang w:val="de-CH"/>
        </w:rPr>
      </w:pPr>
      <w:r w:rsidRPr="00D64508">
        <w:rPr>
          <w:rFonts w:ascii="Calibri" w:eastAsia="MS Mincho" w:hAnsi="Calibri" w:cs="MS Mincho"/>
          <w:bCs/>
          <w:iCs/>
          <w:sz w:val="22"/>
          <w:szCs w:val="22"/>
          <w:vertAlign w:val="superscript"/>
          <w:lang w:val="de-CH"/>
        </w:rPr>
        <w:t>3</w:t>
      </w:r>
      <w:r w:rsidR="00C835DD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 xml:space="preserve">Martini-Klinik, </w:t>
      </w:r>
      <w:r w:rsidR="009B2752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>University Hospital Hamburg-Eppendorf</w:t>
      </w:r>
      <w:r w:rsidR="00C835DD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>, Hamburg, Germany</w:t>
      </w:r>
    </w:p>
    <w:p w:rsidR="00BB2AD9" w:rsidRPr="00D64508" w:rsidRDefault="00D64508" w:rsidP="005C3CCD">
      <w:pPr>
        <w:spacing w:after="120"/>
        <w:jc w:val="both"/>
        <w:rPr>
          <w:rFonts w:ascii="Calibri" w:eastAsia="MS Mincho" w:hAnsi="Calibri" w:cs="MS Mincho"/>
          <w:bCs/>
          <w:sz w:val="22"/>
          <w:szCs w:val="22"/>
          <w:lang w:val="de-CH"/>
        </w:rPr>
      </w:pPr>
      <w:r w:rsidRPr="00D64508">
        <w:rPr>
          <w:rFonts w:ascii="Calibri" w:eastAsia="MS Mincho" w:hAnsi="Calibri" w:cs="MS Mincho"/>
          <w:bCs/>
          <w:iCs/>
          <w:sz w:val="22"/>
          <w:szCs w:val="22"/>
          <w:vertAlign w:val="superscript"/>
          <w:lang w:val="de-CH"/>
        </w:rPr>
        <w:t>4</w:t>
      </w:r>
      <w:r w:rsidR="00C835DD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 xml:space="preserve">Cantonal Hospital St. Gallen, </w:t>
      </w:r>
      <w:r w:rsidR="009B2752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>Oncology</w:t>
      </w:r>
      <w:r w:rsidR="00C835DD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 xml:space="preserve">, St. Gallen, </w:t>
      </w:r>
      <w:r w:rsidR="009B2752" w:rsidRPr="00D64508">
        <w:rPr>
          <w:rFonts w:ascii="Calibri" w:eastAsia="MS Mincho" w:hAnsi="Calibri" w:cs="MS Mincho"/>
          <w:bCs/>
          <w:iCs/>
          <w:sz w:val="22"/>
          <w:szCs w:val="22"/>
          <w:lang w:val="de-CH"/>
        </w:rPr>
        <w:t>Switzerland</w:t>
      </w:r>
    </w:p>
    <w:p w:rsidR="00C87C72" w:rsidRPr="00D64508" w:rsidRDefault="00C87C72" w:rsidP="00831508">
      <w:pPr>
        <w:spacing w:after="120"/>
        <w:jc w:val="both"/>
        <w:rPr>
          <w:b/>
          <w:sz w:val="22"/>
          <w:szCs w:val="22"/>
          <w:lang w:val="de-CH"/>
        </w:rPr>
      </w:pPr>
    </w:p>
    <w:p w:rsidR="00831508" w:rsidRPr="00D94D6E" w:rsidRDefault="008F7AA8" w:rsidP="00831508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Background and Aim</w:t>
      </w:r>
      <w:r w:rsidR="003636D1" w:rsidRPr="00D94D6E">
        <w:rPr>
          <w:b/>
          <w:sz w:val="22"/>
          <w:szCs w:val="22"/>
        </w:rPr>
        <w:t>:</w:t>
      </w:r>
      <w:r w:rsidR="00A67A8F" w:rsidRPr="00D94D6E">
        <w:rPr>
          <w:b/>
          <w:sz w:val="22"/>
          <w:szCs w:val="22"/>
        </w:rPr>
        <w:t xml:space="preserve"> </w:t>
      </w:r>
      <w:r w:rsidR="00D64508">
        <w:rPr>
          <w:sz w:val="22"/>
          <w:szCs w:val="22"/>
        </w:rPr>
        <w:t>Prostate cancer diagnosis is hampered b</w:t>
      </w:r>
      <w:r w:rsidR="00820E9A" w:rsidRPr="00D94D6E">
        <w:rPr>
          <w:sz w:val="22"/>
          <w:szCs w:val="22"/>
        </w:rPr>
        <w:t>y</w:t>
      </w:r>
      <w:r w:rsidR="00D64508">
        <w:rPr>
          <w:sz w:val="22"/>
          <w:szCs w:val="22"/>
        </w:rPr>
        <w:t xml:space="preserve"> the high</w:t>
      </w:r>
      <w:r w:rsidR="00820E9A" w:rsidRPr="00D94D6E">
        <w:rPr>
          <w:sz w:val="22"/>
          <w:szCs w:val="22"/>
        </w:rPr>
        <w:t xml:space="preserve"> false-positive</w:t>
      </w:r>
      <w:r w:rsidR="00D64508">
        <w:rPr>
          <w:sz w:val="22"/>
          <w:szCs w:val="22"/>
        </w:rPr>
        <w:t xml:space="preserve"> rate of</w:t>
      </w:r>
      <w:r w:rsidR="00A67A8F" w:rsidRPr="00D94D6E">
        <w:rPr>
          <w:sz w:val="22"/>
          <w:szCs w:val="22"/>
        </w:rPr>
        <w:t xml:space="preserve"> PSA </w:t>
      </w:r>
      <w:r w:rsidR="00D64508">
        <w:rPr>
          <w:sz w:val="22"/>
          <w:szCs w:val="22"/>
        </w:rPr>
        <w:t>testing</w:t>
      </w:r>
      <w:r w:rsidR="00820E9A" w:rsidRPr="00D94D6E">
        <w:rPr>
          <w:sz w:val="22"/>
          <w:szCs w:val="22"/>
        </w:rPr>
        <w:t xml:space="preserve"> and consequently </w:t>
      </w:r>
      <w:r w:rsidR="00D64508">
        <w:rPr>
          <w:sz w:val="22"/>
          <w:szCs w:val="22"/>
        </w:rPr>
        <w:t>leads many</w:t>
      </w:r>
      <w:r w:rsidR="00A67A8F" w:rsidRPr="00D94D6E">
        <w:rPr>
          <w:sz w:val="22"/>
          <w:szCs w:val="22"/>
        </w:rPr>
        <w:t xml:space="preserve"> </w:t>
      </w:r>
      <w:r w:rsidR="00FC58DF">
        <w:rPr>
          <w:sz w:val="22"/>
          <w:szCs w:val="22"/>
        </w:rPr>
        <w:t>unnecessary</w:t>
      </w:r>
      <w:r w:rsidR="00A67A8F" w:rsidRPr="00D94D6E">
        <w:rPr>
          <w:sz w:val="22"/>
          <w:szCs w:val="22"/>
        </w:rPr>
        <w:t xml:space="preserve"> prostate biopsies</w:t>
      </w:r>
      <w:r w:rsidR="00831508" w:rsidRPr="00831508">
        <w:rPr>
          <w:sz w:val="22"/>
          <w:szCs w:val="22"/>
        </w:rPr>
        <w:t>. Our objective was to develop immunoassays for the biomarkers previously identified</w:t>
      </w:r>
      <w:r w:rsidR="00D64508">
        <w:rPr>
          <w:sz w:val="22"/>
          <w:szCs w:val="22"/>
        </w:rPr>
        <w:t xml:space="preserve"> using </w:t>
      </w:r>
      <w:r w:rsidR="00FC58DF">
        <w:rPr>
          <w:sz w:val="22"/>
          <w:szCs w:val="22"/>
        </w:rPr>
        <w:t xml:space="preserve">mass spectrometry and </w:t>
      </w:r>
      <w:r w:rsidR="00D64508">
        <w:rPr>
          <w:sz w:val="22"/>
          <w:szCs w:val="22"/>
        </w:rPr>
        <w:t xml:space="preserve">a </w:t>
      </w:r>
      <w:r w:rsidR="00D64508" w:rsidRPr="00831508">
        <w:rPr>
          <w:sz w:val="22"/>
          <w:szCs w:val="22"/>
        </w:rPr>
        <w:t xml:space="preserve">genetics-guided discovery approach focusing on the PI3K/PTEN cancer </w:t>
      </w:r>
      <w:r w:rsidR="00D64508">
        <w:rPr>
          <w:sz w:val="22"/>
          <w:szCs w:val="22"/>
        </w:rPr>
        <w:t>pathway.</w:t>
      </w:r>
      <w:r w:rsidR="00831508" w:rsidRPr="00831508">
        <w:rPr>
          <w:sz w:val="22"/>
          <w:szCs w:val="22"/>
        </w:rPr>
        <w:t xml:space="preserve"> </w:t>
      </w:r>
      <w:r w:rsidR="00D64508">
        <w:rPr>
          <w:sz w:val="22"/>
          <w:szCs w:val="22"/>
        </w:rPr>
        <w:t>Here we</w:t>
      </w:r>
      <w:r w:rsidR="00831508" w:rsidRPr="00D94D6E">
        <w:rPr>
          <w:sz w:val="22"/>
          <w:szCs w:val="22"/>
        </w:rPr>
        <w:t xml:space="preserve"> evaluate</w:t>
      </w:r>
      <w:r w:rsidR="00D64508">
        <w:rPr>
          <w:sz w:val="22"/>
          <w:szCs w:val="22"/>
        </w:rPr>
        <w:t>d</w:t>
      </w:r>
      <w:r w:rsidR="00831508" w:rsidRPr="00D94D6E">
        <w:rPr>
          <w:sz w:val="22"/>
          <w:szCs w:val="22"/>
        </w:rPr>
        <w:t xml:space="preserve"> if </w:t>
      </w:r>
      <w:r w:rsidR="00831508">
        <w:rPr>
          <w:sz w:val="22"/>
          <w:szCs w:val="22"/>
        </w:rPr>
        <w:t>they</w:t>
      </w:r>
      <w:r w:rsidR="00831508" w:rsidRPr="00D94D6E">
        <w:rPr>
          <w:sz w:val="22"/>
          <w:szCs w:val="22"/>
        </w:rPr>
        <w:t xml:space="preserve"> are capable </w:t>
      </w:r>
      <w:r w:rsidR="00831508">
        <w:rPr>
          <w:sz w:val="22"/>
          <w:szCs w:val="22"/>
        </w:rPr>
        <w:t>of</w:t>
      </w:r>
      <w:r w:rsidR="00831508" w:rsidRPr="00D94D6E">
        <w:rPr>
          <w:sz w:val="22"/>
          <w:szCs w:val="22"/>
        </w:rPr>
        <w:t xml:space="preserve"> distinguish</w:t>
      </w:r>
      <w:r w:rsidR="00831508">
        <w:rPr>
          <w:sz w:val="22"/>
          <w:szCs w:val="22"/>
        </w:rPr>
        <w:t>ing</w:t>
      </w:r>
      <w:r w:rsidR="00831508" w:rsidRPr="00D94D6E">
        <w:rPr>
          <w:sz w:val="22"/>
          <w:szCs w:val="22"/>
        </w:rPr>
        <w:t xml:space="preserve"> benign disease from prostate cancer.</w:t>
      </w:r>
    </w:p>
    <w:p w:rsidR="003636D1" w:rsidRPr="00D94D6E" w:rsidRDefault="003636D1" w:rsidP="005C3CCD">
      <w:pPr>
        <w:spacing w:after="120"/>
        <w:jc w:val="both"/>
        <w:rPr>
          <w:b/>
          <w:sz w:val="22"/>
          <w:szCs w:val="22"/>
        </w:rPr>
      </w:pPr>
    </w:p>
    <w:p w:rsidR="00C87C72" w:rsidRDefault="003636D1" w:rsidP="005C3CCD">
      <w:pPr>
        <w:tabs>
          <w:tab w:val="left" w:pos="2839"/>
        </w:tabs>
        <w:spacing w:after="120"/>
        <w:jc w:val="both"/>
        <w:rPr>
          <w:sz w:val="22"/>
          <w:szCs w:val="22"/>
        </w:rPr>
      </w:pPr>
      <w:r w:rsidRPr="00D94D6E">
        <w:rPr>
          <w:b/>
          <w:sz w:val="22"/>
          <w:szCs w:val="22"/>
        </w:rPr>
        <w:t>M</w:t>
      </w:r>
      <w:r w:rsidR="008F7AA8">
        <w:rPr>
          <w:b/>
          <w:sz w:val="22"/>
          <w:szCs w:val="22"/>
        </w:rPr>
        <w:t>e</w:t>
      </w:r>
      <w:r w:rsidRPr="00D94D6E">
        <w:rPr>
          <w:b/>
          <w:sz w:val="22"/>
          <w:szCs w:val="22"/>
        </w:rPr>
        <w:t>thods:</w:t>
      </w:r>
      <w:r w:rsidR="00A67A8F" w:rsidRPr="00D94D6E">
        <w:rPr>
          <w:b/>
          <w:sz w:val="22"/>
          <w:szCs w:val="22"/>
        </w:rPr>
        <w:t xml:space="preserve"> </w:t>
      </w:r>
      <w:r w:rsidR="00EA726B" w:rsidRPr="00EA726B">
        <w:rPr>
          <w:sz w:val="22"/>
          <w:szCs w:val="22"/>
        </w:rPr>
        <w:t xml:space="preserve">Proprietary reagents including protein reference standards and antibodies were generated for the individual biomarker candidates. Subsequently, </w:t>
      </w:r>
      <w:r w:rsidR="00EA726B">
        <w:rPr>
          <w:sz w:val="22"/>
          <w:szCs w:val="22"/>
        </w:rPr>
        <w:t xml:space="preserve">bead-based </w:t>
      </w:r>
      <w:r w:rsidR="00EA726B" w:rsidRPr="00EA726B">
        <w:rPr>
          <w:sz w:val="22"/>
          <w:szCs w:val="22"/>
        </w:rPr>
        <w:t xml:space="preserve">sandwich immunoassays were developed </w:t>
      </w:r>
      <w:r w:rsidR="00EA726B">
        <w:rPr>
          <w:sz w:val="22"/>
          <w:szCs w:val="22"/>
        </w:rPr>
        <w:t xml:space="preserve">using Luminex </w:t>
      </w:r>
      <w:r w:rsidR="00EA726B" w:rsidRPr="00EA726B">
        <w:rPr>
          <w:sz w:val="22"/>
          <w:szCs w:val="22"/>
        </w:rPr>
        <w:t>xMAP technology</w:t>
      </w:r>
      <w:r w:rsidR="00EA726B">
        <w:rPr>
          <w:sz w:val="22"/>
          <w:szCs w:val="22"/>
        </w:rPr>
        <w:t xml:space="preserve"> </w:t>
      </w:r>
      <w:r w:rsidR="00EA726B" w:rsidRPr="00EA726B">
        <w:rPr>
          <w:sz w:val="22"/>
          <w:szCs w:val="22"/>
        </w:rPr>
        <w:t>and validated accord</w:t>
      </w:r>
      <w:r w:rsidR="00D556BD">
        <w:rPr>
          <w:sz w:val="22"/>
          <w:szCs w:val="22"/>
        </w:rPr>
        <w:t>ing to bioanalytical guidelines</w:t>
      </w:r>
      <w:r w:rsidR="00C87C72">
        <w:rPr>
          <w:sz w:val="22"/>
          <w:szCs w:val="22"/>
        </w:rPr>
        <w:t xml:space="preserve">. The assays were then used to determine the concentration in sera </w:t>
      </w:r>
      <w:r w:rsidR="00C87C72" w:rsidRPr="00D94D6E">
        <w:rPr>
          <w:sz w:val="22"/>
          <w:szCs w:val="22"/>
        </w:rPr>
        <w:t xml:space="preserve">collected </w:t>
      </w:r>
      <w:r w:rsidR="00D556BD">
        <w:rPr>
          <w:sz w:val="22"/>
          <w:szCs w:val="22"/>
        </w:rPr>
        <w:t xml:space="preserve">from men </w:t>
      </w:r>
      <w:r w:rsidR="00C87C72" w:rsidRPr="00D94D6E">
        <w:rPr>
          <w:sz w:val="22"/>
          <w:szCs w:val="22"/>
        </w:rPr>
        <w:t>before</w:t>
      </w:r>
      <w:r w:rsidR="00D556BD">
        <w:rPr>
          <w:sz w:val="22"/>
          <w:szCs w:val="22"/>
        </w:rPr>
        <w:t xml:space="preserve"> undergoing</w:t>
      </w:r>
      <w:r w:rsidR="00C87C72" w:rsidRPr="00D94D6E">
        <w:rPr>
          <w:sz w:val="22"/>
          <w:szCs w:val="22"/>
        </w:rPr>
        <w:t xml:space="preserve"> prostate biopsy at the Martini-Klinik Hamburg, Germany</w:t>
      </w:r>
      <w:r w:rsidR="00C87C72">
        <w:rPr>
          <w:sz w:val="22"/>
          <w:szCs w:val="22"/>
        </w:rPr>
        <w:t>.</w:t>
      </w:r>
      <w:r w:rsidR="00C87C72" w:rsidRPr="00C87C72">
        <w:rPr>
          <w:sz w:val="22"/>
          <w:szCs w:val="22"/>
        </w:rPr>
        <w:t xml:space="preserve"> </w:t>
      </w:r>
      <w:r w:rsidR="00C87C72" w:rsidRPr="00D94D6E">
        <w:rPr>
          <w:sz w:val="22"/>
          <w:szCs w:val="22"/>
        </w:rPr>
        <w:t>In addition, total and free PSA were analyzed to calculate %fPSA using the ADVIA Centaur immunoassay system.</w:t>
      </w:r>
      <w:r w:rsidR="0090350E" w:rsidRPr="0090350E">
        <w:rPr>
          <w:sz w:val="22"/>
          <w:szCs w:val="22"/>
        </w:rPr>
        <w:t xml:space="preserve"> </w:t>
      </w:r>
      <w:r w:rsidR="0090350E" w:rsidRPr="00D94D6E">
        <w:rPr>
          <w:sz w:val="22"/>
          <w:szCs w:val="22"/>
        </w:rPr>
        <w:t>Of the 474 men included in th</w:t>
      </w:r>
      <w:r w:rsidR="0090350E">
        <w:rPr>
          <w:sz w:val="22"/>
          <w:szCs w:val="22"/>
        </w:rPr>
        <w:t>e</w:t>
      </w:r>
      <w:r w:rsidR="0090350E" w:rsidRPr="00D94D6E">
        <w:rPr>
          <w:sz w:val="22"/>
          <w:szCs w:val="22"/>
        </w:rPr>
        <w:t xml:space="preserve"> </w:t>
      </w:r>
      <w:r w:rsidR="0090350E">
        <w:rPr>
          <w:sz w:val="22"/>
          <w:szCs w:val="22"/>
        </w:rPr>
        <w:t xml:space="preserve">retrospective </w:t>
      </w:r>
      <w:r w:rsidR="0090350E" w:rsidRPr="00D94D6E">
        <w:rPr>
          <w:sz w:val="22"/>
          <w:szCs w:val="22"/>
        </w:rPr>
        <w:t>study, 236 men had a negative biopsy and 238 were diagnosed with prostate cancer.</w:t>
      </w:r>
    </w:p>
    <w:p w:rsidR="00C87C72" w:rsidRDefault="00C87C72" w:rsidP="005C3CCD">
      <w:pPr>
        <w:tabs>
          <w:tab w:val="left" w:pos="2839"/>
        </w:tabs>
        <w:spacing w:after="120"/>
        <w:jc w:val="both"/>
        <w:rPr>
          <w:sz w:val="22"/>
          <w:szCs w:val="22"/>
        </w:rPr>
      </w:pPr>
    </w:p>
    <w:p w:rsidR="0090350E" w:rsidRPr="006550AA" w:rsidRDefault="003636D1" w:rsidP="00D677F4">
      <w:pPr>
        <w:spacing w:after="120"/>
        <w:jc w:val="both"/>
        <w:rPr>
          <w:sz w:val="22"/>
          <w:szCs w:val="22"/>
        </w:rPr>
      </w:pPr>
      <w:r w:rsidRPr="00D94D6E">
        <w:rPr>
          <w:b/>
          <w:sz w:val="22"/>
          <w:szCs w:val="22"/>
        </w:rPr>
        <w:t>Results:</w:t>
      </w:r>
      <w:r w:rsidR="00FE294D" w:rsidRPr="00D94D6E">
        <w:rPr>
          <w:b/>
          <w:sz w:val="22"/>
          <w:szCs w:val="22"/>
        </w:rPr>
        <w:t xml:space="preserve"> </w:t>
      </w:r>
      <w:r w:rsidR="00F82FCF">
        <w:rPr>
          <w:sz w:val="22"/>
          <w:szCs w:val="22"/>
        </w:rPr>
        <w:t xml:space="preserve">Luminex xMAP </w:t>
      </w:r>
      <w:r w:rsidR="0090350E">
        <w:rPr>
          <w:sz w:val="22"/>
          <w:szCs w:val="22"/>
        </w:rPr>
        <w:t xml:space="preserve">multiplexing </w:t>
      </w:r>
      <w:r w:rsidR="00F82FCF">
        <w:rPr>
          <w:sz w:val="22"/>
          <w:szCs w:val="22"/>
        </w:rPr>
        <w:t xml:space="preserve">technology </w:t>
      </w:r>
      <w:r w:rsidR="0090350E">
        <w:rPr>
          <w:sz w:val="22"/>
          <w:szCs w:val="22"/>
        </w:rPr>
        <w:t>(</w:t>
      </w:r>
      <w:r w:rsidR="00F82FCF">
        <w:rPr>
          <w:sz w:val="22"/>
          <w:szCs w:val="22"/>
        </w:rPr>
        <w:t>coupling each antibody to different bead regions</w:t>
      </w:r>
      <w:r w:rsidR="0090350E">
        <w:rPr>
          <w:sz w:val="22"/>
          <w:szCs w:val="22"/>
        </w:rPr>
        <w:t>)</w:t>
      </w:r>
      <w:r w:rsidR="00F82FCF">
        <w:rPr>
          <w:sz w:val="22"/>
          <w:szCs w:val="22"/>
        </w:rPr>
        <w:t xml:space="preserve"> proved to be highly efficient for the screening of </w:t>
      </w:r>
      <w:r w:rsidR="0090350E">
        <w:rPr>
          <w:sz w:val="22"/>
          <w:szCs w:val="22"/>
        </w:rPr>
        <w:t>generated</w:t>
      </w:r>
      <w:r w:rsidR="00F82FCF">
        <w:rPr>
          <w:sz w:val="22"/>
          <w:szCs w:val="22"/>
        </w:rPr>
        <w:t xml:space="preserve"> monoclonal antibodies</w:t>
      </w:r>
      <w:r w:rsidR="0090350E">
        <w:rPr>
          <w:sz w:val="22"/>
          <w:szCs w:val="22"/>
        </w:rPr>
        <w:t xml:space="preserve"> and </w:t>
      </w:r>
      <w:r w:rsidR="00BA5C66">
        <w:rPr>
          <w:sz w:val="22"/>
          <w:szCs w:val="22"/>
        </w:rPr>
        <w:t xml:space="preserve">the </w:t>
      </w:r>
      <w:r w:rsidR="0090350E">
        <w:rPr>
          <w:sz w:val="22"/>
          <w:szCs w:val="22"/>
        </w:rPr>
        <w:t>s</w:t>
      </w:r>
      <w:r w:rsidR="00F82FCF">
        <w:rPr>
          <w:sz w:val="22"/>
          <w:szCs w:val="22"/>
        </w:rPr>
        <w:t>elec</w:t>
      </w:r>
      <w:r w:rsidR="0090350E">
        <w:rPr>
          <w:sz w:val="22"/>
          <w:szCs w:val="22"/>
        </w:rPr>
        <w:t>tion</w:t>
      </w:r>
      <w:r w:rsidR="00F82FCF">
        <w:rPr>
          <w:sz w:val="22"/>
          <w:szCs w:val="22"/>
        </w:rPr>
        <w:t xml:space="preserve"> of antibody pairs </w:t>
      </w:r>
      <w:r w:rsidR="0090350E">
        <w:rPr>
          <w:sz w:val="22"/>
          <w:szCs w:val="22"/>
        </w:rPr>
        <w:t xml:space="preserve">for sandwich assays. </w:t>
      </w:r>
      <w:r w:rsidR="00BA5C66" w:rsidRPr="00F77C26">
        <w:rPr>
          <w:sz w:val="22"/>
          <w:szCs w:val="22"/>
        </w:rPr>
        <w:t>Assays were technically validated through assessment of sensitivity, linear range, precision, reproducibility, and stability.</w:t>
      </w:r>
      <w:r w:rsidR="00BA5C66" w:rsidRPr="00BA5C66">
        <w:t xml:space="preserve"> </w:t>
      </w:r>
      <w:r w:rsidR="00BA5C66" w:rsidRPr="006550AA">
        <w:rPr>
          <w:sz w:val="22"/>
          <w:szCs w:val="22"/>
        </w:rPr>
        <w:t>All assays had inter</w:t>
      </w:r>
      <w:r w:rsidR="00F77C26">
        <w:rPr>
          <w:sz w:val="22"/>
          <w:szCs w:val="22"/>
        </w:rPr>
        <w:t>-</w:t>
      </w:r>
      <w:r w:rsidR="00BA5C66" w:rsidRPr="006550AA">
        <w:rPr>
          <w:sz w:val="22"/>
          <w:szCs w:val="22"/>
        </w:rPr>
        <w:t xml:space="preserve"> and intra-variability (CV) &lt;15% and linearity on dilution of the analytes.</w:t>
      </w:r>
    </w:p>
    <w:p w:rsidR="00D94D6E" w:rsidRPr="00D94D6E" w:rsidRDefault="00BA5C66" w:rsidP="005C3CCD">
      <w:pPr>
        <w:spacing w:after="120"/>
        <w:jc w:val="both"/>
        <w:rPr>
          <w:sz w:val="22"/>
          <w:szCs w:val="22"/>
        </w:rPr>
      </w:pPr>
      <w:r w:rsidRPr="006550AA">
        <w:rPr>
          <w:sz w:val="22"/>
          <w:szCs w:val="22"/>
        </w:rPr>
        <w:t>S</w:t>
      </w:r>
      <w:r w:rsidR="0090350E" w:rsidRPr="006550AA">
        <w:rPr>
          <w:sz w:val="22"/>
          <w:szCs w:val="22"/>
        </w:rPr>
        <w:t xml:space="preserve">erum concentrations </w:t>
      </w:r>
      <w:r w:rsidRPr="006550AA">
        <w:rPr>
          <w:sz w:val="22"/>
          <w:szCs w:val="22"/>
        </w:rPr>
        <w:t xml:space="preserve">of </w:t>
      </w:r>
      <w:r w:rsidR="0090350E" w:rsidRPr="006550AA">
        <w:rPr>
          <w:sz w:val="22"/>
          <w:szCs w:val="22"/>
        </w:rPr>
        <w:t>candidate biomarkers</w:t>
      </w:r>
      <w:r w:rsidRPr="006550AA">
        <w:rPr>
          <w:sz w:val="22"/>
          <w:szCs w:val="22"/>
        </w:rPr>
        <w:t xml:space="preserve"> measured with these assay were subjected to </w:t>
      </w:r>
      <w:r w:rsidR="006550AA">
        <w:rPr>
          <w:sz w:val="22"/>
          <w:szCs w:val="22"/>
        </w:rPr>
        <w:t>statistical</w:t>
      </w:r>
      <w:r w:rsidRPr="006550AA">
        <w:rPr>
          <w:sz w:val="22"/>
          <w:szCs w:val="22"/>
        </w:rPr>
        <w:t xml:space="preserve"> analys</w:t>
      </w:r>
      <w:r w:rsidR="006550AA">
        <w:rPr>
          <w:sz w:val="22"/>
          <w:szCs w:val="22"/>
        </w:rPr>
        <w:t>e</w:t>
      </w:r>
      <w:r w:rsidRPr="006550AA">
        <w:rPr>
          <w:sz w:val="22"/>
          <w:szCs w:val="22"/>
        </w:rPr>
        <w:t xml:space="preserve">s. </w:t>
      </w:r>
      <w:r w:rsidR="006550AA">
        <w:rPr>
          <w:sz w:val="22"/>
          <w:szCs w:val="22"/>
        </w:rPr>
        <w:t xml:space="preserve">Whereas </w:t>
      </w:r>
      <w:r w:rsidR="006550AA" w:rsidRPr="00D94D6E">
        <w:rPr>
          <w:sz w:val="22"/>
          <w:szCs w:val="22"/>
        </w:rPr>
        <w:t xml:space="preserve">%fPSA </w:t>
      </w:r>
      <w:r w:rsidR="006550AA">
        <w:rPr>
          <w:sz w:val="22"/>
          <w:szCs w:val="22"/>
        </w:rPr>
        <w:t xml:space="preserve">alone </w:t>
      </w:r>
      <w:r w:rsidR="006550AA" w:rsidRPr="00D94D6E">
        <w:rPr>
          <w:sz w:val="22"/>
          <w:szCs w:val="22"/>
        </w:rPr>
        <w:t>discriminated among biopsy-positive and negative patients with an AUC = 0.650 (</w:t>
      </w:r>
      <w:r w:rsidR="006550AA" w:rsidRPr="006550AA">
        <w:rPr>
          <w:sz w:val="22"/>
          <w:szCs w:val="22"/>
        </w:rPr>
        <w:t>P</w:t>
      </w:r>
      <w:r w:rsidR="006550AA">
        <w:rPr>
          <w:sz w:val="22"/>
          <w:szCs w:val="22"/>
        </w:rPr>
        <w:t xml:space="preserve"> &lt;0.001; 95% CI = 0.600-0.699), l</w:t>
      </w:r>
      <w:r w:rsidR="006550AA" w:rsidRPr="00D94D6E">
        <w:rPr>
          <w:sz w:val="22"/>
          <w:szCs w:val="22"/>
        </w:rPr>
        <w:t xml:space="preserve">ogistic regression analysis revealed that the combination of the two proteins CTSD and THBS1 </w:t>
      </w:r>
      <w:r w:rsidR="0009764E">
        <w:rPr>
          <w:sz w:val="22"/>
          <w:szCs w:val="22"/>
        </w:rPr>
        <w:t xml:space="preserve">with %fPSA </w:t>
      </w:r>
      <w:r w:rsidR="006550AA" w:rsidRPr="00D94D6E">
        <w:rPr>
          <w:sz w:val="22"/>
          <w:szCs w:val="22"/>
        </w:rPr>
        <w:t>yielded an AUC = 0.845 (</w:t>
      </w:r>
      <w:r w:rsidR="006550AA" w:rsidRPr="006550AA">
        <w:rPr>
          <w:sz w:val="22"/>
          <w:szCs w:val="22"/>
        </w:rPr>
        <w:t>P</w:t>
      </w:r>
      <w:r w:rsidR="006550AA" w:rsidRPr="00D94D6E">
        <w:rPr>
          <w:sz w:val="22"/>
          <w:szCs w:val="22"/>
        </w:rPr>
        <w:t xml:space="preserve"> &lt;0.001; 95% CI = 0.810-0.880).</w:t>
      </w:r>
      <w:r w:rsidR="006550AA">
        <w:rPr>
          <w:sz w:val="22"/>
          <w:szCs w:val="22"/>
        </w:rPr>
        <w:t xml:space="preserve"> </w:t>
      </w:r>
      <w:r w:rsidR="00231CF4" w:rsidRPr="00D94D6E">
        <w:rPr>
          <w:sz w:val="22"/>
          <w:szCs w:val="22"/>
        </w:rPr>
        <w:t>At 90% sensitivity for prostate cancer, the specificity of the combination was 60% indicating that 141 of 236 negative biopsies could have been avoided</w:t>
      </w:r>
      <w:r w:rsidR="00F77C26">
        <w:rPr>
          <w:sz w:val="22"/>
          <w:szCs w:val="22"/>
        </w:rPr>
        <w:t>.</w:t>
      </w:r>
      <w:r w:rsidR="005A3E39" w:rsidRPr="00D94D6E">
        <w:rPr>
          <w:sz w:val="22"/>
          <w:szCs w:val="22"/>
        </w:rPr>
        <w:t xml:space="preserve"> Independent training on </w:t>
      </w:r>
      <w:r w:rsidR="0009764E">
        <w:rPr>
          <w:sz w:val="22"/>
          <w:szCs w:val="22"/>
        </w:rPr>
        <w:t xml:space="preserve">half of the </w:t>
      </w:r>
      <w:r w:rsidR="00232328" w:rsidRPr="00D94D6E">
        <w:rPr>
          <w:sz w:val="22"/>
          <w:szCs w:val="22"/>
        </w:rPr>
        <w:t xml:space="preserve">samples </w:t>
      </w:r>
      <w:r w:rsidR="005A3E39" w:rsidRPr="00D94D6E">
        <w:rPr>
          <w:sz w:val="22"/>
          <w:szCs w:val="22"/>
        </w:rPr>
        <w:t>and testing on the</w:t>
      </w:r>
      <w:r w:rsidR="0009764E">
        <w:rPr>
          <w:sz w:val="22"/>
          <w:szCs w:val="22"/>
        </w:rPr>
        <w:t xml:space="preserve"> remaining</w:t>
      </w:r>
      <w:r w:rsidR="005A3E39" w:rsidRPr="00D94D6E">
        <w:rPr>
          <w:sz w:val="22"/>
          <w:szCs w:val="22"/>
        </w:rPr>
        <w:t xml:space="preserve"> samples </w:t>
      </w:r>
      <w:r w:rsidR="00232328" w:rsidRPr="00D94D6E">
        <w:rPr>
          <w:sz w:val="22"/>
          <w:szCs w:val="22"/>
        </w:rPr>
        <w:t>also</w:t>
      </w:r>
      <w:r w:rsidR="005A3E39" w:rsidRPr="00D94D6E">
        <w:rPr>
          <w:sz w:val="22"/>
          <w:szCs w:val="22"/>
        </w:rPr>
        <w:t xml:space="preserve"> resulted in a </w:t>
      </w:r>
      <w:r w:rsidR="00232328" w:rsidRPr="00D94D6E">
        <w:rPr>
          <w:sz w:val="22"/>
          <w:szCs w:val="22"/>
        </w:rPr>
        <w:t>high</w:t>
      </w:r>
      <w:r w:rsidR="005A3E39" w:rsidRPr="00D94D6E">
        <w:rPr>
          <w:sz w:val="22"/>
          <w:szCs w:val="22"/>
        </w:rPr>
        <w:t xml:space="preserve"> AUC =</w:t>
      </w:r>
      <w:r w:rsidR="0009764E">
        <w:rPr>
          <w:sz w:val="22"/>
          <w:szCs w:val="22"/>
        </w:rPr>
        <w:t xml:space="preserve"> </w:t>
      </w:r>
      <w:r w:rsidR="005A3E39" w:rsidRPr="00D94D6E">
        <w:rPr>
          <w:sz w:val="22"/>
          <w:szCs w:val="22"/>
        </w:rPr>
        <w:t>0.872 (</w:t>
      </w:r>
      <w:r w:rsidR="005A3E39" w:rsidRPr="00D94D6E">
        <w:rPr>
          <w:i/>
          <w:iCs/>
          <w:sz w:val="22"/>
          <w:szCs w:val="22"/>
        </w:rPr>
        <w:t>P</w:t>
      </w:r>
      <w:r w:rsidR="005A3E39" w:rsidRPr="00D94D6E">
        <w:rPr>
          <w:sz w:val="22"/>
          <w:szCs w:val="22"/>
        </w:rPr>
        <w:t xml:space="preserve"> &lt;0.001; 95% CI = 0.826-0.918) </w:t>
      </w:r>
      <w:r w:rsidR="00AF1A5D" w:rsidRPr="00D94D6E">
        <w:rPr>
          <w:sz w:val="22"/>
          <w:szCs w:val="22"/>
        </w:rPr>
        <w:t>showing reproducibility of the method.</w:t>
      </w:r>
    </w:p>
    <w:p w:rsidR="009B2752" w:rsidRDefault="003636D1" w:rsidP="005C3CCD">
      <w:pPr>
        <w:spacing w:after="120"/>
        <w:jc w:val="both"/>
        <w:rPr>
          <w:sz w:val="22"/>
          <w:szCs w:val="22"/>
        </w:rPr>
      </w:pPr>
      <w:r w:rsidRPr="00D94D6E">
        <w:rPr>
          <w:b/>
          <w:sz w:val="22"/>
          <w:szCs w:val="22"/>
        </w:rPr>
        <w:t>Conclusion</w:t>
      </w:r>
      <w:r w:rsidR="00D73709">
        <w:rPr>
          <w:b/>
          <w:sz w:val="22"/>
          <w:szCs w:val="22"/>
        </w:rPr>
        <w:t>s</w:t>
      </w:r>
      <w:r w:rsidRPr="00D94D6E">
        <w:rPr>
          <w:b/>
          <w:sz w:val="22"/>
          <w:szCs w:val="22"/>
        </w:rPr>
        <w:t>:</w:t>
      </w:r>
      <w:r w:rsidR="00D94D6E">
        <w:rPr>
          <w:b/>
          <w:sz w:val="22"/>
          <w:szCs w:val="22"/>
        </w:rPr>
        <w:t xml:space="preserve"> </w:t>
      </w:r>
      <w:r w:rsidR="00F77C26">
        <w:rPr>
          <w:sz w:val="22"/>
          <w:szCs w:val="22"/>
        </w:rPr>
        <w:t>T</w:t>
      </w:r>
      <w:r w:rsidR="00934A63" w:rsidRPr="00D94D6E">
        <w:rPr>
          <w:sz w:val="22"/>
          <w:szCs w:val="22"/>
        </w:rPr>
        <w:t>he</w:t>
      </w:r>
      <w:r w:rsidR="00AF1A5D" w:rsidRPr="00D94D6E">
        <w:rPr>
          <w:sz w:val="22"/>
          <w:szCs w:val="22"/>
        </w:rPr>
        <w:t xml:space="preserve"> method</w:t>
      </w:r>
      <w:r w:rsidR="00934A63" w:rsidRPr="00D94D6E">
        <w:rPr>
          <w:sz w:val="22"/>
          <w:szCs w:val="22"/>
        </w:rPr>
        <w:t xml:space="preserve"> presented</w:t>
      </w:r>
      <w:r w:rsidR="00AF1A5D" w:rsidRPr="00D94D6E">
        <w:rPr>
          <w:sz w:val="22"/>
          <w:szCs w:val="22"/>
        </w:rPr>
        <w:t xml:space="preserve"> is significantly more accurate than </w:t>
      </w:r>
      <w:r w:rsidR="00934A63" w:rsidRPr="00D94D6E">
        <w:rPr>
          <w:sz w:val="22"/>
          <w:szCs w:val="22"/>
        </w:rPr>
        <w:t>%fPSA</w:t>
      </w:r>
      <w:r w:rsidR="00AF1A5D" w:rsidRPr="00D94D6E">
        <w:rPr>
          <w:sz w:val="22"/>
          <w:szCs w:val="22"/>
        </w:rPr>
        <w:t xml:space="preserve"> alone in determining the absence of prostate cancer. The implementation of the method in clinical practice has the potential to significantly lower the rate of </w:t>
      </w:r>
      <w:r w:rsidR="0009764E">
        <w:rPr>
          <w:sz w:val="22"/>
          <w:szCs w:val="22"/>
        </w:rPr>
        <w:t xml:space="preserve">unnecessary </w:t>
      </w:r>
      <w:r w:rsidR="00D60449" w:rsidRPr="00D94D6E">
        <w:rPr>
          <w:sz w:val="22"/>
          <w:szCs w:val="22"/>
        </w:rPr>
        <w:t xml:space="preserve">prostate </w:t>
      </w:r>
      <w:r w:rsidR="00AF1A5D" w:rsidRPr="00D94D6E">
        <w:rPr>
          <w:sz w:val="22"/>
          <w:szCs w:val="22"/>
        </w:rPr>
        <w:t xml:space="preserve">biopsies </w:t>
      </w:r>
      <w:r w:rsidR="00AB77F2" w:rsidRPr="00D94D6E">
        <w:rPr>
          <w:sz w:val="22"/>
          <w:szCs w:val="22"/>
        </w:rPr>
        <w:t xml:space="preserve">which are negative for cancer </w:t>
      </w:r>
      <w:r w:rsidR="00AF1A5D" w:rsidRPr="00D94D6E">
        <w:rPr>
          <w:sz w:val="22"/>
          <w:szCs w:val="22"/>
        </w:rPr>
        <w:t>by more than 50%.</w:t>
      </w:r>
    </w:p>
    <w:p w:rsidR="00C87C72" w:rsidRDefault="00C87C72" w:rsidP="005C3CCD">
      <w:pPr>
        <w:spacing w:after="120"/>
        <w:jc w:val="both"/>
        <w:rPr>
          <w:sz w:val="22"/>
          <w:szCs w:val="22"/>
        </w:rPr>
      </w:pPr>
    </w:p>
    <w:p w:rsidR="00C87C72" w:rsidRPr="00D94D6E" w:rsidRDefault="00C87C72" w:rsidP="005C3CCD">
      <w:pPr>
        <w:spacing w:after="120"/>
        <w:jc w:val="both"/>
        <w:rPr>
          <w:b/>
          <w:sz w:val="22"/>
          <w:szCs w:val="22"/>
        </w:rPr>
      </w:pPr>
    </w:p>
    <w:sectPr w:rsidR="00C87C72" w:rsidRPr="00D94D6E" w:rsidSect="00082A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F2D"/>
    <w:multiLevelType w:val="hybridMultilevel"/>
    <w:tmpl w:val="7A7A17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73B92"/>
    <w:multiLevelType w:val="multilevel"/>
    <w:tmpl w:val="098A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DD"/>
    <w:rsid w:val="00027E1E"/>
    <w:rsid w:val="000300D4"/>
    <w:rsid w:val="00040F3F"/>
    <w:rsid w:val="00082AC6"/>
    <w:rsid w:val="00096006"/>
    <w:rsid w:val="0009764E"/>
    <w:rsid w:val="000A11D9"/>
    <w:rsid w:val="0014566F"/>
    <w:rsid w:val="001A14A1"/>
    <w:rsid w:val="00231CF4"/>
    <w:rsid w:val="00232328"/>
    <w:rsid w:val="00246B50"/>
    <w:rsid w:val="00260659"/>
    <w:rsid w:val="00262741"/>
    <w:rsid w:val="002B0034"/>
    <w:rsid w:val="002B0456"/>
    <w:rsid w:val="002C1A92"/>
    <w:rsid w:val="002C5F50"/>
    <w:rsid w:val="002D2116"/>
    <w:rsid w:val="002F4AFC"/>
    <w:rsid w:val="003060A5"/>
    <w:rsid w:val="003636D1"/>
    <w:rsid w:val="003D2B2E"/>
    <w:rsid w:val="0040202E"/>
    <w:rsid w:val="004465B5"/>
    <w:rsid w:val="00461D11"/>
    <w:rsid w:val="00490176"/>
    <w:rsid w:val="004B0A69"/>
    <w:rsid w:val="004B742B"/>
    <w:rsid w:val="00500250"/>
    <w:rsid w:val="00520417"/>
    <w:rsid w:val="00567446"/>
    <w:rsid w:val="00570135"/>
    <w:rsid w:val="005716FE"/>
    <w:rsid w:val="005A3E39"/>
    <w:rsid w:val="005C3CCD"/>
    <w:rsid w:val="005E0DBD"/>
    <w:rsid w:val="00604167"/>
    <w:rsid w:val="00613255"/>
    <w:rsid w:val="006550AA"/>
    <w:rsid w:val="00661C30"/>
    <w:rsid w:val="00682099"/>
    <w:rsid w:val="006918AD"/>
    <w:rsid w:val="006A0DE6"/>
    <w:rsid w:val="006B43C6"/>
    <w:rsid w:val="006D3325"/>
    <w:rsid w:val="007022E7"/>
    <w:rsid w:val="0071002C"/>
    <w:rsid w:val="00820E9A"/>
    <w:rsid w:val="00831508"/>
    <w:rsid w:val="0089053B"/>
    <w:rsid w:val="008D6611"/>
    <w:rsid w:val="008F7AA8"/>
    <w:rsid w:val="0090350E"/>
    <w:rsid w:val="00914141"/>
    <w:rsid w:val="00917404"/>
    <w:rsid w:val="00934A63"/>
    <w:rsid w:val="009565AC"/>
    <w:rsid w:val="00956A41"/>
    <w:rsid w:val="0098118F"/>
    <w:rsid w:val="009B2752"/>
    <w:rsid w:val="009C6542"/>
    <w:rsid w:val="009E214A"/>
    <w:rsid w:val="009F1809"/>
    <w:rsid w:val="00A12D4B"/>
    <w:rsid w:val="00A3190F"/>
    <w:rsid w:val="00A32AA0"/>
    <w:rsid w:val="00A65A3D"/>
    <w:rsid w:val="00A67A8F"/>
    <w:rsid w:val="00AA5FA0"/>
    <w:rsid w:val="00AB77F2"/>
    <w:rsid w:val="00AF1A5D"/>
    <w:rsid w:val="00AF3380"/>
    <w:rsid w:val="00B40238"/>
    <w:rsid w:val="00B4365A"/>
    <w:rsid w:val="00B616AC"/>
    <w:rsid w:val="00B84E00"/>
    <w:rsid w:val="00BA5C66"/>
    <w:rsid w:val="00BB029B"/>
    <w:rsid w:val="00BB2AD9"/>
    <w:rsid w:val="00BC0D3A"/>
    <w:rsid w:val="00BD47F2"/>
    <w:rsid w:val="00C131C3"/>
    <w:rsid w:val="00C16978"/>
    <w:rsid w:val="00C835DD"/>
    <w:rsid w:val="00C87C72"/>
    <w:rsid w:val="00CA55F7"/>
    <w:rsid w:val="00CB0CCE"/>
    <w:rsid w:val="00D21221"/>
    <w:rsid w:val="00D26A98"/>
    <w:rsid w:val="00D43B4C"/>
    <w:rsid w:val="00D470B6"/>
    <w:rsid w:val="00D528FD"/>
    <w:rsid w:val="00D556BD"/>
    <w:rsid w:val="00D60449"/>
    <w:rsid w:val="00D64508"/>
    <w:rsid w:val="00D677F4"/>
    <w:rsid w:val="00D73709"/>
    <w:rsid w:val="00D94D6E"/>
    <w:rsid w:val="00DB2C6C"/>
    <w:rsid w:val="00DE4903"/>
    <w:rsid w:val="00DE69D7"/>
    <w:rsid w:val="00E55295"/>
    <w:rsid w:val="00E60244"/>
    <w:rsid w:val="00E70F64"/>
    <w:rsid w:val="00E73DDF"/>
    <w:rsid w:val="00E81561"/>
    <w:rsid w:val="00E86C1B"/>
    <w:rsid w:val="00EA726B"/>
    <w:rsid w:val="00EC0BFA"/>
    <w:rsid w:val="00EC0CFD"/>
    <w:rsid w:val="00EC111B"/>
    <w:rsid w:val="00F061E1"/>
    <w:rsid w:val="00F24ADD"/>
    <w:rsid w:val="00F73686"/>
    <w:rsid w:val="00F77C26"/>
    <w:rsid w:val="00F82FCF"/>
    <w:rsid w:val="00FC58DF"/>
    <w:rsid w:val="00FE2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7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F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1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7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F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31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4C54-40D7-4C4B-980C-D21A7D75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Schiess</dc:creator>
  <cp:lastModifiedBy>Kimmely Ligtvoet</cp:lastModifiedBy>
  <cp:revision>2</cp:revision>
  <dcterms:created xsi:type="dcterms:W3CDTF">2017-09-06T08:10:00Z</dcterms:created>
  <dcterms:modified xsi:type="dcterms:W3CDTF">2017-09-06T08:10:00Z</dcterms:modified>
</cp:coreProperties>
</file>