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CA" w:rsidRDefault="00B12DCA" w:rsidP="00B12DCA"/>
    <w:p w:rsidR="00B12DCA" w:rsidRDefault="00B12DCA" w:rsidP="00B12DCA"/>
    <w:p w:rsidR="00B12DCA" w:rsidRDefault="00B12DCA" w:rsidP="00B12DCA"/>
    <w:p w:rsidR="00B12DCA" w:rsidRDefault="00B12DCA" w:rsidP="00B12DCA"/>
    <w:p w:rsidR="0063006C" w:rsidRDefault="0063006C" w:rsidP="00B12DCA"/>
    <w:p w:rsidR="00B12DCA" w:rsidRDefault="00B12DCA" w:rsidP="00B12DCA"/>
    <w:p w:rsidR="007746DC" w:rsidRDefault="007746DC" w:rsidP="006F5CC7">
      <w:pPr>
        <w:jc w:val="center"/>
        <w:rPr>
          <w:rFonts w:ascii="Whitney Book" w:hAnsi="Whitney Book" w:cs="Tahoma"/>
          <w:b/>
          <w:sz w:val="48"/>
          <w:szCs w:val="48"/>
        </w:rPr>
      </w:pPr>
    </w:p>
    <w:p w:rsidR="00B12DCA" w:rsidRPr="006F5CC7" w:rsidRDefault="006F5CC7" w:rsidP="006F5CC7">
      <w:pPr>
        <w:jc w:val="center"/>
        <w:rPr>
          <w:rFonts w:ascii="Whitney Book" w:hAnsi="Whitney Book" w:cs="Tahoma"/>
          <w:b/>
          <w:sz w:val="48"/>
          <w:szCs w:val="48"/>
        </w:rPr>
      </w:pPr>
      <w:r w:rsidRPr="006F5CC7">
        <w:rPr>
          <w:rFonts w:ascii="Whitney Book" w:hAnsi="Whitney Book" w:cs="Tahoma"/>
          <w:b/>
          <w:sz w:val="48"/>
          <w:szCs w:val="48"/>
        </w:rPr>
        <w:t xml:space="preserve">Thank you for your interest to </w:t>
      </w:r>
      <w:r w:rsidR="00873826">
        <w:rPr>
          <w:rFonts w:ascii="Whitney Book" w:hAnsi="Whitney Book" w:cs="Tahoma"/>
          <w:b/>
          <w:sz w:val="48"/>
          <w:szCs w:val="48"/>
        </w:rPr>
        <w:t xml:space="preserve">present your work at </w:t>
      </w:r>
      <w:proofErr w:type="spellStart"/>
      <w:r w:rsidRPr="006F5CC7">
        <w:rPr>
          <w:rFonts w:ascii="Whitney Book" w:hAnsi="Whitney Book" w:cs="Tahoma"/>
          <w:b/>
          <w:sz w:val="48"/>
          <w:szCs w:val="48"/>
        </w:rPr>
        <w:t>xMAP</w:t>
      </w:r>
      <w:proofErr w:type="spellEnd"/>
      <w:r w:rsidR="007746DC">
        <w:rPr>
          <w:rFonts w:ascii="Whitney Book" w:hAnsi="Whitney Book" w:cs="Tahoma"/>
          <w:b/>
          <w:sz w:val="48"/>
          <w:szCs w:val="48"/>
        </w:rPr>
        <w:t>®</w:t>
      </w:r>
      <w:r w:rsidR="00E06358">
        <w:rPr>
          <w:rFonts w:ascii="Whitney Book" w:hAnsi="Whitney Book" w:cs="Tahoma"/>
          <w:b/>
          <w:sz w:val="48"/>
          <w:szCs w:val="48"/>
        </w:rPr>
        <w:t xml:space="preserve"> Connect 2017</w:t>
      </w:r>
      <w:r w:rsidRPr="006F5CC7">
        <w:rPr>
          <w:rFonts w:ascii="Whitney Book" w:hAnsi="Whitney Book" w:cs="Tahoma"/>
          <w:b/>
          <w:sz w:val="48"/>
          <w:szCs w:val="48"/>
        </w:rPr>
        <w:t>!</w:t>
      </w:r>
    </w:p>
    <w:p w:rsidR="006F5CC7" w:rsidRPr="007652B1" w:rsidRDefault="006F5CC7" w:rsidP="007652B1">
      <w:pPr>
        <w:shd w:val="clear" w:color="auto" w:fill="FFFFFF"/>
        <w:spacing w:after="0" w:line="270" w:lineRule="atLeast"/>
        <w:textAlignment w:val="baseline"/>
        <w:rPr>
          <w:rFonts w:ascii="Whitney Book" w:eastAsia="Times New Roman" w:hAnsi="Whitney Book" w:cs="Tahoma"/>
          <w:color w:val="000000"/>
          <w:sz w:val="24"/>
          <w:szCs w:val="24"/>
        </w:rPr>
      </w:pPr>
    </w:p>
    <w:p w:rsidR="00B12DCA" w:rsidRPr="006F5CC7" w:rsidRDefault="003249DE" w:rsidP="00B12DCA">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sidRPr="006F5CC7">
        <w:rPr>
          <w:rFonts w:ascii="Whitney Book" w:eastAsia="Times New Roman" w:hAnsi="Whitney Book" w:cs="Tahoma"/>
          <w:color w:val="000000"/>
          <w:sz w:val="24"/>
          <w:szCs w:val="24"/>
          <w:bdr w:val="none" w:sz="0" w:space="0" w:color="auto" w:frame="1"/>
        </w:rPr>
        <w:t>Prepare a presentation</w:t>
      </w:r>
      <w:r w:rsidR="00AD0438" w:rsidRPr="006F5CC7">
        <w:rPr>
          <w:rFonts w:ascii="Whitney Book" w:eastAsia="Times New Roman" w:hAnsi="Whitney Book" w:cs="Tahoma"/>
          <w:color w:val="000000"/>
          <w:sz w:val="24"/>
          <w:szCs w:val="24"/>
          <w:bdr w:val="none" w:sz="0" w:space="0" w:color="auto" w:frame="1"/>
        </w:rPr>
        <w:t xml:space="preserve"> title, the title included on the submission should be suitable for published material.</w:t>
      </w:r>
    </w:p>
    <w:p w:rsidR="00B12DCA" w:rsidRPr="006F5CC7" w:rsidRDefault="00AD0438" w:rsidP="00B12DCA">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sidRPr="006F5CC7">
        <w:rPr>
          <w:rFonts w:ascii="Whitney Book" w:eastAsia="Times New Roman" w:hAnsi="Whitney Book" w:cs="Tahoma"/>
          <w:color w:val="000000"/>
          <w:sz w:val="24"/>
          <w:szCs w:val="24"/>
          <w:bdr w:val="none" w:sz="0" w:space="0" w:color="auto" w:frame="1"/>
        </w:rPr>
        <w:t>Abstract text is limited to 3000 characters (</w:t>
      </w:r>
      <w:proofErr w:type="spellStart"/>
      <w:r w:rsidRPr="006F5CC7">
        <w:rPr>
          <w:rFonts w:ascii="Whitney Book" w:eastAsia="Times New Roman" w:hAnsi="Whitney Book" w:cs="Tahoma"/>
          <w:color w:val="000000"/>
          <w:sz w:val="24"/>
          <w:szCs w:val="24"/>
          <w:bdr w:val="none" w:sz="0" w:space="0" w:color="auto" w:frame="1"/>
        </w:rPr>
        <w:t>approx</w:t>
      </w:r>
      <w:proofErr w:type="spellEnd"/>
      <w:r w:rsidRPr="006F5CC7">
        <w:rPr>
          <w:rFonts w:ascii="Whitney Book" w:eastAsia="Times New Roman" w:hAnsi="Whitney Book" w:cs="Tahoma"/>
          <w:color w:val="000000"/>
          <w:sz w:val="24"/>
          <w:szCs w:val="24"/>
          <w:bdr w:val="none" w:sz="0" w:space="0" w:color="auto" w:frame="1"/>
        </w:rPr>
        <w:t xml:space="preserve"> 500 words). </w:t>
      </w:r>
    </w:p>
    <w:p w:rsidR="00B12DCA" w:rsidRPr="006F5CC7" w:rsidRDefault="00A627B6" w:rsidP="00B12DCA">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Pr>
          <w:rFonts w:ascii="Whitney Book" w:eastAsia="Times New Roman" w:hAnsi="Whitney Book" w:cs="Tahoma"/>
          <w:color w:val="000000"/>
          <w:sz w:val="24"/>
          <w:szCs w:val="24"/>
          <w:bdr w:val="none" w:sz="0" w:space="0" w:color="auto" w:frame="1"/>
        </w:rPr>
        <w:t>We ask to use</w:t>
      </w:r>
      <w:r w:rsidR="00AD0438" w:rsidRPr="006F5CC7">
        <w:rPr>
          <w:rFonts w:ascii="Whitney Book" w:eastAsia="Times New Roman" w:hAnsi="Whitney Book" w:cs="Tahoma"/>
          <w:color w:val="000000"/>
          <w:sz w:val="24"/>
          <w:szCs w:val="24"/>
          <w:bdr w:val="none" w:sz="0" w:space="0" w:color="auto" w:frame="1"/>
        </w:rPr>
        <w:t xml:space="preserve"> 4 core elements: 1) background and aim, 2) methods, 3) results, 4) conclusions.</w:t>
      </w:r>
      <w:r w:rsidR="00713DBC">
        <w:rPr>
          <w:rFonts w:ascii="Whitney Book" w:eastAsia="Times New Roman" w:hAnsi="Whitney Book" w:cs="Tahoma"/>
          <w:color w:val="000000"/>
          <w:sz w:val="24"/>
          <w:szCs w:val="24"/>
          <w:bdr w:val="none" w:sz="0" w:space="0" w:color="auto" w:frame="1"/>
        </w:rPr>
        <w:t xml:space="preserve"> We kindly ask you to use the </w:t>
      </w:r>
      <w:r w:rsidR="006F5CC7">
        <w:rPr>
          <w:rFonts w:ascii="Whitney Book" w:eastAsia="Times New Roman" w:hAnsi="Whitney Book" w:cs="Tahoma"/>
          <w:color w:val="000000"/>
          <w:sz w:val="24"/>
          <w:szCs w:val="24"/>
          <w:bdr w:val="none" w:sz="0" w:space="0" w:color="auto" w:frame="1"/>
        </w:rPr>
        <w:t>format</w:t>
      </w:r>
      <w:r w:rsidR="00713DBC">
        <w:rPr>
          <w:rFonts w:ascii="Whitney Book" w:eastAsia="Times New Roman" w:hAnsi="Whitney Book" w:cs="Tahoma"/>
          <w:color w:val="000000"/>
          <w:sz w:val="24"/>
          <w:szCs w:val="24"/>
          <w:bdr w:val="none" w:sz="0" w:space="0" w:color="auto" w:frame="1"/>
        </w:rPr>
        <w:t xml:space="preserve"> below</w:t>
      </w:r>
      <w:r w:rsidR="006F5CC7">
        <w:rPr>
          <w:rFonts w:ascii="Whitney Book" w:eastAsia="Times New Roman" w:hAnsi="Whitney Book" w:cs="Tahoma"/>
          <w:color w:val="000000"/>
          <w:sz w:val="24"/>
          <w:szCs w:val="24"/>
          <w:bdr w:val="none" w:sz="0" w:space="0" w:color="auto" w:frame="1"/>
        </w:rPr>
        <w:t>.</w:t>
      </w:r>
    </w:p>
    <w:p w:rsidR="00B12DCA" w:rsidRPr="006F5CC7" w:rsidRDefault="00A627B6" w:rsidP="00B12DCA">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Pr>
          <w:rFonts w:ascii="Whitney Book" w:eastAsia="Times New Roman" w:hAnsi="Whitney Book" w:cs="Tahoma"/>
          <w:color w:val="000000"/>
          <w:sz w:val="24"/>
          <w:szCs w:val="24"/>
          <w:bdr w:val="none" w:sz="0" w:space="0" w:color="auto" w:frame="1"/>
        </w:rPr>
        <w:t>Please e</w:t>
      </w:r>
      <w:r w:rsidR="00AD0438" w:rsidRPr="006F5CC7">
        <w:rPr>
          <w:rFonts w:ascii="Whitney Book" w:eastAsia="Times New Roman" w:hAnsi="Whitney Book" w:cs="Tahoma"/>
          <w:color w:val="000000"/>
          <w:sz w:val="24"/>
          <w:szCs w:val="24"/>
          <w:bdr w:val="none" w:sz="0" w:space="0" w:color="auto" w:frame="1"/>
        </w:rPr>
        <w:t>nsure the submission has been approved by all authors.</w:t>
      </w:r>
    </w:p>
    <w:p w:rsidR="00A627B6" w:rsidRPr="005F50AE" w:rsidRDefault="00AD0438" w:rsidP="005F50AE">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sidRPr="006F5CC7">
        <w:rPr>
          <w:rFonts w:ascii="Whitney Book" w:eastAsia="Times New Roman" w:hAnsi="Whitney Book" w:cs="Tahoma"/>
          <w:color w:val="000000"/>
          <w:sz w:val="24"/>
          <w:szCs w:val="24"/>
          <w:bdr w:val="none" w:sz="0" w:space="0" w:color="auto" w:frame="1"/>
        </w:rPr>
        <w:t xml:space="preserve">By submitting an abstract, you agree to be present the </w:t>
      </w:r>
      <w:r w:rsidR="008C387C">
        <w:rPr>
          <w:rFonts w:ascii="Whitney Book" w:eastAsia="Times New Roman" w:hAnsi="Whitney Book" w:cs="Tahoma"/>
          <w:color w:val="000000"/>
          <w:sz w:val="24"/>
          <w:szCs w:val="24"/>
          <w:bdr w:val="none" w:sz="0" w:space="0" w:color="auto" w:frame="1"/>
        </w:rPr>
        <w:t>8</w:t>
      </w:r>
      <w:r w:rsidRPr="006F5CC7">
        <w:rPr>
          <w:rFonts w:ascii="Whitney Book" w:eastAsia="Times New Roman" w:hAnsi="Whitney Book" w:cs="Tahoma"/>
          <w:color w:val="000000"/>
          <w:sz w:val="24"/>
          <w:szCs w:val="24"/>
          <w:bdr w:val="none" w:sz="0" w:space="0" w:color="auto" w:frame="1"/>
          <w:vertAlign w:val="superscript"/>
        </w:rPr>
        <w:t>th</w:t>
      </w:r>
      <w:r w:rsidRPr="006F5CC7">
        <w:rPr>
          <w:rFonts w:ascii="Whitney Book" w:eastAsia="Times New Roman" w:hAnsi="Whitney Book" w:cs="Tahoma"/>
          <w:color w:val="000000"/>
          <w:sz w:val="24"/>
          <w:szCs w:val="24"/>
          <w:bdr w:val="none" w:sz="0" w:space="0" w:color="auto" w:frame="1"/>
        </w:rPr>
        <w:t xml:space="preserve"> and </w:t>
      </w:r>
      <w:r w:rsidR="008C387C">
        <w:rPr>
          <w:rFonts w:ascii="Whitney Book" w:eastAsia="Times New Roman" w:hAnsi="Whitney Book" w:cs="Tahoma"/>
          <w:color w:val="000000"/>
          <w:sz w:val="24"/>
          <w:szCs w:val="24"/>
          <w:bdr w:val="none" w:sz="0" w:space="0" w:color="auto" w:frame="1"/>
        </w:rPr>
        <w:t>9</w:t>
      </w:r>
      <w:r w:rsidRPr="006F5CC7">
        <w:rPr>
          <w:rFonts w:ascii="Whitney Book" w:eastAsia="Times New Roman" w:hAnsi="Whitney Book" w:cs="Tahoma"/>
          <w:color w:val="000000"/>
          <w:sz w:val="24"/>
          <w:szCs w:val="24"/>
          <w:bdr w:val="none" w:sz="0" w:space="0" w:color="auto" w:frame="1"/>
          <w:vertAlign w:val="superscript"/>
        </w:rPr>
        <w:t>th</w:t>
      </w:r>
      <w:r w:rsidRPr="006F5CC7">
        <w:rPr>
          <w:rFonts w:ascii="Whitney Book" w:eastAsia="Times New Roman" w:hAnsi="Whitney Book" w:cs="Tahoma"/>
          <w:color w:val="000000"/>
          <w:sz w:val="24"/>
          <w:szCs w:val="24"/>
          <w:bdr w:val="none" w:sz="0" w:space="0" w:color="auto" w:frame="1"/>
        </w:rPr>
        <w:t> of November at the congress, should your abstract be selected</w:t>
      </w:r>
      <w:r w:rsidRPr="006F5CC7">
        <w:rPr>
          <w:rFonts w:ascii="Whitney Book" w:eastAsia="Times New Roman" w:hAnsi="Whitney Book" w:cs="Tahoma"/>
          <w:color w:val="000000"/>
          <w:sz w:val="24"/>
          <w:szCs w:val="24"/>
        </w:rPr>
        <w:t>.</w:t>
      </w:r>
    </w:p>
    <w:p w:rsidR="00A627B6" w:rsidRPr="00A627B6" w:rsidRDefault="00A627B6" w:rsidP="00A627B6">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sidRPr="00A627B6">
        <w:rPr>
          <w:rFonts w:ascii="Whitney Book" w:eastAsia="Times New Roman" w:hAnsi="Whitney Book" w:cs="Tahoma"/>
          <w:color w:val="000000"/>
          <w:sz w:val="24"/>
          <w:szCs w:val="24"/>
        </w:rPr>
        <w:t>Please indicate if you would like to b</w:t>
      </w:r>
      <w:r w:rsidR="005F50AE">
        <w:rPr>
          <w:rFonts w:ascii="Whitney Book" w:eastAsia="Times New Roman" w:hAnsi="Whitney Book" w:cs="Tahoma"/>
          <w:color w:val="000000"/>
          <w:sz w:val="24"/>
          <w:szCs w:val="24"/>
        </w:rPr>
        <w:t>e a speaker or present a poster.</w:t>
      </w:r>
    </w:p>
    <w:p w:rsidR="00C139B9" w:rsidRPr="006F5CC7" w:rsidRDefault="00C139B9" w:rsidP="00C139B9">
      <w:pPr>
        <w:shd w:val="clear" w:color="auto" w:fill="FFFFFF"/>
        <w:spacing w:after="0" w:line="270" w:lineRule="atLeast"/>
        <w:textAlignment w:val="baseline"/>
        <w:rPr>
          <w:rFonts w:ascii="Whitney Book" w:eastAsia="Times New Roman" w:hAnsi="Whitney Book" w:cs="Tahoma"/>
          <w:color w:val="000000"/>
          <w:sz w:val="18"/>
          <w:szCs w:val="18"/>
        </w:rPr>
      </w:pPr>
    </w:p>
    <w:p w:rsidR="00C139B9" w:rsidRDefault="00C139B9" w:rsidP="00C139B9">
      <w:pPr>
        <w:shd w:val="clear" w:color="auto" w:fill="FFFFFF"/>
        <w:spacing w:after="0" w:line="270" w:lineRule="atLeast"/>
        <w:textAlignment w:val="baseline"/>
        <w:rPr>
          <w:rFonts w:ascii="Whitney Book" w:eastAsia="Times New Roman" w:hAnsi="Whitney Book" w:cs="Tahoma"/>
          <w:color w:val="000000"/>
          <w:sz w:val="18"/>
          <w:szCs w:val="18"/>
        </w:rPr>
      </w:pPr>
    </w:p>
    <w:p w:rsidR="00B12DCA" w:rsidRPr="006F5CC7" w:rsidRDefault="00B12DCA">
      <w:pPr>
        <w:rPr>
          <w:rFonts w:ascii="Whitney Book" w:eastAsia="Times New Roman" w:hAnsi="Whitney Book" w:cs="Tahoma"/>
          <w:color w:val="000000"/>
          <w:sz w:val="18"/>
          <w:szCs w:val="18"/>
        </w:rPr>
      </w:pPr>
      <w:r w:rsidRPr="006F5CC7">
        <w:rPr>
          <w:rFonts w:ascii="Whitney Book" w:eastAsia="Times New Roman" w:hAnsi="Whitney Book" w:cs="Tahoma"/>
          <w:color w:val="000000"/>
          <w:sz w:val="18"/>
          <w:szCs w:val="18"/>
        </w:rPr>
        <w:br w:type="page"/>
      </w:r>
    </w:p>
    <w:p w:rsidR="00AD0438" w:rsidRPr="00DF7C4C" w:rsidRDefault="00AD0438" w:rsidP="00AD0438">
      <w:pPr>
        <w:shd w:val="clear" w:color="auto" w:fill="FFFFFF"/>
        <w:spacing w:after="0" w:line="270" w:lineRule="atLeast"/>
        <w:textAlignment w:val="baseline"/>
        <w:rPr>
          <w:rFonts w:ascii="inherit" w:eastAsia="Times New Roman" w:hAnsi="inherit" w:cs="Arial"/>
          <w:color w:val="000000"/>
          <w:sz w:val="18"/>
          <w:szCs w:val="18"/>
        </w:rPr>
      </w:pPr>
    </w:p>
    <w:tbl>
      <w:tblPr>
        <w:tblStyle w:val="TableGrid"/>
        <w:tblW w:w="0" w:type="auto"/>
        <w:tblLook w:val="04A0" w:firstRow="1" w:lastRow="0" w:firstColumn="1" w:lastColumn="0" w:noHBand="0" w:noVBand="1"/>
      </w:tblPr>
      <w:tblGrid>
        <w:gridCol w:w="9350"/>
      </w:tblGrid>
      <w:tr w:rsidR="00AD0438" w:rsidRPr="006F5CC7" w:rsidTr="00AD0438">
        <w:tc>
          <w:tcPr>
            <w:tcW w:w="9576" w:type="dxa"/>
          </w:tcPr>
          <w:p w:rsidR="00AD0438" w:rsidRPr="00AE66EE" w:rsidRDefault="00B12DCA">
            <w:pPr>
              <w:rPr>
                <w:rFonts w:ascii="Verdana" w:hAnsi="Verdana"/>
                <w:b/>
              </w:rPr>
            </w:pPr>
            <w:r w:rsidRPr="00AE66EE">
              <w:rPr>
                <w:rFonts w:ascii="Verdana" w:hAnsi="Verdana"/>
                <w:b/>
              </w:rPr>
              <w:t>Contact details:</w:t>
            </w:r>
          </w:p>
          <w:p w:rsidR="00B12DCA" w:rsidRPr="00AE66EE" w:rsidRDefault="00B12DCA">
            <w:pPr>
              <w:rPr>
                <w:rFonts w:ascii="Verdana" w:hAnsi="Verdana"/>
              </w:rPr>
            </w:pPr>
            <w:r w:rsidRPr="00AE66EE">
              <w:rPr>
                <w:rFonts w:ascii="Verdana" w:hAnsi="Verdana"/>
              </w:rPr>
              <w:t>Name:</w:t>
            </w:r>
            <w:r w:rsidR="00AE66EE" w:rsidRPr="00AE66EE">
              <w:rPr>
                <w:rFonts w:ascii="Verdana" w:hAnsi="Verdana"/>
              </w:rPr>
              <w:t xml:space="preserve"> Evelien Germeraad</w:t>
            </w:r>
          </w:p>
          <w:p w:rsidR="00B12DCA" w:rsidRPr="00AE66EE" w:rsidRDefault="00B12DCA">
            <w:pPr>
              <w:rPr>
                <w:rFonts w:ascii="Verdana" w:hAnsi="Verdana"/>
              </w:rPr>
            </w:pPr>
            <w:r w:rsidRPr="00AE66EE">
              <w:rPr>
                <w:rFonts w:ascii="Verdana" w:hAnsi="Verdana"/>
              </w:rPr>
              <w:t>Institute/ Organization:</w:t>
            </w:r>
            <w:r w:rsidR="00AE66EE" w:rsidRPr="00AE66EE">
              <w:rPr>
                <w:rFonts w:ascii="Verdana" w:hAnsi="Verdana"/>
              </w:rPr>
              <w:t xml:space="preserve"> Wageningen Bioveterinary Research</w:t>
            </w:r>
          </w:p>
          <w:p w:rsidR="006F5CC7" w:rsidRPr="00AE66EE" w:rsidRDefault="007746DC">
            <w:pPr>
              <w:rPr>
                <w:rFonts w:ascii="Verdana" w:hAnsi="Verdana"/>
                <w:b/>
              </w:rPr>
            </w:pPr>
            <w:r w:rsidRPr="00AE66EE">
              <w:rPr>
                <w:rFonts w:ascii="Verdana" w:hAnsi="Verdana"/>
                <w:b/>
              </w:rPr>
              <w:t>Address</w:t>
            </w:r>
          </w:p>
          <w:p w:rsidR="00AE66EE" w:rsidRPr="00AE66EE" w:rsidRDefault="00AE66EE" w:rsidP="00AE66EE">
            <w:pPr>
              <w:rPr>
                <w:rFonts w:ascii="Verdana" w:eastAsiaTheme="minorEastAsia" w:hAnsi="Verdana"/>
                <w:noProof/>
                <w:lang w:val="en-GB" w:eastAsia="en-GB"/>
              </w:rPr>
            </w:pPr>
            <w:r w:rsidRPr="00AE66EE">
              <w:rPr>
                <w:rFonts w:ascii="Verdana" w:eastAsiaTheme="minorEastAsia" w:hAnsi="Verdana"/>
                <w:noProof/>
                <w:lang w:val="en-GB" w:eastAsia="en-GB"/>
              </w:rPr>
              <w:t>P.O.Box 65, 8200 AB Lelystad</w:t>
            </w:r>
          </w:p>
          <w:p w:rsidR="006F5CC7" w:rsidRPr="00AE66EE" w:rsidRDefault="00AE66EE" w:rsidP="00AE66EE">
            <w:pPr>
              <w:rPr>
                <w:rFonts w:ascii="Verdana" w:hAnsi="Verdana"/>
              </w:rPr>
            </w:pPr>
            <w:r w:rsidRPr="00AE66EE">
              <w:rPr>
                <w:rFonts w:ascii="Verdana" w:eastAsiaTheme="minorEastAsia" w:hAnsi="Verdana"/>
                <w:noProof/>
                <w:lang w:eastAsia="en-GB"/>
              </w:rPr>
              <w:t>Visiting address: Houtribweg 39, 8221 RA Lelystad</w:t>
            </w:r>
          </w:p>
          <w:p w:rsidR="007746DC" w:rsidRPr="00AE66EE" w:rsidRDefault="007746DC">
            <w:pPr>
              <w:rPr>
                <w:rFonts w:ascii="Verdana" w:hAnsi="Verdana"/>
              </w:rPr>
            </w:pPr>
            <w:r w:rsidRPr="00AE66EE">
              <w:rPr>
                <w:rFonts w:ascii="Verdana" w:hAnsi="Verdana"/>
              </w:rPr>
              <w:t>Country:</w:t>
            </w:r>
            <w:r w:rsidR="00AE66EE">
              <w:rPr>
                <w:rFonts w:ascii="Verdana" w:hAnsi="Verdana"/>
              </w:rPr>
              <w:t xml:space="preserve"> The Netherlands</w:t>
            </w:r>
          </w:p>
          <w:p w:rsidR="006F5CC7" w:rsidRPr="00AE66EE" w:rsidRDefault="007746DC">
            <w:pPr>
              <w:rPr>
                <w:rFonts w:ascii="Verdana" w:hAnsi="Verdana"/>
              </w:rPr>
            </w:pPr>
            <w:r w:rsidRPr="00AE66EE">
              <w:rPr>
                <w:rFonts w:ascii="Verdana" w:hAnsi="Verdana"/>
              </w:rPr>
              <w:t>Phone number</w:t>
            </w:r>
            <w:r w:rsidR="006F5CC7" w:rsidRPr="00AE66EE">
              <w:rPr>
                <w:rFonts w:ascii="Verdana" w:hAnsi="Verdana"/>
              </w:rPr>
              <w:t>:</w:t>
            </w:r>
            <w:r w:rsidR="00AE66EE">
              <w:rPr>
                <w:rFonts w:ascii="Verdana" w:hAnsi="Verdana"/>
              </w:rPr>
              <w:t xml:space="preserve"> 00</w:t>
            </w:r>
            <w:r w:rsidR="004C0796">
              <w:rPr>
                <w:rFonts w:ascii="Verdana" w:hAnsi="Verdana"/>
              </w:rPr>
              <w:t xml:space="preserve"> </w:t>
            </w:r>
            <w:r w:rsidR="00AE66EE">
              <w:rPr>
                <w:rFonts w:ascii="Verdana" w:hAnsi="Verdana"/>
              </w:rPr>
              <w:t>31 320 238 664</w:t>
            </w:r>
          </w:p>
          <w:p w:rsidR="007746DC" w:rsidRPr="00AE66EE" w:rsidRDefault="00B12DCA">
            <w:pPr>
              <w:rPr>
                <w:rFonts w:ascii="Verdana" w:hAnsi="Verdana"/>
              </w:rPr>
            </w:pPr>
            <w:r w:rsidRPr="00AE66EE">
              <w:rPr>
                <w:rFonts w:ascii="Verdana" w:hAnsi="Verdana"/>
              </w:rPr>
              <w:t>Email address:</w:t>
            </w:r>
            <w:r w:rsidR="00AE66EE">
              <w:rPr>
                <w:rFonts w:ascii="Verdana" w:hAnsi="Verdana"/>
              </w:rPr>
              <w:t xml:space="preserve"> evelien.germeraad@wur.nl</w:t>
            </w:r>
          </w:p>
          <w:p w:rsidR="005F50AE" w:rsidRPr="00AE66EE" w:rsidRDefault="005F50AE">
            <w:pPr>
              <w:rPr>
                <w:rFonts w:ascii="Verdana" w:hAnsi="Verdana"/>
              </w:rPr>
            </w:pPr>
          </w:p>
        </w:tc>
      </w:tr>
      <w:tr w:rsidR="00B12DCA" w:rsidRPr="006F5CC7" w:rsidTr="00B12DCA">
        <w:tc>
          <w:tcPr>
            <w:tcW w:w="9576" w:type="dxa"/>
          </w:tcPr>
          <w:p w:rsidR="006F5CC7" w:rsidRDefault="00B12DCA" w:rsidP="00AE66EE">
            <w:pPr>
              <w:rPr>
                <w:rFonts w:ascii="Verdana" w:hAnsi="Verdana"/>
                <w:b/>
                <w:bCs/>
                <w:sz w:val="28"/>
                <w:szCs w:val="28"/>
              </w:rPr>
            </w:pPr>
            <w:r w:rsidRPr="00AE66EE">
              <w:rPr>
                <w:rFonts w:ascii="Verdana" w:hAnsi="Verdana"/>
                <w:b/>
                <w:sz w:val="28"/>
                <w:szCs w:val="28"/>
              </w:rPr>
              <w:t xml:space="preserve">Title: </w:t>
            </w:r>
            <w:r w:rsidR="00AE66EE" w:rsidRPr="00AE66EE">
              <w:rPr>
                <w:rFonts w:ascii="Verdana" w:hAnsi="Verdana"/>
                <w:b/>
                <w:bCs/>
                <w:sz w:val="28"/>
                <w:szCs w:val="28"/>
              </w:rPr>
              <w:t>Development of a multiplex serological assay for Avian Influenza in poultry</w:t>
            </w:r>
          </w:p>
          <w:p w:rsidR="00FD6480" w:rsidRDefault="00FD6480" w:rsidP="00AE66EE">
            <w:pPr>
              <w:rPr>
                <w:rFonts w:ascii="Verdana" w:hAnsi="Verdana"/>
                <w:b/>
                <w:bCs/>
                <w:sz w:val="28"/>
                <w:szCs w:val="28"/>
              </w:rPr>
            </w:pPr>
          </w:p>
          <w:p w:rsidR="00FD6480" w:rsidRPr="00FD6480" w:rsidRDefault="00FD6480" w:rsidP="00FD6480">
            <w:pPr>
              <w:jc w:val="center"/>
              <w:rPr>
                <w:rFonts w:ascii="Verdana" w:hAnsi="Verdana"/>
                <w:vertAlign w:val="superscript"/>
                <w:lang w:val="nl-NL"/>
              </w:rPr>
            </w:pPr>
            <w:r w:rsidRPr="00FD6480">
              <w:rPr>
                <w:rFonts w:ascii="Verdana" w:hAnsi="Verdana"/>
                <w:u w:val="single" w:color="000000"/>
                <w:lang w:val="nl-NL"/>
              </w:rPr>
              <w:t>E. Germeraad</w:t>
            </w:r>
            <w:r w:rsidRPr="00FD6480">
              <w:rPr>
                <w:rFonts w:ascii="Verdana" w:hAnsi="Verdana"/>
                <w:color w:val="000000"/>
                <w:u w:color="000000"/>
                <w:vertAlign w:val="superscript"/>
                <w:lang w:val="nl-NL"/>
              </w:rPr>
              <w:t>1*</w:t>
            </w:r>
            <w:r w:rsidRPr="00FD6480">
              <w:rPr>
                <w:rFonts w:ascii="Verdana" w:hAnsi="Verdana"/>
                <w:u w:color="000000"/>
                <w:lang w:val="nl-NL"/>
              </w:rPr>
              <w:t>, R. Achterberg</w:t>
            </w:r>
            <w:r w:rsidRPr="00FD6480">
              <w:rPr>
                <w:rFonts w:ascii="Verdana" w:hAnsi="Verdana"/>
                <w:color w:val="000000"/>
                <w:u w:color="000000"/>
                <w:vertAlign w:val="superscript"/>
                <w:lang w:val="nl-NL"/>
              </w:rPr>
              <w:t>1</w:t>
            </w:r>
            <w:r w:rsidRPr="00FD6480">
              <w:rPr>
                <w:rFonts w:ascii="Verdana" w:hAnsi="Verdana"/>
                <w:u w:color="000000"/>
                <w:lang w:val="nl-NL"/>
              </w:rPr>
              <w:t>, S. Venema-Kemper</w:t>
            </w:r>
            <w:r w:rsidRPr="00FD6480">
              <w:rPr>
                <w:rFonts w:ascii="Verdana" w:hAnsi="Verdana"/>
                <w:color w:val="000000"/>
                <w:u w:color="000000"/>
                <w:vertAlign w:val="superscript"/>
                <w:lang w:val="nl-NL"/>
              </w:rPr>
              <w:t>1</w:t>
            </w:r>
            <w:r w:rsidRPr="00FD6480">
              <w:rPr>
                <w:rFonts w:ascii="Verdana" w:hAnsi="Verdana"/>
                <w:color w:val="000000"/>
                <w:u w:color="000000"/>
                <w:lang w:val="nl-NL"/>
              </w:rPr>
              <w:t>, F.J. van der Wal</w:t>
            </w:r>
            <w:r w:rsidRPr="00FD6480">
              <w:rPr>
                <w:rFonts w:ascii="Verdana" w:hAnsi="Verdana"/>
                <w:color w:val="000000"/>
                <w:u w:color="000000"/>
                <w:vertAlign w:val="superscript"/>
                <w:lang w:val="nl-NL"/>
              </w:rPr>
              <w:t>1</w:t>
            </w:r>
            <w:r w:rsidRPr="00FD6480">
              <w:rPr>
                <w:rFonts w:ascii="Verdana" w:hAnsi="Verdana"/>
                <w:color w:val="000000"/>
                <w:u w:color="000000"/>
                <w:lang w:val="nl-NL"/>
              </w:rPr>
              <w:t xml:space="preserve"> </w:t>
            </w:r>
            <w:proofErr w:type="spellStart"/>
            <w:r w:rsidRPr="00FD6480">
              <w:rPr>
                <w:rFonts w:ascii="Verdana" w:hAnsi="Verdana"/>
                <w:color w:val="000000"/>
                <w:u w:color="000000"/>
                <w:lang w:val="nl-NL"/>
              </w:rPr>
              <w:t>and</w:t>
            </w:r>
            <w:proofErr w:type="spellEnd"/>
            <w:r w:rsidRPr="00FD6480">
              <w:rPr>
                <w:rFonts w:ascii="Verdana" w:hAnsi="Verdana"/>
                <w:color w:val="000000"/>
                <w:u w:color="000000"/>
                <w:lang w:val="nl-NL"/>
              </w:rPr>
              <w:t xml:space="preserve"> N. Beerens</w:t>
            </w:r>
            <w:r w:rsidRPr="00FD6480">
              <w:rPr>
                <w:rFonts w:ascii="Verdana" w:hAnsi="Verdana"/>
                <w:color w:val="000000"/>
                <w:u w:color="000000"/>
                <w:vertAlign w:val="superscript"/>
                <w:lang w:val="nl-NL"/>
              </w:rPr>
              <w:t>1</w:t>
            </w:r>
          </w:p>
          <w:p w:rsidR="00FD6480" w:rsidRPr="00FD6480" w:rsidRDefault="00FD6480" w:rsidP="00FD6480">
            <w:pPr>
              <w:jc w:val="center"/>
              <w:rPr>
                <w:rFonts w:ascii="Verdana" w:hAnsi="Verdana"/>
              </w:rPr>
            </w:pPr>
            <w:r w:rsidRPr="00FD6480">
              <w:rPr>
                <w:rFonts w:ascii="Verdana" w:hAnsi="Verdana"/>
                <w:i/>
                <w:color w:val="000000"/>
                <w:u w:color="000000"/>
                <w:vertAlign w:val="superscript"/>
              </w:rPr>
              <w:t>1</w:t>
            </w:r>
            <w:r w:rsidRPr="00FD6480">
              <w:rPr>
                <w:rFonts w:ascii="Verdana" w:hAnsi="Verdana"/>
                <w:i/>
                <w:u w:color="000000"/>
              </w:rPr>
              <w:t>Wa</w:t>
            </w:r>
            <w:r w:rsidRPr="00FD6480">
              <w:rPr>
                <w:rFonts w:ascii="Verdana" w:hAnsi="Verdana"/>
                <w:i/>
                <w:u w:color="000000"/>
              </w:rPr>
              <w:t>geningen Bioveterinary Research</w:t>
            </w:r>
          </w:p>
          <w:p w:rsidR="00B12DCA" w:rsidRPr="006F5CC7" w:rsidRDefault="00B12DCA" w:rsidP="00A2331F">
            <w:pPr>
              <w:rPr>
                <w:rFonts w:ascii="Verdana" w:hAnsi="Verdana"/>
              </w:rPr>
            </w:pPr>
          </w:p>
        </w:tc>
      </w:tr>
      <w:tr w:rsidR="00B12DCA" w:rsidRPr="006F5CC7" w:rsidTr="00B12DCA">
        <w:tc>
          <w:tcPr>
            <w:tcW w:w="9576" w:type="dxa"/>
          </w:tcPr>
          <w:p w:rsidR="007746DC" w:rsidRDefault="007746DC" w:rsidP="00A2331F">
            <w:pPr>
              <w:rPr>
                <w:rFonts w:ascii="Verdana" w:hAnsi="Verdana"/>
              </w:rPr>
            </w:pPr>
          </w:p>
          <w:p w:rsidR="00AE66EE" w:rsidRPr="00AE66EE" w:rsidRDefault="00B12DCA" w:rsidP="00AE66EE">
            <w:pPr>
              <w:pStyle w:val="ListParagraph"/>
              <w:numPr>
                <w:ilvl w:val="0"/>
                <w:numId w:val="4"/>
              </w:numPr>
              <w:spacing w:after="144"/>
              <w:jc w:val="both"/>
              <w:rPr>
                <w:rFonts w:ascii="Verdana" w:hAnsi="Verdana"/>
              </w:rPr>
            </w:pPr>
            <w:r w:rsidRPr="00AE66EE">
              <w:rPr>
                <w:rFonts w:ascii="Verdana" w:hAnsi="Verdana"/>
              </w:rPr>
              <w:t>Background and aim:</w:t>
            </w:r>
            <w:r w:rsidR="00AE66EE" w:rsidRPr="00AE66EE">
              <w:rPr>
                <w:rFonts w:ascii="Verdana" w:hAnsi="Verdana"/>
              </w:rPr>
              <w:t xml:space="preserve"> </w:t>
            </w:r>
          </w:p>
          <w:p w:rsidR="00AE66EE" w:rsidRPr="00AE66EE" w:rsidRDefault="00AE66EE" w:rsidP="00AE66EE">
            <w:pPr>
              <w:spacing w:after="144"/>
              <w:ind w:left="360"/>
              <w:jc w:val="both"/>
              <w:rPr>
                <w:rFonts w:ascii="Verdana" w:hAnsi="Verdana"/>
                <w:u w:color="000000"/>
              </w:rPr>
            </w:pPr>
            <w:r w:rsidRPr="00AE66EE">
              <w:rPr>
                <w:rFonts w:ascii="Verdana" w:hAnsi="Verdana"/>
                <w:u w:color="000000"/>
              </w:rPr>
              <w:t>Avian Influenza (AI), also called bird flu, is a highly contagious viral disease that affects both domestic and wild birds and can be zoonotic. Avian Influenza viruses (AIV) are classified into subtypes based on two different surface proteins: haemagglutinin (HA) and neur</w:t>
            </w:r>
            <w:bookmarkStart w:id="0" w:name="_GoBack"/>
            <w:bookmarkEnd w:id="0"/>
            <w:r w:rsidRPr="00AE66EE">
              <w:rPr>
                <w:rFonts w:ascii="Verdana" w:hAnsi="Verdana"/>
                <w:u w:color="000000"/>
              </w:rPr>
              <w:t xml:space="preserve">aminidase (NA). In birds, 16 </w:t>
            </w:r>
            <w:proofErr w:type="spellStart"/>
            <w:r w:rsidRPr="00AE66EE">
              <w:rPr>
                <w:rFonts w:ascii="Verdana" w:hAnsi="Verdana"/>
                <w:u w:color="000000"/>
              </w:rPr>
              <w:t>haemagglutinins</w:t>
            </w:r>
            <w:proofErr w:type="spellEnd"/>
            <w:r w:rsidRPr="00AE66EE">
              <w:rPr>
                <w:rFonts w:ascii="Verdana" w:hAnsi="Verdana"/>
                <w:u w:color="000000"/>
              </w:rPr>
              <w:t xml:space="preserve"> (1-16) and 9 neuraminidases (1-9) subtypes have been found in numerous combinations </w:t>
            </w:r>
            <w:r w:rsidRPr="00AE66EE">
              <w:rPr>
                <w:rFonts w:ascii="Verdana" w:hAnsi="Verdana"/>
                <w:u w:color="000000"/>
              </w:rPr>
              <w:fldChar w:fldCharType="begin"/>
            </w:r>
            <w:r w:rsidRPr="00AE66EE">
              <w:rPr>
                <w:rFonts w:ascii="Verdana" w:hAnsi="Verdana"/>
                <w:u w:color="000000"/>
              </w:rPr>
              <w:instrText xml:space="preserve"> ADDIN EN.CITE &lt;EndNote&gt;&lt;Cite&gt;&lt;Author&gt;Health&lt;/Author&gt;&lt;Year&gt;2015&lt;/Year&gt;&lt;RecNum&gt;35&lt;/RecNum&gt;&lt;DisplayText&gt;[1]&lt;/DisplayText&gt;&lt;record&gt;&lt;rec-number&gt;35&lt;/rec-number&gt;&lt;foreign-keys&gt;&lt;key app="EN" db-id="es9e5vs9tsasvae2r2mpf2d8svs022vvds2x" timestamp="1452599925"&gt;35&lt;/key&gt;&lt;/foreign-keys&gt;&lt;ref-type name="Standard"&gt;58&lt;/ref-type&gt;&lt;contributors&gt;&lt;authors&gt;&lt;author&gt;OIE, WorldOrganisationforAnimalHealth&lt;/author&gt;&lt;/authors&gt;&lt;/contributors&gt;&lt;titles&gt;&lt;title&gt;Manual of Diagnostic Tests and Vaccines for terrestrial Animals&lt;/title&gt;&lt;secondary-title&gt;Chapter 2.3.4. Avian influenza (infection with avian influenza viruses)&lt;/secondary-title&gt;&lt;/titles&gt;&lt;dates&gt;&lt;year&gt;2015&lt;/year&gt;&lt;/dates&gt;&lt;urls&gt;&lt;/urls&gt;&lt;/record&gt;&lt;/Cite&gt;&lt;/EndNote&gt;</w:instrText>
            </w:r>
            <w:r w:rsidRPr="00AE66EE">
              <w:rPr>
                <w:rFonts w:ascii="Verdana" w:hAnsi="Verdana"/>
                <w:u w:color="000000"/>
              </w:rPr>
              <w:fldChar w:fldCharType="separate"/>
            </w:r>
            <w:r w:rsidRPr="00AE66EE">
              <w:rPr>
                <w:rFonts w:ascii="Verdana" w:hAnsi="Verdana"/>
                <w:noProof/>
                <w:u w:color="000000"/>
              </w:rPr>
              <w:t>[1]</w:t>
            </w:r>
            <w:r w:rsidRPr="00AE66EE">
              <w:rPr>
                <w:rFonts w:ascii="Verdana" w:hAnsi="Verdana"/>
                <w:u w:color="000000"/>
              </w:rPr>
              <w:fldChar w:fldCharType="end"/>
            </w:r>
            <w:r w:rsidRPr="00AE66EE">
              <w:rPr>
                <w:rFonts w:ascii="Verdana" w:hAnsi="Verdana"/>
                <w:u w:color="000000"/>
              </w:rPr>
              <w:t>.</w:t>
            </w:r>
          </w:p>
          <w:p w:rsidR="00AE66EE" w:rsidRPr="00AE66EE" w:rsidRDefault="00AE66EE" w:rsidP="00AE66EE">
            <w:pPr>
              <w:spacing w:after="144"/>
              <w:ind w:left="360"/>
              <w:jc w:val="both"/>
              <w:rPr>
                <w:rFonts w:ascii="Verdana" w:hAnsi="Verdana"/>
                <w:u w:color="000000"/>
              </w:rPr>
            </w:pPr>
            <w:r w:rsidRPr="00AE66EE">
              <w:rPr>
                <w:rFonts w:ascii="Verdana" w:hAnsi="Verdana"/>
                <w:u w:color="000000"/>
              </w:rPr>
              <w:t xml:space="preserve">Various serological methods are available to detect antibodies against AIV; enzyme-linked immunoassay (ELISA), agar gel immunodiffusion (AGID) and </w:t>
            </w:r>
            <w:proofErr w:type="spellStart"/>
            <w:r w:rsidRPr="00AE66EE">
              <w:rPr>
                <w:rFonts w:ascii="Verdana" w:hAnsi="Verdana"/>
                <w:u w:color="000000"/>
              </w:rPr>
              <w:t>haemagglutination</w:t>
            </w:r>
            <w:proofErr w:type="spellEnd"/>
            <w:r w:rsidRPr="00AE66EE">
              <w:rPr>
                <w:rFonts w:ascii="Verdana" w:hAnsi="Verdana"/>
                <w:u w:color="000000"/>
              </w:rPr>
              <w:t xml:space="preserve"> inhibition test (HI-test) </w:t>
            </w:r>
            <w:r w:rsidRPr="00AE66EE">
              <w:rPr>
                <w:rFonts w:ascii="Verdana" w:hAnsi="Verdana"/>
                <w:u w:color="000000"/>
              </w:rPr>
              <w:fldChar w:fldCharType="begin"/>
            </w:r>
            <w:r w:rsidRPr="00AE66EE">
              <w:rPr>
                <w:rFonts w:ascii="Verdana" w:hAnsi="Verdana"/>
                <w:u w:color="000000"/>
              </w:rPr>
              <w:instrText xml:space="preserve"> ADDIN EN.CITE &lt;EndNote&gt;&lt;Cite&gt;&lt;Author&gt;Health&lt;/Author&gt;&lt;Year&gt;2015&lt;/Year&gt;&lt;RecNum&gt;35&lt;/RecNum&gt;&lt;DisplayText&gt;[1]&lt;/DisplayText&gt;&lt;record&gt;&lt;rec-number&gt;35&lt;/rec-number&gt;&lt;foreign-keys&gt;&lt;key app="EN" db-id="es9e5vs9tsasvae2r2mpf2d8svs022vvds2x" timestamp="1452599925"&gt;35&lt;/key&gt;&lt;/foreign-keys&gt;&lt;ref-type name="Standard"&gt;58&lt;/ref-type&gt;&lt;contributors&gt;&lt;authors&gt;&lt;author&gt;OIE, WorldOrganisationforAnimalHealth&lt;/author&gt;&lt;/authors&gt;&lt;/contributors&gt;&lt;titles&gt;&lt;title&gt;Manual of Diagnostic Tests and Vaccines for terrestrial Animals&lt;/title&gt;&lt;secondary-title&gt;Chapter 2.3.4. Avian influenza (infection with avian influenza viruses)&lt;/secondary-title&gt;&lt;/titles&gt;&lt;dates&gt;&lt;year&gt;2015&lt;/year&gt;&lt;/dates&gt;&lt;urls&gt;&lt;/urls&gt;&lt;/record&gt;&lt;/Cite&gt;&lt;/EndNote&gt;</w:instrText>
            </w:r>
            <w:r w:rsidRPr="00AE66EE">
              <w:rPr>
                <w:rFonts w:ascii="Verdana" w:hAnsi="Verdana"/>
                <w:u w:color="000000"/>
              </w:rPr>
              <w:fldChar w:fldCharType="separate"/>
            </w:r>
            <w:r w:rsidRPr="00AE66EE">
              <w:rPr>
                <w:rFonts w:ascii="Verdana" w:hAnsi="Verdana"/>
                <w:noProof/>
                <w:u w:color="000000"/>
              </w:rPr>
              <w:t>[1]</w:t>
            </w:r>
            <w:r w:rsidRPr="00AE66EE">
              <w:rPr>
                <w:rFonts w:ascii="Verdana" w:hAnsi="Verdana"/>
                <w:u w:color="000000"/>
              </w:rPr>
              <w:fldChar w:fldCharType="end"/>
            </w:r>
            <w:r w:rsidRPr="00AE66EE">
              <w:rPr>
                <w:rFonts w:ascii="Verdana" w:hAnsi="Verdana"/>
                <w:u w:color="000000"/>
              </w:rPr>
              <w:t xml:space="preserve">. All these tests require a large volume of serum and are time-consuming, which makes them costly. In this study, we investigated the potential of a multiplex serological assay that is based on </w:t>
            </w:r>
            <w:proofErr w:type="spellStart"/>
            <w:r w:rsidRPr="00AE66EE">
              <w:rPr>
                <w:rFonts w:ascii="Verdana" w:hAnsi="Verdana"/>
                <w:u w:color="000000"/>
              </w:rPr>
              <w:t>Luminex</w:t>
            </w:r>
            <w:proofErr w:type="spellEnd"/>
            <w:r w:rsidRPr="00AE66EE">
              <w:rPr>
                <w:rFonts w:ascii="Verdana" w:hAnsi="Verdana"/>
                <w:u w:color="000000"/>
              </w:rPr>
              <w:t xml:space="preserve"> technology. The intended assay enables detection of antibodies against all HA and NA subtypes simultaneously in one single assay, and thereby serotyping of the virus in poultry. This test will require only small volumes of serum, and will be more time- and cost-efficient than the current serological methods.</w:t>
            </w:r>
          </w:p>
          <w:p w:rsidR="00B12DCA" w:rsidRPr="006F5CC7" w:rsidRDefault="00B12DCA" w:rsidP="00A2331F">
            <w:pPr>
              <w:rPr>
                <w:rFonts w:ascii="Verdana" w:hAnsi="Verdana"/>
              </w:rPr>
            </w:pPr>
          </w:p>
          <w:p w:rsidR="00B12DCA" w:rsidRPr="00AE66EE" w:rsidRDefault="00B12DCA" w:rsidP="00AE66EE">
            <w:pPr>
              <w:pStyle w:val="ListParagraph"/>
              <w:numPr>
                <w:ilvl w:val="0"/>
                <w:numId w:val="4"/>
              </w:numPr>
              <w:rPr>
                <w:rFonts w:ascii="Verdana" w:hAnsi="Verdana"/>
              </w:rPr>
            </w:pPr>
            <w:r w:rsidRPr="00AE66EE">
              <w:rPr>
                <w:rFonts w:ascii="Verdana" w:hAnsi="Verdana"/>
              </w:rPr>
              <w:t>Methods:</w:t>
            </w:r>
          </w:p>
          <w:p w:rsidR="00AE66EE" w:rsidRPr="004C0796" w:rsidRDefault="00AE66EE" w:rsidP="004C0796">
            <w:pPr>
              <w:spacing w:after="144"/>
              <w:ind w:left="360"/>
              <w:jc w:val="both"/>
              <w:rPr>
                <w:rFonts w:ascii="Verdana" w:hAnsi="Verdana"/>
                <w:u w:color="000000"/>
              </w:rPr>
            </w:pPr>
            <w:r w:rsidRPr="004C0796">
              <w:rPr>
                <w:rFonts w:ascii="Verdana" w:hAnsi="Verdana"/>
                <w:u w:color="000000"/>
              </w:rPr>
              <w:t xml:space="preserve">Using recombinant techniques multiple variants of the different HA and NA proteins were produced. The HA and NA proteins were covalently bound to spectrally different fluorescent beads, resulting in 54 different beads. When serum and beads are mixed, the antibodies will bind to the coupled HA and NA proteins. Next, the beads are incubated with </w:t>
            </w:r>
            <w:proofErr w:type="spellStart"/>
            <w:r w:rsidRPr="004C0796">
              <w:rPr>
                <w:rFonts w:ascii="Verdana" w:hAnsi="Verdana"/>
                <w:u w:color="000000"/>
              </w:rPr>
              <w:t>phycoerythrin</w:t>
            </w:r>
            <w:proofErr w:type="spellEnd"/>
            <w:r w:rsidRPr="004C0796">
              <w:rPr>
                <w:rFonts w:ascii="Verdana" w:hAnsi="Verdana"/>
                <w:u w:color="000000"/>
              </w:rPr>
              <w:t xml:space="preserve"> labelled anti-chicken </w:t>
            </w:r>
            <w:proofErr w:type="spellStart"/>
            <w:r w:rsidRPr="004C0796">
              <w:rPr>
                <w:rFonts w:ascii="Verdana" w:hAnsi="Verdana"/>
                <w:u w:color="000000"/>
              </w:rPr>
              <w:t>IgY</w:t>
            </w:r>
            <w:proofErr w:type="spellEnd"/>
            <w:r w:rsidRPr="004C0796">
              <w:rPr>
                <w:rFonts w:ascii="Verdana" w:hAnsi="Verdana"/>
                <w:u w:color="000000"/>
              </w:rPr>
              <w:t xml:space="preserve"> and subsequent analysis using a </w:t>
            </w:r>
            <w:proofErr w:type="spellStart"/>
            <w:r w:rsidRPr="004C0796">
              <w:rPr>
                <w:rFonts w:ascii="Verdana" w:hAnsi="Verdana"/>
                <w:u w:color="000000"/>
              </w:rPr>
              <w:t>Magpix</w:t>
            </w:r>
            <w:proofErr w:type="spellEnd"/>
            <w:r w:rsidRPr="004C0796">
              <w:rPr>
                <w:rFonts w:ascii="Verdana" w:hAnsi="Verdana"/>
                <w:u w:color="000000"/>
              </w:rPr>
              <w:t>.</w:t>
            </w:r>
          </w:p>
          <w:p w:rsidR="00AE66EE" w:rsidRPr="004C0796" w:rsidRDefault="00AE66EE" w:rsidP="004C0796">
            <w:pPr>
              <w:ind w:left="360"/>
              <w:rPr>
                <w:rFonts w:ascii="Verdana" w:hAnsi="Verdana"/>
              </w:rPr>
            </w:pPr>
            <w:r w:rsidRPr="004C0796">
              <w:rPr>
                <w:rFonts w:ascii="Verdana" w:hAnsi="Verdana"/>
                <w:u w:color="000000"/>
              </w:rPr>
              <w:t>Starting with the validation of the AI multiplex serological assay, 87 individual chicken field samples were tested. Confirmation of the HA results was performed using the HI-test.</w:t>
            </w:r>
            <w:r w:rsidR="004C0796" w:rsidRPr="004C0796">
              <w:rPr>
                <w:rFonts w:ascii="Verdana" w:hAnsi="Verdana"/>
                <w:u w:color="000000"/>
              </w:rPr>
              <w:t xml:space="preserve"> Results for NA were confirmed using an in-house ELISA that detects all NA-serotypes.</w:t>
            </w:r>
          </w:p>
          <w:p w:rsidR="00B12DCA" w:rsidRPr="004C0796" w:rsidRDefault="00B12DCA" w:rsidP="00A2331F">
            <w:pPr>
              <w:rPr>
                <w:rFonts w:ascii="Verdana" w:hAnsi="Verdana"/>
              </w:rPr>
            </w:pPr>
          </w:p>
          <w:p w:rsidR="00B12DCA" w:rsidRPr="004C0796" w:rsidRDefault="00B12DCA" w:rsidP="00A2331F">
            <w:pPr>
              <w:rPr>
                <w:rFonts w:ascii="Verdana" w:hAnsi="Verdana"/>
              </w:rPr>
            </w:pPr>
          </w:p>
          <w:p w:rsidR="00B12DCA" w:rsidRPr="004C0796" w:rsidRDefault="00B12DCA" w:rsidP="00A2331F">
            <w:pPr>
              <w:rPr>
                <w:rFonts w:ascii="Verdana" w:hAnsi="Verdana"/>
              </w:rPr>
            </w:pPr>
          </w:p>
          <w:p w:rsidR="00B12DCA" w:rsidRPr="004C0796" w:rsidRDefault="00B12DCA" w:rsidP="00A2331F">
            <w:pPr>
              <w:rPr>
                <w:rFonts w:ascii="Verdana" w:hAnsi="Verdana"/>
              </w:rPr>
            </w:pPr>
          </w:p>
          <w:p w:rsidR="00B12DCA" w:rsidRPr="004C0796" w:rsidRDefault="00B12DCA" w:rsidP="00A2331F">
            <w:pPr>
              <w:rPr>
                <w:rFonts w:ascii="Verdana" w:hAnsi="Verdana"/>
              </w:rPr>
            </w:pPr>
          </w:p>
          <w:p w:rsidR="00B12DCA" w:rsidRPr="004C0796" w:rsidRDefault="00B12DCA" w:rsidP="00A2331F">
            <w:pPr>
              <w:rPr>
                <w:rFonts w:ascii="Verdana" w:hAnsi="Verdana"/>
              </w:rPr>
            </w:pPr>
          </w:p>
          <w:p w:rsidR="00B12DCA" w:rsidRPr="004C0796" w:rsidRDefault="00B12DCA" w:rsidP="004C0796">
            <w:pPr>
              <w:pStyle w:val="ListParagraph"/>
              <w:numPr>
                <w:ilvl w:val="0"/>
                <w:numId w:val="4"/>
              </w:numPr>
              <w:rPr>
                <w:rFonts w:ascii="Verdana" w:hAnsi="Verdana"/>
              </w:rPr>
            </w:pPr>
            <w:r w:rsidRPr="004C0796">
              <w:rPr>
                <w:rFonts w:ascii="Verdana" w:hAnsi="Verdana"/>
              </w:rPr>
              <w:t>Results:</w:t>
            </w:r>
          </w:p>
          <w:p w:rsidR="004C0796" w:rsidRPr="004C0796" w:rsidRDefault="004C0796" w:rsidP="004C0796">
            <w:pPr>
              <w:spacing w:after="144"/>
              <w:ind w:left="360"/>
              <w:jc w:val="both"/>
              <w:rPr>
                <w:rFonts w:ascii="Verdana" w:hAnsi="Verdana"/>
                <w:u w:color="000000"/>
              </w:rPr>
            </w:pPr>
            <w:r w:rsidRPr="004C0796">
              <w:rPr>
                <w:rFonts w:ascii="Verdana" w:hAnsi="Verdana"/>
                <w:u w:color="000000"/>
              </w:rPr>
              <w:t>In 92% of the samples, the results of the AI multiplex serological assay were similar with the results of the HI-test and ELISA. Further optimization and validation is ongoing.</w:t>
            </w:r>
          </w:p>
          <w:p w:rsidR="00B12DCA" w:rsidRPr="004C0796" w:rsidRDefault="00B12DCA" w:rsidP="00A2331F">
            <w:pPr>
              <w:rPr>
                <w:rFonts w:ascii="Verdana" w:hAnsi="Verdana"/>
              </w:rPr>
            </w:pPr>
          </w:p>
          <w:p w:rsidR="00B12DCA" w:rsidRPr="004C0796" w:rsidRDefault="00B12DCA" w:rsidP="004C0796">
            <w:pPr>
              <w:pStyle w:val="ListParagraph"/>
              <w:numPr>
                <w:ilvl w:val="0"/>
                <w:numId w:val="4"/>
              </w:numPr>
              <w:rPr>
                <w:rFonts w:ascii="Verdana" w:hAnsi="Verdana"/>
              </w:rPr>
            </w:pPr>
            <w:r w:rsidRPr="004C0796">
              <w:rPr>
                <w:rFonts w:ascii="Verdana" w:hAnsi="Verdana"/>
              </w:rPr>
              <w:t>Conclusion:</w:t>
            </w:r>
          </w:p>
          <w:p w:rsidR="004C0796" w:rsidRPr="004C0796" w:rsidRDefault="004C0796" w:rsidP="004C0796">
            <w:pPr>
              <w:spacing w:after="144"/>
              <w:ind w:left="360"/>
              <w:jc w:val="both"/>
              <w:rPr>
                <w:rFonts w:ascii="Verdana" w:hAnsi="Verdana"/>
                <w:u w:color="000000"/>
              </w:rPr>
            </w:pPr>
            <w:r w:rsidRPr="004C0796">
              <w:rPr>
                <w:rFonts w:ascii="Verdana" w:hAnsi="Verdana"/>
                <w:u w:color="000000"/>
              </w:rPr>
              <w:t xml:space="preserve">To conclude, the multiplex serological assay, based on </w:t>
            </w:r>
            <w:proofErr w:type="spellStart"/>
            <w:r w:rsidRPr="004C0796">
              <w:rPr>
                <w:rFonts w:ascii="Verdana" w:hAnsi="Verdana"/>
                <w:u w:color="000000"/>
              </w:rPr>
              <w:t>Luminex</w:t>
            </w:r>
            <w:proofErr w:type="spellEnd"/>
            <w:r w:rsidRPr="004C0796">
              <w:rPr>
                <w:rFonts w:ascii="Verdana" w:hAnsi="Verdana"/>
                <w:u w:color="000000"/>
              </w:rPr>
              <w:t xml:space="preserve"> technology, is a powerful technique to quickly identify AIV subtypes in poultry sera.</w:t>
            </w:r>
          </w:p>
          <w:p w:rsidR="004C0796" w:rsidRDefault="004C0796" w:rsidP="004C0796">
            <w:pPr>
              <w:spacing w:after="144"/>
              <w:ind w:left="360"/>
              <w:jc w:val="both"/>
              <w:rPr>
                <w:rFonts w:ascii="Verdana" w:hAnsi="Verdana"/>
                <w:b/>
                <w:u w:color="000000"/>
              </w:rPr>
            </w:pPr>
          </w:p>
          <w:p w:rsidR="004C0796" w:rsidRPr="004C0796" w:rsidRDefault="004C0796" w:rsidP="004C0796">
            <w:pPr>
              <w:spacing w:after="144"/>
              <w:ind w:left="360"/>
              <w:jc w:val="both"/>
              <w:rPr>
                <w:rFonts w:ascii="Verdana" w:hAnsi="Verdana"/>
                <w:color w:val="000000"/>
                <w:u w:color="000000"/>
              </w:rPr>
            </w:pPr>
            <w:r w:rsidRPr="004C0796">
              <w:rPr>
                <w:rFonts w:ascii="Verdana" w:hAnsi="Verdana"/>
                <w:u w:color="000000"/>
              </w:rPr>
              <w:t>References</w:t>
            </w:r>
          </w:p>
          <w:p w:rsidR="004C0796" w:rsidRPr="004C0796" w:rsidRDefault="004C0796" w:rsidP="004C0796">
            <w:pPr>
              <w:pStyle w:val="NoSpacing"/>
              <w:numPr>
                <w:ilvl w:val="0"/>
                <w:numId w:val="6"/>
              </w:numPr>
              <w:ind w:left="1080"/>
              <w:jc w:val="both"/>
              <w:rPr>
                <w:szCs w:val="22"/>
              </w:rPr>
            </w:pPr>
            <w:r w:rsidRPr="004C0796">
              <w:rPr>
                <w:szCs w:val="22"/>
                <w:u w:color="000000"/>
              </w:rPr>
              <w:t xml:space="preserve">World </w:t>
            </w:r>
            <w:proofErr w:type="spellStart"/>
            <w:r w:rsidRPr="004C0796">
              <w:rPr>
                <w:szCs w:val="22"/>
                <w:u w:color="000000"/>
              </w:rPr>
              <w:t>Organisation</w:t>
            </w:r>
            <w:proofErr w:type="spellEnd"/>
            <w:r w:rsidRPr="004C0796">
              <w:rPr>
                <w:szCs w:val="22"/>
                <w:u w:color="000000"/>
              </w:rPr>
              <w:t xml:space="preserve"> for Animal Health (OIE), 2015, Chapter 2.3.4. Avian Influenza (infection with avian influenza viruses). In: Manual of Diagnostic Tests and Vaccines for terrestrial Animals. Available:</w:t>
            </w:r>
          </w:p>
          <w:p w:rsidR="004C0796" w:rsidRPr="004C0796" w:rsidRDefault="004C0796" w:rsidP="004C0796">
            <w:pPr>
              <w:pStyle w:val="ListParagraph"/>
              <w:ind w:left="1080"/>
              <w:rPr>
                <w:rFonts w:ascii="Verdana" w:hAnsi="Verdana"/>
              </w:rPr>
            </w:pPr>
            <w:r w:rsidRPr="004C0796">
              <w:rPr>
                <w:rFonts w:ascii="Verdana" w:hAnsi="Verdana"/>
                <w:u w:color="000000"/>
              </w:rPr>
              <w:t>http://www.oie.int/fileadmin/Home/eng/Health_standards/tahm/2.03.04_AI.pdf</w:t>
            </w:r>
          </w:p>
          <w:p w:rsidR="00B12DCA" w:rsidRPr="006F5CC7" w:rsidRDefault="00B12DCA" w:rsidP="00A2331F">
            <w:pPr>
              <w:rPr>
                <w:rFonts w:ascii="Verdana" w:hAnsi="Verdana"/>
              </w:rPr>
            </w:pPr>
          </w:p>
        </w:tc>
      </w:tr>
    </w:tbl>
    <w:p w:rsidR="00AD0438" w:rsidRDefault="00AD0438" w:rsidP="00AD0438"/>
    <w:sectPr w:rsidR="00AD0438" w:rsidSect="00AD0438">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angal">
    <w:altName w:val="Liberation Mono"/>
    <w:panose1 w:val="02040503050203030202"/>
    <w:charset w:val="00"/>
    <w:family w:val="roman"/>
    <w:pitch w:val="variable"/>
    <w:sig w:usb0="00008003" w:usb1="00000000" w:usb2="00000000" w:usb3="00000000" w:csb0="00000001" w:csb1="00000000"/>
  </w:font>
  <w:font w:name="Whitney Book">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17A2"/>
    <w:multiLevelType w:val="multilevel"/>
    <w:tmpl w:val="D26AD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84BB2"/>
    <w:multiLevelType w:val="hybridMultilevel"/>
    <w:tmpl w:val="A4FA7AD8"/>
    <w:lvl w:ilvl="0" w:tplc="62548AA6">
      <w:start w:val="1"/>
      <w:numFmt w:val="decimal"/>
      <w:lvlText w:val="%1."/>
      <w:lvlJc w:val="left"/>
      <w:pPr>
        <w:ind w:left="720" w:hanging="360"/>
      </w:pPr>
      <w:rPr>
        <w:rFonts w:cs="Times New Roman" w:hint="default"/>
        <w:b/>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E464E4B"/>
    <w:multiLevelType w:val="hybridMultilevel"/>
    <w:tmpl w:val="C4D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B092D"/>
    <w:multiLevelType w:val="hybridMultilevel"/>
    <w:tmpl w:val="664022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1B87EF4"/>
    <w:multiLevelType w:val="hybridMultilevel"/>
    <w:tmpl w:val="4A56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50C2F"/>
    <w:multiLevelType w:val="hybridMultilevel"/>
    <w:tmpl w:val="BDCCAE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4C"/>
    <w:rsid w:val="003249DE"/>
    <w:rsid w:val="004C0796"/>
    <w:rsid w:val="005F50AE"/>
    <w:rsid w:val="0063006C"/>
    <w:rsid w:val="006D2150"/>
    <w:rsid w:val="006F5CC7"/>
    <w:rsid w:val="00713DBC"/>
    <w:rsid w:val="007652B1"/>
    <w:rsid w:val="007746DC"/>
    <w:rsid w:val="00873826"/>
    <w:rsid w:val="008C387C"/>
    <w:rsid w:val="00A627B6"/>
    <w:rsid w:val="00A72D7C"/>
    <w:rsid w:val="00AD0438"/>
    <w:rsid w:val="00AE66EE"/>
    <w:rsid w:val="00B12DCA"/>
    <w:rsid w:val="00C139B9"/>
    <w:rsid w:val="00DF7C4C"/>
    <w:rsid w:val="00E06358"/>
    <w:rsid w:val="00FD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00AA"/>
  <w15:docId w15:val="{8A163A90-B8FC-453C-A1C2-B524EDBD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7C4C"/>
  </w:style>
  <w:style w:type="table" w:styleId="TableGrid">
    <w:name w:val="Table Grid"/>
    <w:basedOn w:val="TableNormal"/>
    <w:uiPriority w:val="59"/>
    <w:rsid w:val="00AD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438"/>
    <w:pPr>
      <w:ind w:left="720"/>
      <w:contextualSpacing/>
    </w:pPr>
  </w:style>
  <w:style w:type="paragraph" w:styleId="NormalWeb">
    <w:name w:val="Normal (Web)"/>
    <w:basedOn w:val="Normal"/>
    <w:uiPriority w:val="99"/>
    <w:semiHidden/>
    <w:unhideWhenUsed/>
    <w:rsid w:val="00AD0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438"/>
    <w:rPr>
      <w:color w:val="0000FF"/>
      <w:u w:val="single"/>
    </w:rPr>
  </w:style>
  <w:style w:type="character" w:styleId="Strong">
    <w:name w:val="Strong"/>
    <w:basedOn w:val="DefaultParagraphFont"/>
    <w:uiPriority w:val="22"/>
    <w:qFormat/>
    <w:rsid w:val="00AD0438"/>
    <w:rPr>
      <w:b/>
      <w:bCs/>
    </w:rPr>
  </w:style>
  <w:style w:type="paragraph" w:styleId="Title">
    <w:name w:val="Title"/>
    <w:basedOn w:val="Normal"/>
    <w:next w:val="BodyText"/>
    <w:link w:val="TitleChar"/>
    <w:uiPriority w:val="99"/>
    <w:qFormat/>
    <w:rsid w:val="00AE66EE"/>
    <w:pPr>
      <w:keepNext/>
      <w:widowControl w:val="0"/>
      <w:autoSpaceDE w:val="0"/>
      <w:autoSpaceDN w:val="0"/>
      <w:adjustRightInd w:val="0"/>
      <w:spacing w:before="240" w:after="120" w:line="240" w:lineRule="auto"/>
    </w:pPr>
    <w:rPr>
      <w:rFonts w:ascii="Arial" w:eastAsia="Times New Roman" w:hAnsi="Verdana" w:cs="Arial"/>
      <w:kern w:val="1"/>
      <w:sz w:val="28"/>
      <w:szCs w:val="28"/>
      <w:lang w:eastAsia="zh-CN" w:bidi="hi-IN"/>
    </w:rPr>
  </w:style>
  <w:style w:type="character" w:customStyle="1" w:styleId="TitleChar">
    <w:name w:val="Title Char"/>
    <w:basedOn w:val="DefaultParagraphFont"/>
    <w:link w:val="Title"/>
    <w:uiPriority w:val="10"/>
    <w:rsid w:val="00AE66EE"/>
    <w:rPr>
      <w:rFonts w:ascii="Arial" w:eastAsia="Times New Roman" w:hAnsi="Verdana" w:cs="Arial"/>
      <w:kern w:val="1"/>
      <w:sz w:val="28"/>
      <w:szCs w:val="28"/>
      <w:lang w:eastAsia="zh-CN" w:bidi="hi-IN"/>
    </w:rPr>
  </w:style>
  <w:style w:type="paragraph" w:styleId="BodyText">
    <w:name w:val="Body Text"/>
    <w:basedOn w:val="Normal"/>
    <w:link w:val="BodyTextChar"/>
    <w:uiPriority w:val="99"/>
    <w:semiHidden/>
    <w:unhideWhenUsed/>
    <w:rsid w:val="00AE66EE"/>
    <w:pPr>
      <w:spacing w:after="120"/>
    </w:pPr>
  </w:style>
  <w:style w:type="character" w:customStyle="1" w:styleId="BodyTextChar">
    <w:name w:val="Body Text Char"/>
    <w:basedOn w:val="DefaultParagraphFont"/>
    <w:link w:val="BodyText"/>
    <w:uiPriority w:val="99"/>
    <w:semiHidden/>
    <w:rsid w:val="00AE66EE"/>
  </w:style>
  <w:style w:type="paragraph" w:styleId="NoSpacing">
    <w:name w:val="No Spacing"/>
    <w:uiPriority w:val="1"/>
    <w:qFormat/>
    <w:rsid w:val="004C0796"/>
    <w:pPr>
      <w:widowControl w:val="0"/>
      <w:autoSpaceDE w:val="0"/>
      <w:autoSpaceDN w:val="0"/>
      <w:adjustRightInd w:val="0"/>
      <w:spacing w:after="0" w:line="240" w:lineRule="auto"/>
    </w:pPr>
    <w:rPr>
      <w:rFonts w:ascii="Verdana" w:eastAsiaTheme="minorEastAsia" w:hAnsi="Verdana" w:cs="Mangal"/>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04300">
      <w:bodyDiv w:val="1"/>
      <w:marLeft w:val="0"/>
      <w:marRight w:val="0"/>
      <w:marTop w:val="0"/>
      <w:marBottom w:val="0"/>
      <w:divBdr>
        <w:top w:val="none" w:sz="0" w:space="0" w:color="auto"/>
        <w:left w:val="none" w:sz="0" w:space="0" w:color="auto"/>
        <w:bottom w:val="none" w:sz="0" w:space="0" w:color="auto"/>
        <w:right w:val="none" w:sz="0" w:space="0" w:color="auto"/>
      </w:divBdr>
    </w:div>
    <w:div w:id="1266962657">
      <w:bodyDiv w:val="1"/>
      <w:marLeft w:val="0"/>
      <w:marRight w:val="0"/>
      <w:marTop w:val="0"/>
      <w:marBottom w:val="0"/>
      <w:divBdr>
        <w:top w:val="none" w:sz="0" w:space="0" w:color="auto"/>
        <w:left w:val="none" w:sz="0" w:space="0" w:color="auto"/>
        <w:bottom w:val="none" w:sz="0" w:space="0" w:color="auto"/>
        <w:right w:val="none" w:sz="0" w:space="0" w:color="auto"/>
      </w:divBdr>
    </w:div>
    <w:div w:id="17869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3734-3201-47F7-B45A-D796CA3D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3BC1AA45.dotm</Template>
  <TotalTime>2</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Luminex Corporation</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Sulter</dc:creator>
  <cp:lastModifiedBy>Germeraad, Evelien</cp:lastModifiedBy>
  <cp:revision>3</cp:revision>
  <cp:lastPrinted>2016-03-24T15:23:00Z</cp:lastPrinted>
  <dcterms:created xsi:type="dcterms:W3CDTF">2017-09-11T07:26:00Z</dcterms:created>
  <dcterms:modified xsi:type="dcterms:W3CDTF">2017-09-11T10:01:00Z</dcterms:modified>
</cp:coreProperties>
</file>