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ECE" w:rsidRPr="00AE6ECE" w:rsidRDefault="00AE6ECE" w:rsidP="00AE6ECE">
      <w:pPr>
        <w:pStyle w:val="NurText"/>
        <w:rPr>
          <w:rFonts w:ascii="Arial" w:hAnsi="Arial" w:cs="Arial"/>
        </w:rPr>
      </w:pPr>
      <w:r w:rsidRPr="00AE6ECE">
        <w:rPr>
          <w:rFonts w:ascii="Arial" w:hAnsi="Arial" w:cs="Arial"/>
        </w:rPr>
        <w:t>Mining for common reactivity patterns of human autoantibodies against endogenous protein targets using clustered autoantibody reactivities</w:t>
      </w:r>
    </w:p>
    <w:p w:rsidR="00AE6ECE" w:rsidRPr="00AE6ECE" w:rsidRDefault="00AE6ECE" w:rsidP="00AE6ECE">
      <w:pPr>
        <w:pStyle w:val="NurText"/>
        <w:rPr>
          <w:rFonts w:ascii="Arial" w:hAnsi="Arial" w:cs="Arial"/>
        </w:rPr>
      </w:pPr>
    </w:p>
    <w:p w:rsidR="00AE6ECE" w:rsidRPr="00AE6ECE" w:rsidRDefault="00AE6ECE" w:rsidP="00AE6ECE">
      <w:pPr>
        <w:pStyle w:val="NurText"/>
        <w:rPr>
          <w:rFonts w:ascii="Arial" w:hAnsi="Arial" w:cs="Arial"/>
          <w:lang w:val="de-DE"/>
        </w:rPr>
      </w:pPr>
      <w:r w:rsidRPr="00AE6ECE">
        <w:rPr>
          <w:rFonts w:ascii="Arial" w:hAnsi="Arial" w:cs="Arial"/>
          <w:lang w:val="de-DE"/>
        </w:rPr>
        <w:t>Hans-Dieter Zucht</w:t>
      </w:r>
    </w:p>
    <w:p w:rsidR="00AE6ECE" w:rsidRPr="00AE6ECE" w:rsidRDefault="00AE6ECE" w:rsidP="00AE6ECE">
      <w:pPr>
        <w:pStyle w:val="NurText"/>
        <w:rPr>
          <w:rFonts w:ascii="Arial" w:hAnsi="Arial" w:cs="Arial"/>
          <w:lang w:val="de-DE"/>
        </w:rPr>
      </w:pPr>
      <w:r w:rsidRPr="00AE6ECE">
        <w:rPr>
          <w:rFonts w:ascii="Arial" w:hAnsi="Arial" w:cs="Arial"/>
          <w:lang w:val="de-DE"/>
        </w:rPr>
        <w:t xml:space="preserve">Protagen AG, Dortmund, Germany, </w:t>
      </w:r>
    </w:p>
    <w:p w:rsidR="00AE6ECE" w:rsidRPr="00AE6ECE" w:rsidRDefault="00AE6ECE" w:rsidP="00AE6ECE">
      <w:pPr>
        <w:pStyle w:val="NurText"/>
        <w:rPr>
          <w:rFonts w:ascii="Arial" w:hAnsi="Arial" w:cs="Arial"/>
          <w:lang w:val="de-DE"/>
        </w:rPr>
      </w:pPr>
    </w:p>
    <w:p w:rsidR="00AE6ECE" w:rsidRPr="00AE6ECE" w:rsidRDefault="00AE6ECE" w:rsidP="00AE6ECE">
      <w:pPr>
        <w:pStyle w:val="NurText"/>
        <w:rPr>
          <w:rFonts w:ascii="Arial" w:hAnsi="Arial" w:cs="Arial"/>
        </w:rPr>
      </w:pPr>
      <w:r w:rsidRPr="00AE6ECE">
        <w:rPr>
          <w:rFonts w:ascii="Arial" w:hAnsi="Arial" w:cs="Arial"/>
        </w:rPr>
        <w:t>Autoimmune diseases arise from an abnormal immune response of the body against self-proteins leading to tissue and organ damage. The excessive production of harmful autoantibodies (AAB) is a hallmark of</w:t>
      </w:r>
      <w:r>
        <w:rPr>
          <w:rFonts w:ascii="Arial" w:hAnsi="Arial" w:cs="Arial"/>
        </w:rPr>
        <w:t xml:space="preserve"> autoimmune diseases including rheumatoid a</w:t>
      </w:r>
      <w:r w:rsidRPr="00AE6ECE">
        <w:rPr>
          <w:rFonts w:ascii="Arial" w:hAnsi="Arial" w:cs="Arial"/>
        </w:rPr>
        <w:t xml:space="preserve">rthritis (RA), systemic lupus erythematosus </w:t>
      </w:r>
      <w:r>
        <w:rPr>
          <w:rFonts w:ascii="Arial" w:hAnsi="Arial" w:cs="Arial"/>
        </w:rPr>
        <w:t>(SLE), systemic s</w:t>
      </w:r>
      <w:r w:rsidRPr="00AE6ECE">
        <w:rPr>
          <w:rFonts w:ascii="Arial" w:hAnsi="Arial" w:cs="Arial"/>
        </w:rPr>
        <w:t>clerosis (SSc</w:t>
      </w:r>
      <w:r>
        <w:rPr>
          <w:rFonts w:ascii="Arial" w:hAnsi="Arial" w:cs="Arial"/>
        </w:rPr>
        <w:t xml:space="preserve">) and Sjogren's syndrome (SjS). </w:t>
      </w:r>
      <w:r w:rsidRPr="00AE6ECE">
        <w:rPr>
          <w:rFonts w:ascii="Arial" w:hAnsi="Arial" w:cs="Arial"/>
        </w:rPr>
        <w:t>Also in cancer research, it has been recently shown that AAB</w:t>
      </w:r>
      <w:r>
        <w:rPr>
          <w:rFonts w:ascii="Arial" w:hAnsi="Arial" w:cs="Arial"/>
        </w:rPr>
        <w:t>s</w:t>
      </w:r>
      <w:r w:rsidRPr="00AE6ECE">
        <w:rPr>
          <w:rFonts w:ascii="Arial" w:hAnsi="Arial" w:cs="Arial"/>
        </w:rPr>
        <w:t xml:space="preserve"> are useful to characterize patients.</w:t>
      </w:r>
    </w:p>
    <w:p w:rsidR="00AE6ECE" w:rsidRPr="00AE6ECE" w:rsidRDefault="00AE6ECE" w:rsidP="00AE6ECE">
      <w:pPr>
        <w:pStyle w:val="NurText"/>
        <w:rPr>
          <w:rFonts w:ascii="Arial" w:hAnsi="Arial" w:cs="Arial"/>
        </w:rPr>
      </w:pPr>
      <w:r w:rsidRPr="00AE6ECE">
        <w:rPr>
          <w:rFonts w:ascii="Arial" w:hAnsi="Arial" w:cs="Arial"/>
        </w:rPr>
        <w:t>The characterization of patient subgroups by means of stratification is essential for the efficient development of therapies, but often difficult due to the lack of appropriate biomarkers. Personalized or precision medicine approaches rely on appropriate multivariate multiplexing technology and data analysis. AABs serve as diagnostic markers for various autoimmune diseases, but the co-occurrence of AABs has rarely been analyzed and is difficult to comprehend. Detecting a broad set of AABs helps to investigate the similarity between patients. A multiplex signature enables clus</w:t>
      </w:r>
      <w:r>
        <w:rPr>
          <w:rFonts w:ascii="Arial" w:hAnsi="Arial" w:cs="Arial"/>
        </w:rPr>
        <w:t>tering for the investigation of</w:t>
      </w:r>
      <w:r w:rsidRPr="00AE6ECE">
        <w:rPr>
          <w:rFonts w:ascii="Arial" w:hAnsi="Arial" w:cs="Arial"/>
        </w:rPr>
        <w:t xml:space="preserve"> relationships and patterns, which can be related to relevant clinical variables. </w:t>
      </w:r>
    </w:p>
    <w:p w:rsidR="00AE6ECE" w:rsidRPr="00AE6ECE" w:rsidRDefault="00AE6ECE" w:rsidP="00AE6ECE">
      <w:pPr>
        <w:pStyle w:val="NurText"/>
        <w:rPr>
          <w:rFonts w:ascii="Arial" w:hAnsi="Arial" w:cs="Arial"/>
        </w:rPr>
      </w:pPr>
      <w:r w:rsidRPr="00AE6ECE">
        <w:rPr>
          <w:rFonts w:ascii="Arial" w:hAnsi="Arial" w:cs="Arial"/>
        </w:rPr>
        <w:t>Here, we illustrate Luminex bead-based AAB assays using a set of 96 biomarker targets and their uti</w:t>
      </w:r>
      <w:r>
        <w:rPr>
          <w:rFonts w:ascii="Arial" w:hAnsi="Arial" w:cs="Arial"/>
        </w:rPr>
        <w:t>lity to characterize SLE and SSc</w:t>
      </w:r>
      <w:r w:rsidRPr="00AE6ECE">
        <w:rPr>
          <w:rFonts w:ascii="Arial" w:hAnsi="Arial" w:cs="Arial"/>
        </w:rPr>
        <w:t xml:space="preserve"> as well as cancer study groups. </w:t>
      </w:r>
    </w:p>
    <w:p w:rsidR="00AE6ECE" w:rsidRPr="00AE6ECE" w:rsidRDefault="00AE6ECE" w:rsidP="00AE6ECE">
      <w:pPr>
        <w:pStyle w:val="NurText"/>
        <w:rPr>
          <w:rFonts w:ascii="Arial" w:hAnsi="Arial" w:cs="Arial"/>
        </w:rPr>
      </w:pPr>
      <w:r w:rsidRPr="00AE6ECE">
        <w:rPr>
          <w:rFonts w:ascii="Arial" w:hAnsi="Arial" w:cs="Arial"/>
        </w:rPr>
        <w:t>Data analysis is based on bi-clustering algorithms and a prevalence and signature analysis of the markers. Cluster analysis was also performed using transformed data</w:t>
      </w:r>
      <w:r>
        <w:rPr>
          <w:rFonts w:ascii="Arial" w:hAnsi="Arial" w:cs="Arial"/>
        </w:rPr>
        <w:t xml:space="preserve"> sets</w:t>
      </w:r>
      <w:r w:rsidRPr="00AE6ECE">
        <w:rPr>
          <w:rFonts w:ascii="Arial" w:hAnsi="Arial" w:cs="Arial"/>
        </w:rPr>
        <w:t xml:space="preserve"> (qualitative) to investigate and visualize characteristic marker prevalence and co-prevalence patterns.</w:t>
      </w:r>
    </w:p>
    <w:p w:rsidR="00AE6ECE" w:rsidRPr="00AE6ECE" w:rsidRDefault="00AE6ECE" w:rsidP="00AE6ECE">
      <w:pPr>
        <w:pStyle w:val="NurText"/>
        <w:rPr>
          <w:rFonts w:ascii="Arial" w:hAnsi="Arial" w:cs="Arial"/>
        </w:rPr>
      </w:pPr>
      <w:r w:rsidRPr="00AE6ECE">
        <w:rPr>
          <w:rFonts w:ascii="Arial" w:hAnsi="Arial" w:cs="Arial"/>
        </w:rPr>
        <w:t>Based on the individual marker pattern, patients can often be stratified belonging to different study subgroups. For example, for SLE we show that different reactivity groups exist including patients with diff</w:t>
      </w:r>
      <w:r w:rsidR="00EA0F98">
        <w:rPr>
          <w:rFonts w:ascii="Arial" w:hAnsi="Arial" w:cs="Arial"/>
        </w:rPr>
        <w:t>erent disease activity scores and</w:t>
      </w:r>
      <w:r w:rsidRPr="00AE6ECE">
        <w:rPr>
          <w:rFonts w:ascii="Arial" w:hAnsi="Arial" w:cs="Arial"/>
        </w:rPr>
        <w:t xml:space="preserve"> organ damage patterns.</w:t>
      </w:r>
    </w:p>
    <w:p w:rsidR="00AE6ECE" w:rsidRPr="00AE6ECE" w:rsidRDefault="00EA0F98" w:rsidP="00AE6ECE">
      <w:pPr>
        <w:pStyle w:val="NurText"/>
        <w:rPr>
          <w:rFonts w:ascii="Arial" w:hAnsi="Arial" w:cs="Arial"/>
        </w:rPr>
      </w:pPr>
      <w:r>
        <w:rPr>
          <w:rFonts w:ascii="Arial" w:hAnsi="Arial" w:cs="Arial"/>
        </w:rPr>
        <w:t>We conclude that t</w:t>
      </w:r>
      <w:r w:rsidR="00AE6ECE" w:rsidRPr="00AE6ECE">
        <w:rPr>
          <w:rFonts w:ascii="Arial" w:hAnsi="Arial" w:cs="Arial"/>
        </w:rPr>
        <w:t>he approach of a comprehensive prevalence and signature analysis and a vivid data visualization is useful for any multiplex omics assay.</w:t>
      </w:r>
    </w:p>
    <w:p w:rsidR="00AE6ECE" w:rsidRPr="00AE6ECE" w:rsidRDefault="00AE6ECE" w:rsidP="00AE6ECE">
      <w:pPr>
        <w:pStyle w:val="NurText"/>
        <w:rPr>
          <w:rFonts w:ascii="Arial" w:hAnsi="Arial" w:cs="Arial"/>
        </w:rPr>
      </w:pPr>
    </w:p>
    <w:p w:rsidR="00D44E4F" w:rsidRDefault="00204177"/>
    <w:sectPr w:rsidR="00D44E4F">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CE"/>
    <w:rsid w:val="002D150D"/>
    <w:rsid w:val="00AE6ECE"/>
    <w:rsid w:val="00BB2E15"/>
    <w:rsid w:val="00C64A01"/>
    <w:rsid w:val="00EA0F9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9B48"/>
  <w15:chartTrackingRefBased/>
  <w15:docId w15:val="{B9C92A22-E1C5-488A-8BF5-0844633B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AE6ECE"/>
    <w:pPr>
      <w:spacing w:after="0" w:line="240" w:lineRule="auto"/>
    </w:pPr>
    <w:rPr>
      <w:rFonts w:ascii="Courier New" w:hAnsi="Courier New"/>
      <w:szCs w:val="21"/>
    </w:rPr>
  </w:style>
  <w:style w:type="character" w:customStyle="1" w:styleId="NurTextZchn">
    <w:name w:val="Nur Text Zchn"/>
    <w:basedOn w:val="Absatz-Standardschriftart"/>
    <w:link w:val="NurText"/>
    <w:uiPriority w:val="99"/>
    <w:semiHidden/>
    <w:rsid w:val="00AE6ECE"/>
    <w:rPr>
      <w:rFonts w:ascii="Courier New"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138201">
      <w:bodyDiv w:val="1"/>
      <w:marLeft w:val="0"/>
      <w:marRight w:val="0"/>
      <w:marTop w:val="0"/>
      <w:marBottom w:val="0"/>
      <w:divBdr>
        <w:top w:val="none" w:sz="0" w:space="0" w:color="auto"/>
        <w:left w:val="none" w:sz="0" w:space="0" w:color="auto"/>
        <w:bottom w:val="none" w:sz="0" w:space="0" w:color="auto"/>
        <w:right w:val="none" w:sz="0" w:space="0" w:color="auto"/>
      </w:divBdr>
    </w:div>
    <w:div w:id="202324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1900</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Budde</dc:creator>
  <cp:keywords/>
  <dc:description/>
  <cp:lastModifiedBy>Peter Schulz-Knappe</cp:lastModifiedBy>
  <cp:revision>3</cp:revision>
  <dcterms:created xsi:type="dcterms:W3CDTF">2017-09-06T11:31:00Z</dcterms:created>
  <dcterms:modified xsi:type="dcterms:W3CDTF">2017-09-06T11:32:00Z</dcterms:modified>
</cp:coreProperties>
</file>