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CA" w:rsidRDefault="00B12DCA" w:rsidP="00B12DCA"/>
    <w:p w:rsidR="00B12DCA" w:rsidRDefault="00B12DCA" w:rsidP="00B12DCA"/>
    <w:p w:rsidR="00B12DCA" w:rsidRDefault="00B12DCA" w:rsidP="00B12DCA"/>
    <w:p w:rsidR="00B12DCA" w:rsidRDefault="00B12DCA" w:rsidP="00B12DCA"/>
    <w:p w:rsidR="0063006C" w:rsidRDefault="0063006C" w:rsidP="00B12DCA"/>
    <w:p w:rsidR="00B12DCA" w:rsidRDefault="00B12DCA" w:rsidP="00B12DCA"/>
    <w:p w:rsidR="007746DC" w:rsidRDefault="007746DC" w:rsidP="006F5CC7">
      <w:pPr>
        <w:jc w:val="center"/>
        <w:rPr>
          <w:rFonts w:ascii="Whitney Book" w:hAnsi="Whitney Book" w:cs="Tahoma"/>
          <w:b/>
          <w:sz w:val="48"/>
          <w:szCs w:val="48"/>
        </w:rPr>
      </w:pPr>
    </w:p>
    <w:p w:rsidR="00B12DCA" w:rsidRPr="006F5CC7" w:rsidRDefault="006F5CC7" w:rsidP="006F5CC7">
      <w:pPr>
        <w:jc w:val="center"/>
        <w:rPr>
          <w:rFonts w:ascii="Whitney Book" w:hAnsi="Whitney Book" w:cs="Tahoma"/>
          <w:b/>
          <w:sz w:val="48"/>
          <w:szCs w:val="48"/>
        </w:rPr>
      </w:pPr>
      <w:r w:rsidRPr="006F5CC7">
        <w:rPr>
          <w:rFonts w:ascii="Whitney Book" w:hAnsi="Whitney Book" w:cs="Tahoma"/>
          <w:b/>
          <w:sz w:val="48"/>
          <w:szCs w:val="48"/>
        </w:rPr>
        <w:t xml:space="preserve">Thank you for your interest to </w:t>
      </w:r>
      <w:r w:rsidR="00873826">
        <w:rPr>
          <w:rFonts w:ascii="Whitney Book" w:hAnsi="Whitney Book" w:cs="Tahoma"/>
          <w:b/>
          <w:sz w:val="48"/>
          <w:szCs w:val="48"/>
        </w:rPr>
        <w:t xml:space="preserve">present your work at </w:t>
      </w:r>
      <w:proofErr w:type="spellStart"/>
      <w:r w:rsidRPr="006F5CC7">
        <w:rPr>
          <w:rFonts w:ascii="Whitney Book" w:hAnsi="Whitney Book" w:cs="Tahoma"/>
          <w:b/>
          <w:sz w:val="48"/>
          <w:szCs w:val="48"/>
        </w:rPr>
        <w:t>xMAP</w:t>
      </w:r>
      <w:proofErr w:type="spellEnd"/>
      <w:r w:rsidR="007746DC">
        <w:rPr>
          <w:rFonts w:ascii="Whitney Book" w:hAnsi="Whitney Book" w:cs="Tahoma"/>
          <w:b/>
          <w:sz w:val="48"/>
          <w:szCs w:val="48"/>
        </w:rPr>
        <w:t>®</w:t>
      </w:r>
      <w:r w:rsidR="00E06358">
        <w:rPr>
          <w:rFonts w:ascii="Whitney Book" w:hAnsi="Whitney Book" w:cs="Tahoma"/>
          <w:b/>
          <w:sz w:val="48"/>
          <w:szCs w:val="48"/>
        </w:rPr>
        <w:t xml:space="preserve"> Connect 2017</w:t>
      </w:r>
      <w:r w:rsidRPr="006F5CC7">
        <w:rPr>
          <w:rFonts w:ascii="Whitney Book" w:hAnsi="Whitney Book" w:cs="Tahoma"/>
          <w:b/>
          <w:sz w:val="48"/>
          <w:szCs w:val="48"/>
        </w:rPr>
        <w:t>!</w:t>
      </w:r>
    </w:p>
    <w:p w:rsidR="006F5CC7" w:rsidRPr="007652B1" w:rsidRDefault="006F5CC7" w:rsidP="007652B1">
      <w:pPr>
        <w:shd w:val="clear" w:color="auto" w:fill="FFFFFF"/>
        <w:spacing w:after="0" w:line="270" w:lineRule="atLeast"/>
        <w:textAlignment w:val="baseline"/>
        <w:rPr>
          <w:rFonts w:ascii="Whitney Book" w:eastAsia="Times New Roman" w:hAnsi="Whitney Book" w:cs="Tahoma"/>
          <w:color w:val="000000"/>
          <w:sz w:val="24"/>
          <w:szCs w:val="24"/>
        </w:rPr>
      </w:pPr>
    </w:p>
    <w:p w:rsidR="00B12DCA" w:rsidRPr="006F5CC7" w:rsidRDefault="003249DE" w:rsidP="00B12DCA">
      <w:pPr>
        <w:pStyle w:val="ListParagraph"/>
        <w:numPr>
          <w:ilvl w:val="0"/>
          <w:numId w:val="3"/>
        </w:numPr>
        <w:shd w:val="clear" w:color="auto" w:fill="FFFFFF"/>
        <w:spacing w:after="0" w:line="270" w:lineRule="atLeast"/>
        <w:textAlignment w:val="baseline"/>
        <w:rPr>
          <w:rFonts w:ascii="Whitney Book" w:eastAsia="Times New Roman" w:hAnsi="Whitney Book" w:cs="Tahoma"/>
          <w:color w:val="000000"/>
          <w:sz w:val="24"/>
          <w:szCs w:val="24"/>
        </w:rPr>
      </w:pPr>
      <w:r w:rsidRP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>Prepare a presentation</w:t>
      </w:r>
      <w:r w:rsidR="00AD0438" w:rsidRP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AD0438" w:rsidRP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>title,</w:t>
      </w:r>
      <w:proofErr w:type="gramEnd"/>
      <w:r w:rsidR="00AD0438" w:rsidRP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 xml:space="preserve"> the title included on the submission should be suitable for published material.</w:t>
      </w:r>
    </w:p>
    <w:p w:rsidR="00B12DCA" w:rsidRPr="006F5CC7" w:rsidRDefault="00AD0438" w:rsidP="00B12DCA">
      <w:pPr>
        <w:pStyle w:val="ListParagraph"/>
        <w:numPr>
          <w:ilvl w:val="0"/>
          <w:numId w:val="3"/>
        </w:numPr>
        <w:shd w:val="clear" w:color="auto" w:fill="FFFFFF"/>
        <w:spacing w:after="0" w:line="270" w:lineRule="atLeast"/>
        <w:textAlignment w:val="baseline"/>
        <w:rPr>
          <w:rFonts w:ascii="Whitney Book" w:eastAsia="Times New Roman" w:hAnsi="Whitney Book" w:cs="Tahoma"/>
          <w:color w:val="000000"/>
          <w:sz w:val="24"/>
          <w:szCs w:val="24"/>
        </w:rPr>
      </w:pPr>
      <w:r w:rsidRP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>Abstract text is limited to 3000 characters (</w:t>
      </w:r>
      <w:proofErr w:type="spellStart"/>
      <w:r w:rsidRP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>approx</w:t>
      </w:r>
      <w:proofErr w:type="spellEnd"/>
      <w:r w:rsidRP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 xml:space="preserve"> 500 words). </w:t>
      </w:r>
    </w:p>
    <w:p w:rsidR="00B12DCA" w:rsidRPr="006F5CC7" w:rsidRDefault="00A627B6" w:rsidP="00B12DCA">
      <w:pPr>
        <w:pStyle w:val="ListParagraph"/>
        <w:numPr>
          <w:ilvl w:val="0"/>
          <w:numId w:val="3"/>
        </w:numPr>
        <w:shd w:val="clear" w:color="auto" w:fill="FFFFFF"/>
        <w:spacing w:after="0" w:line="270" w:lineRule="atLeast"/>
        <w:textAlignment w:val="baseline"/>
        <w:rPr>
          <w:rFonts w:ascii="Whitney Book" w:eastAsia="Times New Roman" w:hAnsi="Whitney Book" w:cs="Tahoma"/>
          <w:color w:val="000000"/>
          <w:sz w:val="24"/>
          <w:szCs w:val="24"/>
        </w:rPr>
      </w:pPr>
      <w:r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>We ask to use</w:t>
      </w:r>
      <w:r w:rsidR="00AD0438" w:rsidRP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AD0438" w:rsidRP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>4</w:t>
      </w:r>
      <w:proofErr w:type="gramEnd"/>
      <w:r w:rsidR="00AD0438" w:rsidRP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 xml:space="preserve"> core elements: 1) background and aim, 2) methods, 3) results, 4) conclusions.</w:t>
      </w:r>
      <w:r w:rsidR="00713DBC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 xml:space="preserve"> We kindly ask you to use the </w:t>
      </w:r>
      <w:r w:rsid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>format</w:t>
      </w:r>
      <w:r w:rsidR="00713DBC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 xml:space="preserve"> below</w:t>
      </w:r>
      <w:r w:rsid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>.</w:t>
      </w:r>
    </w:p>
    <w:p w:rsidR="00B12DCA" w:rsidRPr="006F5CC7" w:rsidRDefault="00A627B6" w:rsidP="00B12DCA">
      <w:pPr>
        <w:pStyle w:val="ListParagraph"/>
        <w:numPr>
          <w:ilvl w:val="0"/>
          <w:numId w:val="3"/>
        </w:numPr>
        <w:shd w:val="clear" w:color="auto" w:fill="FFFFFF"/>
        <w:spacing w:after="0" w:line="270" w:lineRule="atLeast"/>
        <w:textAlignment w:val="baseline"/>
        <w:rPr>
          <w:rFonts w:ascii="Whitney Book" w:eastAsia="Times New Roman" w:hAnsi="Whitney Book" w:cs="Tahoma"/>
          <w:color w:val="000000"/>
          <w:sz w:val="24"/>
          <w:szCs w:val="24"/>
        </w:rPr>
      </w:pPr>
      <w:r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>Please e</w:t>
      </w:r>
      <w:r w:rsidR="00AD0438" w:rsidRP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 xml:space="preserve">nsure </w:t>
      </w:r>
      <w:proofErr w:type="gramStart"/>
      <w:r w:rsidR="00AD0438" w:rsidRP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>the submission has been approved by all authors</w:t>
      </w:r>
      <w:proofErr w:type="gramEnd"/>
      <w:r w:rsidR="00AD0438" w:rsidRP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>.</w:t>
      </w:r>
    </w:p>
    <w:p w:rsidR="00A627B6" w:rsidRPr="005F50AE" w:rsidRDefault="00AD0438" w:rsidP="005F50AE">
      <w:pPr>
        <w:pStyle w:val="ListParagraph"/>
        <w:numPr>
          <w:ilvl w:val="0"/>
          <w:numId w:val="3"/>
        </w:numPr>
        <w:shd w:val="clear" w:color="auto" w:fill="FFFFFF"/>
        <w:spacing w:after="0" w:line="270" w:lineRule="atLeast"/>
        <w:textAlignment w:val="baseline"/>
        <w:rPr>
          <w:rFonts w:ascii="Whitney Book" w:eastAsia="Times New Roman" w:hAnsi="Whitney Book" w:cs="Tahoma"/>
          <w:color w:val="000000"/>
          <w:sz w:val="24"/>
          <w:szCs w:val="24"/>
        </w:rPr>
      </w:pPr>
      <w:r w:rsidRP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 xml:space="preserve">By submitting an abstract, you agree to be present the </w:t>
      </w:r>
      <w:r w:rsidR="008C387C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>8</w:t>
      </w:r>
      <w:r w:rsidRP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 w:rsidRP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 xml:space="preserve"> and </w:t>
      </w:r>
      <w:r w:rsidR="008C387C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>9</w:t>
      </w:r>
      <w:r w:rsidRP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 w:rsidRP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 xml:space="preserve"> of November at the congress, </w:t>
      </w:r>
      <w:proofErr w:type="gramStart"/>
      <w:r w:rsidRPr="006F5CC7">
        <w:rPr>
          <w:rFonts w:ascii="Whitney Book" w:eastAsia="Times New Roman" w:hAnsi="Whitney Book" w:cs="Tahoma"/>
          <w:color w:val="000000"/>
          <w:sz w:val="24"/>
          <w:szCs w:val="24"/>
          <w:bdr w:val="none" w:sz="0" w:space="0" w:color="auto" w:frame="1"/>
        </w:rPr>
        <w:t>should your abstract be selected</w:t>
      </w:r>
      <w:proofErr w:type="gramEnd"/>
      <w:r w:rsidRPr="006F5CC7">
        <w:rPr>
          <w:rFonts w:ascii="Whitney Book" w:eastAsia="Times New Roman" w:hAnsi="Whitney Book" w:cs="Tahoma"/>
          <w:color w:val="000000"/>
          <w:sz w:val="24"/>
          <w:szCs w:val="24"/>
        </w:rPr>
        <w:t>.</w:t>
      </w:r>
    </w:p>
    <w:p w:rsidR="00A627B6" w:rsidRPr="00A627B6" w:rsidRDefault="00A627B6" w:rsidP="00A627B6">
      <w:pPr>
        <w:pStyle w:val="ListParagraph"/>
        <w:numPr>
          <w:ilvl w:val="0"/>
          <w:numId w:val="3"/>
        </w:numPr>
        <w:shd w:val="clear" w:color="auto" w:fill="FFFFFF"/>
        <w:spacing w:after="0" w:line="270" w:lineRule="atLeast"/>
        <w:textAlignment w:val="baseline"/>
        <w:rPr>
          <w:rFonts w:ascii="Whitney Book" w:eastAsia="Times New Roman" w:hAnsi="Whitney Book" w:cs="Tahoma"/>
          <w:color w:val="000000"/>
          <w:sz w:val="24"/>
          <w:szCs w:val="24"/>
        </w:rPr>
      </w:pPr>
      <w:r w:rsidRPr="00A627B6">
        <w:rPr>
          <w:rFonts w:ascii="Whitney Book" w:eastAsia="Times New Roman" w:hAnsi="Whitney Book" w:cs="Tahoma"/>
          <w:color w:val="000000"/>
          <w:sz w:val="24"/>
          <w:szCs w:val="24"/>
        </w:rPr>
        <w:t>Please indicate if you would like to b</w:t>
      </w:r>
      <w:r w:rsidR="005F50AE">
        <w:rPr>
          <w:rFonts w:ascii="Whitney Book" w:eastAsia="Times New Roman" w:hAnsi="Whitney Book" w:cs="Tahoma"/>
          <w:color w:val="000000"/>
          <w:sz w:val="24"/>
          <w:szCs w:val="24"/>
        </w:rPr>
        <w:t>e a speaker or present a poster.</w:t>
      </w:r>
    </w:p>
    <w:p w:rsidR="00C139B9" w:rsidRPr="006F5CC7" w:rsidRDefault="00C139B9" w:rsidP="00C139B9">
      <w:pPr>
        <w:shd w:val="clear" w:color="auto" w:fill="FFFFFF"/>
        <w:spacing w:after="0" w:line="270" w:lineRule="atLeast"/>
        <w:textAlignment w:val="baseline"/>
        <w:rPr>
          <w:rFonts w:ascii="Whitney Book" w:eastAsia="Times New Roman" w:hAnsi="Whitney Book" w:cs="Tahoma"/>
          <w:color w:val="000000"/>
          <w:sz w:val="18"/>
          <w:szCs w:val="18"/>
        </w:rPr>
      </w:pPr>
    </w:p>
    <w:p w:rsidR="00C139B9" w:rsidRDefault="00C139B9" w:rsidP="00C139B9">
      <w:pPr>
        <w:shd w:val="clear" w:color="auto" w:fill="FFFFFF"/>
        <w:spacing w:after="0" w:line="270" w:lineRule="atLeast"/>
        <w:textAlignment w:val="baseline"/>
        <w:rPr>
          <w:rFonts w:ascii="Whitney Book" w:eastAsia="Times New Roman" w:hAnsi="Whitney Book" w:cs="Tahoma"/>
          <w:color w:val="000000"/>
          <w:sz w:val="18"/>
          <w:szCs w:val="18"/>
        </w:rPr>
      </w:pPr>
    </w:p>
    <w:p w:rsidR="00B12DCA" w:rsidRPr="006F5CC7" w:rsidRDefault="00B12DCA">
      <w:pPr>
        <w:rPr>
          <w:rFonts w:ascii="Whitney Book" w:eastAsia="Times New Roman" w:hAnsi="Whitney Book" w:cs="Tahoma"/>
          <w:color w:val="000000"/>
          <w:sz w:val="18"/>
          <w:szCs w:val="18"/>
        </w:rPr>
      </w:pPr>
      <w:r w:rsidRPr="006F5CC7">
        <w:rPr>
          <w:rFonts w:ascii="Whitney Book" w:eastAsia="Times New Roman" w:hAnsi="Whitney Book" w:cs="Tahoma"/>
          <w:color w:val="000000"/>
          <w:sz w:val="18"/>
          <w:szCs w:val="18"/>
        </w:rPr>
        <w:br w:type="page"/>
      </w:r>
    </w:p>
    <w:p w:rsidR="00AD0438" w:rsidRPr="00DF7C4C" w:rsidRDefault="00AD0438" w:rsidP="00AD043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0438" w:rsidRPr="006F5CC7" w:rsidTr="00AD0438">
        <w:tc>
          <w:tcPr>
            <w:tcW w:w="9576" w:type="dxa"/>
          </w:tcPr>
          <w:p w:rsidR="00AD0438" w:rsidRPr="006F5CC7" w:rsidRDefault="00B12DCA">
            <w:pPr>
              <w:rPr>
                <w:rFonts w:ascii="Verdana" w:hAnsi="Verdana"/>
                <w:b/>
              </w:rPr>
            </w:pPr>
            <w:r w:rsidRPr="006F5CC7">
              <w:rPr>
                <w:rFonts w:ascii="Verdana" w:hAnsi="Verdana"/>
                <w:b/>
              </w:rPr>
              <w:t>Contact details:</w:t>
            </w:r>
          </w:p>
          <w:p w:rsidR="00B12DCA" w:rsidRPr="006F5CC7" w:rsidRDefault="00B12DCA">
            <w:pPr>
              <w:rPr>
                <w:rFonts w:ascii="Verdana" w:hAnsi="Verdana"/>
              </w:rPr>
            </w:pPr>
            <w:r w:rsidRPr="006F5CC7">
              <w:rPr>
                <w:rFonts w:ascii="Verdana" w:hAnsi="Verdana"/>
              </w:rPr>
              <w:t>Name:</w:t>
            </w:r>
            <w:r w:rsidR="00F212EE">
              <w:rPr>
                <w:rFonts w:ascii="Verdana" w:hAnsi="Verdana"/>
              </w:rPr>
              <w:t xml:space="preserve"> Lynn Grignard</w:t>
            </w:r>
          </w:p>
          <w:p w:rsidR="00B12DCA" w:rsidRPr="006F5CC7" w:rsidRDefault="00B12DCA">
            <w:pPr>
              <w:rPr>
                <w:rFonts w:ascii="Verdana" w:hAnsi="Verdana"/>
              </w:rPr>
            </w:pPr>
            <w:r w:rsidRPr="006F5CC7">
              <w:rPr>
                <w:rFonts w:ascii="Verdana" w:hAnsi="Verdana"/>
              </w:rPr>
              <w:t>Institute/ Organization:</w:t>
            </w:r>
            <w:r w:rsidR="00F212EE">
              <w:rPr>
                <w:rFonts w:ascii="Verdana" w:hAnsi="Verdana"/>
              </w:rPr>
              <w:t xml:space="preserve"> London School of Hygiene and Tropical Medicine</w:t>
            </w:r>
          </w:p>
          <w:p w:rsidR="006F5CC7" w:rsidRPr="007746DC" w:rsidRDefault="007746D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Address</w:t>
            </w:r>
          </w:p>
          <w:p w:rsidR="007746DC" w:rsidRDefault="00F212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Street: Keppel Street</w:t>
            </w:r>
          </w:p>
          <w:p w:rsidR="006F5CC7" w:rsidRDefault="007746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Postal code:</w:t>
            </w:r>
            <w:r w:rsidR="00F212EE">
              <w:rPr>
                <w:rFonts w:ascii="Verdana" w:hAnsi="Verdana"/>
              </w:rPr>
              <w:t xml:space="preserve"> WC1E 7HT</w:t>
            </w:r>
          </w:p>
          <w:p w:rsidR="007746DC" w:rsidRPr="006F5CC7" w:rsidRDefault="00F212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Country: United Kingdom</w:t>
            </w:r>
          </w:p>
          <w:p w:rsidR="006F5CC7" w:rsidRPr="006F5CC7" w:rsidRDefault="007746DC">
            <w:pPr>
              <w:rPr>
                <w:rFonts w:ascii="Verdana" w:hAnsi="Verdana"/>
              </w:rPr>
            </w:pPr>
            <w:r w:rsidRPr="006F5CC7">
              <w:rPr>
                <w:rFonts w:ascii="Verdana" w:hAnsi="Verdana"/>
              </w:rPr>
              <w:t>Phone number</w:t>
            </w:r>
            <w:r w:rsidR="006F5CC7" w:rsidRPr="006F5CC7">
              <w:rPr>
                <w:rFonts w:ascii="Verdana" w:hAnsi="Verdana"/>
              </w:rPr>
              <w:t>:</w:t>
            </w:r>
            <w:r w:rsidR="00F212EE">
              <w:rPr>
                <w:rFonts w:ascii="Verdana" w:hAnsi="Verdana"/>
              </w:rPr>
              <w:t xml:space="preserve"> + 44 (0)7552762123</w:t>
            </w:r>
          </w:p>
          <w:p w:rsidR="007746DC" w:rsidRPr="006F5CC7" w:rsidRDefault="00B12DCA">
            <w:pPr>
              <w:rPr>
                <w:rFonts w:ascii="Verdana" w:hAnsi="Verdana"/>
              </w:rPr>
            </w:pPr>
            <w:r w:rsidRPr="006F5CC7">
              <w:rPr>
                <w:rFonts w:ascii="Verdana" w:hAnsi="Verdana"/>
              </w:rPr>
              <w:t>Email address:</w:t>
            </w:r>
            <w:r w:rsidR="00F212EE">
              <w:rPr>
                <w:rFonts w:ascii="Verdana" w:hAnsi="Verdana"/>
              </w:rPr>
              <w:t xml:space="preserve"> lynn.grignard@lshtm.ac.uk</w:t>
            </w:r>
          </w:p>
          <w:p w:rsidR="00AD0438" w:rsidRDefault="00AD0438">
            <w:pPr>
              <w:rPr>
                <w:rFonts w:ascii="Verdana" w:hAnsi="Verdana"/>
              </w:rPr>
            </w:pPr>
          </w:p>
          <w:p w:rsidR="005F50AE" w:rsidRPr="006F5CC7" w:rsidRDefault="005F50AE" w:rsidP="005F50AE">
            <w:pPr>
              <w:rPr>
                <w:rFonts w:ascii="Verdana" w:hAnsi="Verdana"/>
              </w:rPr>
            </w:pPr>
          </w:p>
          <w:p w:rsidR="005F50AE" w:rsidRPr="006F5CC7" w:rsidRDefault="005F50AE">
            <w:pPr>
              <w:rPr>
                <w:rFonts w:ascii="Verdana" w:hAnsi="Verdana"/>
              </w:rPr>
            </w:pPr>
          </w:p>
        </w:tc>
      </w:tr>
      <w:tr w:rsidR="00B12DCA" w:rsidRPr="006F5CC7" w:rsidTr="00B12DCA">
        <w:tc>
          <w:tcPr>
            <w:tcW w:w="9576" w:type="dxa"/>
          </w:tcPr>
          <w:p w:rsidR="00B12DCA" w:rsidRPr="006F5CC7" w:rsidRDefault="00B12DCA" w:rsidP="00A2331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F5CC7">
              <w:rPr>
                <w:rFonts w:ascii="Verdana" w:hAnsi="Verdana"/>
                <w:b/>
                <w:sz w:val="28"/>
                <w:szCs w:val="28"/>
              </w:rPr>
              <w:t xml:space="preserve">Title: </w:t>
            </w:r>
          </w:p>
          <w:p w:rsidR="00B12DCA" w:rsidRPr="006F5CC7" w:rsidRDefault="00B12DCA" w:rsidP="00A2331F">
            <w:pPr>
              <w:rPr>
                <w:rFonts w:ascii="Verdana" w:hAnsi="Verdana"/>
              </w:rPr>
            </w:pPr>
          </w:p>
          <w:p w:rsidR="00F212EE" w:rsidRPr="002336B7" w:rsidRDefault="00F212EE" w:rsidP="00F212EE">
            <w:pPr>
              <w:rPr>
                <w:b/>
              </w:rPr>
            </w:pPr>
            <w:r w:rsidRPr="002336B7">
              <w:rPr>
                <w:b/>
              </w:rPr>
              <w:t xml:space="preserve">25-Plex Malaria </w:t>
            </w:r>
            <w:proofErr w:type="spellStart"/>
            <w:r w:rsidRPr="002336B7">
              <w:rPr>
                <w:b/>
              </w:rPr>
              <w:t>MagPlex</w:t>
            </w:r>
            <w:proofErr w:type="spellEnd"/>
            <w:r w:rsidRPr="002336B7">
              <w:rPr>
                <w:b/>
              </w:rPr>
              <w:t>-TAG™ assay to detect human host and parasite genetic markers</w:t>
            </w:r>
          </w:p>
          <w:p w:rsidR="006F5CC7" w:rsidRPr="007746DC" w:rsidRDefault="006F5CC7" w:rsidP="00A2331F">
            <w:pPr>
              <w:rPr>
                <w:rFonts w:ascii="Verdana" w:hAnsi="Verdana"/>
                <w:sz w:val="24"/>
                <w:szCs w:val="24"/>
              </w:rPr>
            </w:pPr>
          </w:p>
          <w:p w:rsidR="00B12DCA" w:rsidRPr="006F5CC7" w:rsidRDefault="00B12DCA" w:rsidP="00A2331F">
            <w:pPr>
              <w:rPr>
                <w:rFonts w:ascii="Verdana" w:hAnsi="Verdana"/>
              </w:rPr>
            </w:pPr>
          </w:p>
        </w:tc>
      </w:tr>
      <w:tr w:rsidR="00B12DCA" w:rsidRPr="006F5CC7" w:rsidTr="00B12DCA">
        <w:tc>
          <w:tcPr>
            <w:tcW w:w="9576" w:type="dxa"/>
          </w:tcPr>
          <w:p w:rsidR="007746DC" w:rsidRDefault="007746DC" w:rsidP="00A2331F">
            <w:pPr>
              <w:rPr>
                <w:rFonts w:ascii="Verdana" w:hAnsi="Verdana"/>
              </w:rPr>
            </w:pPr>
          </w:p>
          <w:p w:rsidR="00B12DCA" w:rsidRPr="006F5CC7" w:rsidRDefault="00B12DCA" w:rsidP="00A2331F">
            <w:pPr>
              <w:rPr>
                <w:rFonts w:ascii="Verdana" w:hAnsi="Verdana"/>
              </w:rPr>
            </w:pPr>
            <w:r w:rsidRPr="006F5CC7">
              <w:rPr>
                <w:rFonts w:ascii="Verdana" w:hAnsi="Verdana"/>
              </w:rPr>
              <w:t>1) Background and aim:</w:t>
            </w:r>
          </w:p>
          <w:p w:rsidR="00B12DCA" w:rsidRPr="006F5CC7" w:rsidRDefault="00B12DCA" w:rsidP="00A2331F">
            <w:pPr>
              <w:rPr>
                <w:rFonts w:ascii="Verdana" w:hAnsi="Verdana"/>
              </w:rPr>
            </w:pPr>
          </w:p>
          <w:p w:rsidR="00FC5F44" w:rsidRDefault="00FC5F44" w:rsidP="00FC5F44">
            <w:r>
              <w:t xml:space="preserve">In malaria field studies, assessment of host and parasite genetic markers is often necessary to understand parasite epidemiology. However, current assays are time consuming and require a high volume of template. Here, we developed a </w:t>
            </w:r>
            <w:proofErr w:type="spellStart"/>
            <w:r>
              <w:t>MagPlex</w:t>
            </w:r>
            <w:proofErr w:type="spellEnd"/>
            <w:r>
              <w:t xml:space="preserve">-TAG™ microsphere based multiplex assay that analyses multiple single nucleotide polymorphisms (SNPs) in one reaction. </w:t>
            </w:r>
          </w:p>
          <w:p w:rsidR="00B12DCA" w:rsidRPr="006F5CC7" w:rsidRDefault="00FC5F44" w:rsidP="00FC5F44">
            <w:pPr>
              <w:rPr>
                <w:rFonts w:ascii="Verdana" w:hAnsi="Verdana"/>
              </w:rPr>
            </w:pPr>
            <w:r>
              <w:t xml:space="preserve">Our assay contains eight epidemiologically important human markers such as glucose-6-phosphate dehydrogenase (G6PD) deficiency SNPs and common </w:t>
            </w:r>
            <w:proofErr w:type="spellStart"/>
            <w:r>
              <w:t>haemoglobin</w:t>
            </w:r>
            <w:proofErr w:type="spellEnd"/>
            <w:r>
              <w:t xml:space="preserve"> mutations as well as seventeen parasite markers of drug resistance.</w:t>
            </w:r>
          </w:p>
          <w:p w:rsidR="00B12DCA" w:rsidRPr="006F5CC7" w:rsidRDefault="00B12DCA" w:rsidP="00A2331F">
            <w:pPr>
              <w:rPr>
                <w:rFonts w:ascii="Verdana" w:hAnsi="Verdana"/>
              </w:rPr>
            </w:pPr>
          </w:p>
          <w:p w:rsidR="00B12DCA" w:rsidRPr="006F5CC7" w:rsidRDefault="00B12DCA" w:rsidP="00A2331F">
            <w:pPr>
              <w:rPr>
                <w:rFonts w:ascii="Verdana" w:hAnsi="Verdana"/>
              </w:rPr>
            </w:pPr>
            <w:r w:rsidRPr="006F5CC7">
              <w:rPr>
                <w:rFonts w:ascii="Verdana" w:hAnsi="Verdana"/>
              </w:rPr>
              <w:t>2) Methods:</w:t>
            </w:r>
          </w:p>
          <w:p w:rsidR="00B12DCA" w:rsidRPr="006F5CC7" w:rsidRDefault="00B12DCA" w:rsidP="00A2331F">
            <w:pPr>
              <w:rPr>
                <w:rFonts w:ascii="Verdana" w:hAnsi="Verdana"/>
              </w:rPr>
            </w:pPr>
          </w:p>
          <w:p w:rsidR="00B12DCA" w:rsidRPr="006F5CC7" w:rsidRDefault="00FC5F44" w:rsidP="00A2331F">
            <w:pPr>
              <w:rPr>
                <w:rFonts w:ascii="Verdana" w:hAnsi="Verdana"/>
              </w:rPr>
            </w:pPr>
            <w:r>
              <w:t xml:space="preserve">The </w:t>
            </w:r>
            <w:proofErr w:type="spellStart"/>
            <w:r>
              <w:t>MagPlex</w:t>
            </w:r>
            <w:proofErr w:type="spellEnd"/>
            <w:r>
              <w:t xml:space="preserve">-TAG™ microsphere assay developed here requires only 5 µl of template DNA for the multiplex reactions. </w:t>
            </w:r>
            <w:r w:rsidR="00BC2DD3">
              <w:t>The</w:t>
            </w:r>
            <w:r>
              <w:t xml:space="preserve"> twenty-five markers </w:t>
            </w:r>
            <w:proofErr w:type="gramStart"/>
            <w:r>
              <w:t>are combined</w:t>
            </w:r>
            <w:proofErr w:type="gramEnd"/>
            <w:r>
              <w:t xml:space="preserve"> in a</w:t>
            </w:r>
            <w:r w:rsidR="00FD6148">
              <w:t>n</w:t>
            </w:r>
            <w:r>
              <w:t xml:space="preserve"> allele specific primer extension (</w:t>
            </w:r>
            <w:proofErr w:type="spellStart"/>
            <w:r>
              <w:t>ASPE</w:t>
            </w:r>
            <w:proofErr w:type="spellEnd"/>
            <w:r>
              <w:t xml:space="preserve">) and after </w:t>
            </w:r>
            <w:proofErr w:type="spellStart"/>
            <w:r>
              <w:t>hybridisation</w:t>
            </w:r>
            <w:proofErr w:type="spellEnd"/>
            <w:r>
              <w:t xml:space="preserve">, read on a </w:t>
            </w:r>
            <w:r w:rsidRPr="00CF537A">
              <w:t>MAGPIX®</w:t>
            </w:r>
            <w:r>
              <w:t>.</w:t>
            </w:r>
          </w:p>
          <w:p w:rsidR="00B12DCA" w:rsidRPr="006F5CC7" w:rsidRDefault="00B12DCA" w:rsidP="00A2331F">
            <w:pPr>
              <w:rPr>
                <w:rFonts w:ascii="Verdana" w:hAnsi="Verdana"/>
              </w:rPr>
            </w:pPr>
          </w:p>
          <w:p w:rsidR="00B12DCA" w:rsidRPr="006F5CC7" w:rsidRDefault="00B12DCA" w:rsidP="00A2331F">
            <w:pPr>
              <w:rPr>
                <w:rFonts w:ascii="Verdana" w:hAnsi="Verdana"/>
              </w:rPr>
            </w:pPr>
            <w:r w:rsidRPr="006F5CC7">
              <w:rPr>
                <w:rFonts w:ascii="Verdana" w:hAnsi="Verdana"/>
              </w:rPr>
              <w:t>3) Results:</w:t>
            </w:r>
          </w:p>
          <w:p w:rsidR="00B12DCA" w:rsidRPr="006F5CC7" w:rsidRDefault="00B12DCA" w:rsidP="00A2331F">
            <w:pPr>
              <w:rPr>
                <w:rFonts w:ascii="Verdana" w:hAnsi="Verdana"/>
              </w:rPr>
            </w:pPr>
          </w:p>
          <w:p w:rsidR="00FC5F44" w:rsidRDefault="00FC5F44" w:rsidP="00FC5F44">
            <w:r>
              <w:t xml:space="preserve">In a pilot study on 120 field samples collected in Burkina Faso and in The Gambia, the </w:t>
            </w:r>
            <w:proofErr w:type="spellStart"/>
            <w:r>
              <w:t>MagPlex</w:t>
            </w:r>
            <w:proofErr w:type="spellEnd"/>
            <w:r>
              <w:t>-TAG™ microsphere assay gave similar results for all samples compared to established genotyping assays.</w:t>
            </w:r>
            <w:r w:rsidRPr="00FF1E45">
              <w:t xml:space="preserve"> </w:t>
            </w:r>
            <w:r>
              <w:t>The assay is sensitive and fast, and results for 96 samples are available in 6-7 hours.</w:t>
            </w:r>
          </w:p>
          <w:p w:rsidR="00B12DCA" w:rsidRPr="006F5CC7" w:rsidRDefault="00B12DCA" w:rsidP="00A2331F">
            <w:pPr>
              <w:rPr>
                <w:rFonts w:ascii="Verdana" w:hAnsi="Verdana"/>
              </w:rPr>
            </w:pPr>
            <w:bookmarkStart w:id="0" w:name="_GoBack"/>
            <w:bookmarkEnd w:id="0"/>
          </w:p>
          <w:p w:rsidR="00B12DCA" w:rsidRPr="006F5CC7" w:rsidRDefault="00B12DCA" w:rsidP="00A2331F">
            <w:pPr>
              <w:rPr>
                <w:rFonts w:ascii="Verdana" w:hAnsi="Verdana"/>
              </w:rPr>
            </w:pPr>
          </w:p>
          <w:p w:rsidR="00B12DCA" w:rsidRPr="006F5CC7" w:rsidRDefault="00B12DCA" w:rsidP="00A2331F">
            <w:pPr>
              <w:rPr>
                <w:rFonts w:ascii="Verdana" w:hAnsi="Verdana"/>
              </w:rPr>
            </w:pPr>
            <w:r w:rsidRPr="006F5CC7">
              <w:rPr>
                <w:rFonts w:ascii="Verdana" w:hAnsi="Verdana"/>
              </w:rPr>
              <w:t>4) Conclusion:</w:t>
            </w:r>
          </w:p>
          <w:p w:rsidR="00B12DCA" w:rsidRPr="006F5CC7" w:rsidRDefault="00B12DCA" w:rsidP="00A2331F">
            <w:pPr>
              <w:rPr>
                <w:rFonts w:ascii="Verdana" w:hAnsi="Verdana"/>
              </w:rPr>
            </w:pPr>
          </w:p>
          <w:p w:rsidR="00FC5F44" w:rsidRDefault="00FC5F44" w:rsidP="00FC5F44">
            <w:r>
              <w:t xml:space="preserve">We believe this multiplex assay will become an important tool for malaria epidemiology studies as it allows the identification of individuals likely to develop </w:t>
            </w:r>
            <w:proofErr w:type="spellStart"/>
            <w:r>
              <w:t>haemolysis</w:t>
            </w:r>
            <w:proofErr w:type="spellEnd"/>
            <w:r>
              <w:t xml:space="preserve"> during antimalarial treatment (G6PD deficient individuals) and of individuals that are protected against or at risk of severe malaria disease (e.g. individuals with </w:t>
            </w:r>
            <w:proofErr w:type="spellStart"/>
            <w:r>
              <w:t>haemoglobin</w:t>
            </w:r>
            <w:proofErr w:type="spellEnd"/>
            <w:r>
              <w:t xml:space="preserve"> S mutation are protected). It will also allow rigorous monitoring of the drug resistance status in patient samples, which is important </w:t>
            </w:r>
            <w:proofErr w:type="gramStart"/>
            <w:r>
              <w:t>to adequately inform</w:t>
            </w:r>
            <w:proofErr w:type="gramEnd"/>
            <w:r>
              <w:t xml:space="preserve"> government and policy makers.</w:t>
            </w:r>
          </w:p>
          <w:p w:rsidR="00B12DCA" w:rsidRPr="006F5CC7" w:rsidRDefault="00B12DCA" w:rsidP="00A2331F">
            <w:pPr>
              <w:rPr>
                <w:rFonts w:ascii="Verdana" w:hAnsi="Verdana"/>
              </w:rPr>
            </w:pPr>
          </w:p>
          <w:p w:rsidR="00B12DCA" w:rsidRPr="006F5CC7" w:rsidRDefault="00B12DCA" w:rsidP="00A2331F">
            <w:pPr>
              <w:rPr>
                <w:rFonts w:ascii="Verdana" w:hAnsi="Verdana"/>
              </w:rPr>
            </w:pPr>
          </w:p>
          <w:p w:rsidR="00B12DCA" w:rsidRPr="006F5CC7" w:rsidRDefault="00B12DCA" w:rsidP="00A2331F">
            <w:pPr>
              <w:rPr>
                <w:rFonts w:ascii="Verdana" w:hAnsi="Verdana"/>
              </w:rPr>
            </w:pPr>
          </w:p>
        </w:tc>
      </w:tr>
    </w:tbl>
    <w:p w:rsidR="00AD0438" w:rsidRDefault="00AD0438" w:rsidP="00AD0438"/>
    <w:sectPr w:rsidR="00AD0438" w:rsidSect="00AD0438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hitney Book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417A2"/>
    <w:multiLevelType w:val="multilevel"/>
    <w:tmpl w:val="D26A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464E4B"/>
    <w:multiLevelType w:val="hybridMultilevel"/>
    <w:tmpl w:val="C4DC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87EF4"/>
    <w:multiLevelType w:val="hybridMultilevel"/>
    <w:tmpl w:val="4A564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4C"/>
    <w:rsid w:val="003249DE"/>
    <w:rsid w:val="005F50AE"/>
    <w:rsid w:val="0063006C"/>
    <w:rsid w:val="006D2150"/>
    <w:rsid w:val="006F5CC7"/>
    <w:rsid w:val="00713DBC"/>
    <w:rsid w:val="007652B1"/>
    <w:rsid w:val="007746DC"/>
    <w:rsid w:val="00873826"/>
    <w:rsid w:val="008C387C"/>
    <w:rsid w:val="00A627B6"/>
    <w:rsid w:val="00A72D7C"/>
    <w:rsid w:val="00AD0438"/>
    <w:rsid w:val="00B12DCA"/>
    <w:rsid w:val="00BC2DD3"/>
    <w:rsid w:val="00C139B9"/>
    <w:rsid w:val="00DF7C4C"/>
    <w:rsid w:val="00E06358"/>
    <w:rsid w:val="00F212EE"/>
    <w:rsid w:val="00FC5F44"/>
    <w:rsid w:val="00FD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77063"/>
  <w15:docId w15:val="{F4EEF900-8563-4C24-A7FC-6F11BA4F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F7C4C"/>
  </w:style>
  <w:style w:type="table" w:styleId="TableGrid">
    <w:name w:val="Table Grid"/>
    <w:basedOn w:val="TableNormal"/>
    <w:uiPriority w:val="59"/>
    <w:rsid w:val="00AD0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4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043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D04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44376-9126-47B8-85E6-8FFBCFC5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Luminex Corporation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 Sulter</dc:creator>
  <cp:lastModifiedBy>Lynn Grignard</cp:lastModifiedBy>
  <cp:revision>4</cp:revision>
  <cp:lastPrinted>2016-03-24T15:23:00Z</cp:lastPrinted>
  <dcterms:created xsi:type="dcterms:W3CDTF">2017-08-11T09:34:00Z</dcterms:created>
  <dcterms:modified xsi:type="dcterms:W3CDTF">2017-08-16T13:11:00Z</dcterms:modified>
</cp:coreProperties>
</file>