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B9" w:rsidRPr="0013124C" w:rsidRDefault="00934AB9" w:rsidP="00934AB9">
      <w:pPr>
        <w:jc w:val="center"/>
        <w:rPr>
          <w:rFonts w:ascii="Times New Roman" w:hAnsi="Times New Roman" w:cs="Times New Roman"/>
          <w:b/>
          <w:sz w:val="28"/>
          <w:szCs w:val="28"/>
          <w:lang w:val="en-US"/>
        </w:rPr>
      </w:pPr>
      <w:bookmarkStart w:id="0" w:name="_GoBack"/>
      <w:bookmarkEnd w:id="0"/>
      <w:proofErr w:type="gramStart"/>
      <w:r w:rsidRPr="0013124C">
        <w:rPr>
          <w:rFonts w:ascii="Times New Roman" w:hAnsi="Times New Roman" w:cs="Times New Roman"/>
          <w:b/>
          <w:sz w:val="28"/>
          <w:szCs w:val="28"/>
          <w:lang w:val="en-US"/>
        </w:rPr>
        <w:t>Biomarkers of biological therapy inefficiency in children with inflammatory bowel diseases.</w:t>
      </w:r>
      <w:proofErr w:type="gramEnd"/>
    </w:p>
    <w:p w:rsidR="00934AB9" w:rsidRPr="0013124C" w:rsidRDefault="00934AB9" w:rsidP="00934AB9">
      <w:pPr>
        <w:spacing w:after="0"/>
        <w:rPr>
          <w:rFonts w:ascii="Times New Roman" w:hAnsi="Times New Roman" w:cs="Times New Roman"/>
          <w:sz w:val="24"/>
          <w:szCs w:val="24"/>
          <w:lang w:val="en-US"/>
        </w:rPr>
      </w:pPr>
      <w:proofErr w:type="spellStart"/>
      <w:r w:rsidRPr="0013124C">
        <w:rPr>
          <w:rFonts w:ascii="Times New Roman" w:hAnsi="Times New Roman" w:cs="Times New Roman"/>
          <w:sz w:val="24"/>
          <w:szCs w:val="24"/>
          <w:lang w:val="en-US"/>
        </w:rPr>
        <w:t>Radygina</w:t>
      </w:r>
      <w:proofErr w:type="spellEnd"/>
      <w:r w:rsidRPr="0013124C">
        <w:rPr>
          <w:rFonts w:ascii="Times New Roman" w:hAnsi="Times New Roman" w:cs="Times New Roman"/>
          <w:sz w:val="24"/>
          <w:szCs w:val="24"/>
          <w:lang w:val="en-US"/>
        </w:rPr>
        <w:t xml:space="preserve"> </w:t>
      </w:r>
      <w:r w:rsidRPr="0013124C">
        <w:rPr>
          <w:rFonts w:ascii="Times New Roman" w:hAnsi="Times New Roman" w:cs="Times New Roman"/>
          <w:sz w:val="24"/>
          <w:szCs w:val="24"/>
        </w:rPr>
        <w:t>Т</w:t>
      </w:r>
      <w:r w:rsidRPr="0013124C">
        <w:rPr>
          <w:rFonts w:ascii="Times New Roman" w:hAnsi="Times New Roman" w:cs="Times New Roman"/>
          <w:sz w:val="24"/>
          <w:szCs w:val="24"/>
          <w:lang w:val="en-US"/>
        </w:rPr>
        <w:t>.</w:t>
      </w:r>
      <w:r w:rsidRPr="005D3D2C">
        <w:rPr>
          <w:rFonts w:ascii="Times New Roman" w:hAnsi="Times New Roman" w:cs="Times New Roman"/>
          <w:sz w:val="24"/>
          <w:szCs w:val="24"/>
          <w:vertAlign w:val="superscript"/>
          <w:lang w:val="en-US"/>
        </w:rPr>
        <w:t>1</w:t>
      </w:r>
      <w:r w:rsidRPr="0013124C">
        <w:rPr>
          <w:rFonts w:ascii="Times New Roman" w:hAnsi="Times New Roman" w:cs="Times New Roman"/>
          <w:sz w:val="24"/>
          <w:szCs w:val="24"/>
          <w:lang w:val="en-US"/>
        </w:rPr>
        <w:t xml:space="preserve">, </w:t>
      </w:r>
      <w:proofErr w:type="spellStart"/>
      <w:r w:rsidRPr="0013124C">
        <w:rPr>
          <w:rFonts w:ascii="Times New Roman" w:hAnsi="Times New Roman" w:cs="Times New Roman"/>
          <w:sz w:val="24"/>
          <w:szCs w:val="24"/>
          <w:lang w:val="en-US"/>
        </w:rPr>
        <w:t>Petrichuk</w:t>
      </w:r>
      <w:proofErr w:type="spellEnd"/>
      <w:r w:rsidRPr="0013124C">
        <w:rPr>
          <w:rFonts w:ascii="Times New Roman" w:hAnsi="Times New Roman" w:cs="Times New Roman"/>
          <w:sz w:val="24"/>
          <w:szCs w:val="24"/>
          <w:lang w:val="en-US"/>
        </w:rPr>
        <w:t xml:space="preserve"> S.</w:t>
      </w:r>
      <w:r w:rsidRPr="005D3D2C">
        <w:rPr>
          <w:rFonts w:ascii="Times New Roman" w:hAnsi="Times New Roman" w:cs="Times New Roman"/>
          <w:sz w:val="24"/>
          <w:szCs w:val="24"/>
          <w:vertAlign w:val="superscript"/>
          <w:lang w:val="en-US"/>
        </w:rPr>
        <w:t>1</w:t>
      </w:r>
      <w:r w:rsidRPr="0013124C">
        <w:rPr>
          <w:rFonts w:ascii="Times New Roman" w:hAnsi="Times New Roman" w:cs="Times New Roman"/>
          <w:sz w:val="24"/>
          <w:szCs w:val="24"/>
          <w:lang w:val="en-US"/>
        </w:rPr>
        <w:t xml:space="preserve">, </w:t>
      </w:r>
      <w:proofErr w:type="spellStart"/>
      <w:r w:rsidRPr="0013124C">
        <w:rPr>
          <w:rFonts w:ascii="Times New Roman" w:hAnsi="Times New Roman" w:cs="Times New Roman"/>
          <w:sz w:val="24"/>
          <w:szCs w:val="24"/>
          <w:lang w:val="en-US"/>
        </w:rPr>
        <w:t>Gerasimova</w:t>
      </w:r>
      <w:proofErr w:type="spellEnd"/>
      <w:r w:rsidRPr="0013124C">
        <w:rPr>
          <w:rFonts w:ascii="Times New Roman" w:hAnsi="Times New Roman" w:cs="Times New Roman"/>
          <w:sz w:val="24"/>
          <w:szCs w:val="24"/>
          <w:lang w:val="en-US"/>
        </w:rPr>
        <w:t xml:space="preserve"> D.</w:t>
      </w:r>
      <w:r w:rsidRPr="00447227">
        <w:rPr>
          <w:rFonts w:ascii="Times New Roman" w:hAnsi="Times New Roman" w:cs="Times New Roman"/>
          <w:sz w:val="24"/>
          <w:szCs w:val="24"/>
          <w:vertAlign w:val="superscript"/>
          <w:lang w:val="en-US"/>
        </w:rPr>
        <w:t xml:space="preserve"> </w:t>
      </w:r>
      <w:r w:rsidRPr="005D3D2C">
        <w:rPr>
          <w:rFonts w:ascii="Times New Roman" w:hAnsi="Times New Roman" w:cs="Times New Roman"/>
          <w:sz w:val="24"/>
          <w:szCs w:val="24"/>
          <w:vertAlign w:val="superscript"/>
          <w:lang w:val="en-US"/>
        </w:rPr>
        <w:t>1</w:t>
      </w:r>
      <w:r w:rsidRPr="0013124C">
        <w:rPr>
          <w:rFonts w:ascii="Times New Roman" w:hAnsi="Times New Roman" w:cs="Times New Roman"/>
          <w:sz w:val="24"/>
          <w:szCs w:val="24"/>
          <w:lang w:val="en-US"/>
        </w:rPr>
        <w:t xml:space="preserve">, </w:t>
      </w:r>
    </w:p>
    <w:p w:rsidR="00934AB9" w:rsidRPr="0013124C" w:rsidRDefault="00934AB9" w:rsidP="00934AB9">
      <w:pPr>
        <w:spacing w:after="0"/>
        <w:rPr>
          <w:rFonts w:ascii="Times New Roman" w:hAnsi="Times New Roman" w:cs="Times New Roman"/>
          <w:sz w:val="24"/>
          <w:szCs w:val="24"/>
          <w:lang w:val="en-US"/>
        </w:rPr>
      </w:pPr>
      <w:proofErr w:type="spellStart"/>
      <w:proofErr w:type="gramStart"/>
      <w:r w:rsidRPr="0013124C">
        <w:rPr>
          <w:rFonts w:ascii="Times New Roman" w:hAnsi="Times New Roman" w:cs="Times New Roman"/>
          <w:sz w:val="24"/>
          <w:szCs w:val="24"/>
          <w:lang w:val="en-US"/>
        </w:rPr>
        <w:t>Potapov</w:t>
      </w:r>
      <w:proofErr w:type="spellEnd"/>
      <w:r w:rsidRPr="0013124C">
        <w:rPr>
          <w:rFonts w:ascii="Times New Roman" w:hAnsi="Times New Roman" w:cs="Times New Roman"/>
          <w:sz w:val="24"/>
          <w:szCs w:val="24"/>
          <w:lang w:val="en-US"/>
        </w:rPr>
        <w:t xml:space="preserve"> A.</w:t>
      </w:r>
      <w:r w:rsidRPr="00447227">
        <w:rPr>
          <w:rFonts w:ascii="Times New Roman" w:hAnsi="Times New Roman" w:cs="Times New Roman"/>
          <w:sz w:val="24"/>
          <w:szCs w:val="24"/>
          <w:vertAlign w:val="superscript"/>
          <w:lang w:val="en-US"/>
        </w:rPr>
        <w:t xml:space="preserve"> </w:t>
      </w:r>
      <w:r w:rsidRPr="005D3D2C">
        <w:rPr>
          <w:rFonts w:ascii="Times New Roman" w:hAnsi="Times New Roman" w:cs="Times New Roman"/>
          <w:sz w:val="24"/>
          <w:szCs w:val="24"/>
          <w:vertAlign w:val="superscript"/>
          <w:lang w:val="en-US"/>
        </w:rPr>
        <w:t>1</w:t>
      </w:r>
      <w:r w:rsidRPr="0013124C">
        <w:rPr>
          <w:rFonts w:ascii="Times New Roman" w:hAnsi="Times New Roman" w:cs="Times New Roman"/>
          <w:sz w:val="24"/>
          <w:szCs w:val="24"/>
          <w:lang w:val="en-US"/>
        </w:rPr>
        <w:t xml:space="preserve">, </w:t>
      </w:r>
      <w:proofErr w:type="spellStart"/>
      <w:r w:rsidRPr="0013124C">
        <w:rPr>
          <w:rFonts w:ascii="Times New Roman" w:hAnsi="Times New Roman" w:cs="Times New Roman"/>
          <w:sz w:val="24"/>
          <w:szCs w:val="24"/>
          <w:lang w:val="en-US"/>
        </w:rPr>
        <w:t>Illarionov</w:t>
      </w:r>
      <w:proofErr w:type="spellEnd"/>
      <w:r w:rsidRPr="0013124C">
        <w:rPr>
          <w:rFonts w:ascii="Times New Roman" w:hAnsi="Times New Roman" w:cs="Times New Roman"/>
          <w:sz w:val="24"/>
          <w:szCs w:val="24"/>
          <w:lang w:val="en-US"/>
        </w:rPr>
        <w:t xml:space="preserve"> </w:t>
      </w:r>
      <w:r w:rsidRPr="0013124C">
        <w:rPr>
          <w:rFonts w:ascii="Times New Roman" w:hAnsi="Times New Roman" w:cs="Times New Roman"/>
          <w:sz w:val="24"/>
          <w:szCs w:val="24"/>
        </w:rPr>
        <w:t>А</w:t>
      </w:r>
      <w:r w:rsidRPr="0013124C">
        <w:rPr>
          <w:rFonts w:ascii="Times New Roman" w:hAnsi="Times New Roman" w:cs="Times New Roman"/>
          <w:sz w:val="24"/>
          <w:szCs w:val="24"/>
          <w:lang w:val="en-US"/>
        </w:rPr>
        <w:t>.</w:t>
      </w:r>
      <w:r w:rsidRPr="00447227">
        <w:rPr>
          <w:rFonts w:ascii="Times New Roman" w:hAnsi="Times New Roman" w:cs="Times New Roman"/>
          <w:sz w:val="24"/>
          <w:szCs w:val="24"/>
          <w:vertAlign w:val="superscript"/>
          <w:lang w:val="en-US"/>
        </w:rPr>
        <w:t xml:space="preserve"> </w:t>
      </w:r>
      <w:r w:rsidRPr="005D3D2C">
        <w:rPr>
          <w:rFonts w:ascii="Times New Roman" w:hAnsi="Times New Roman" w:cs="Times New Roman"/>
          <w:sz w:val="24"/>
          <w:szCs w:val="24"/>
          <w:vertAlign w:val="superscript"/>
          <w:lang w:val="en-US"/>
        </w:rPr>
        <w:t>1</w:t>
      </w:r>
      <w:r w:rsidRPr="0013124C">
        <w:rPr>
          <w:rFonts w:ascii="Times New Roman" w:hAnsi="Times New Roman" w:cs="Times New Roman"/>
          <w:sz w:val="24"/>
          <w:szCs w:val="24"/>
          <w:lang w:val="en-US"/>
        </w:rPr>
        <w:t xml:space="preserve">, </w:t>
      </w:r>
      <w:proofErr w:type="spellStart"/>
      <w:r w:rsidRPr="0013124C">
        <w:rPr>
          <w:rFonts w:ascii="Times New Roman" w:hAnsi="Times New Roman" w:cs="Times New Roman"/>
          <w:sz w:val="24"/>
          <w:szCs w:val="24"/>
          <w:lang w:val="en-US"/>
        </w:rPr>
        <w:t>Anushenko</w:t>
      </w:r>
      <w:proofErr w:type="spellEnd"/>
      <w:r w:rsidRPr="0013124C">
        <w:rPr>
          <w:rFonts w:ascii="Times New Roman" w:hAnsi="Times New Roman" w:cs="Times New Roman"/>
          <w:sz w:val="24"/>
          <w:szCs w:val="24"/>
          <w:lang w:val="en-US"/>
        </w:rPr>
        <w:t xml:space="preserve"> </w:t>
      </w:r>
      <w:r w:rsidRPr="0013124C">
        <w:rPr>
          <w:rFonts w:ascii="Times New Roman" w:hAnsi="Times New Roman" w:cs="Times New Roman"/>
          <w:sz w:val="24"/>
          <w:szCs w:val="24"/>
        </w:rPr>
        <w:t>А</w:t>
      </w:r>
      <w:r w:rsidRPr="0013124C">
        <w:rPr>
          <w:rFonts w:ascii="Times New Roman" w:hAnsi="Times New Roman" w:cs="Times New Roman"/>
          <w:sz w:val="24"/>
          <w:szCs w:val="24"/>
          <w:lang w:val="en-US"/>
        </w:rPr>
        <w:t>.</w:t>
      </w:r>
      <w:r w:rsidRPr="00447227">
        <w:rPr>
          <w:rFonts w:ascii="Times New Roman" w:hAnsi="Times New Roman" w:cs="Times New Roman"/>
          <w:sz w:val="24"/>
          <w:szCs w:val="24"/>
          <w:vertAlign w:val="superscript"/>
          <w:lang w:val="en-US"/>
        </w:rPr>
        <w:t xml:space="preserve"> </w:t>
      </w:r>
      <w:r w:rsidRPr="005D3D2C">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Erlikh</w:t>
      </w:r>
      <w:proofErr w:type="spellEnd"/>
      <w:r>
        <w:rPr>
          <w:rFonts w:ascii="Times New Roman" w:hAnsi="Times New Roman" w:cs="Times New Roman"/>
          <w:sz w:val="24"/>
          <w:szCs w:val="24"/>
          <w:lang w:val="en-US"/>
        </w:rPr>
        <w:t>-Fox T</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roofErr w:type="gramEnd"/>
    </w:p>
    <w:p w:rsidR="00934AB9" w:rsidRDefault="00934AB9" w:rsidP="00934AB9">
      <w:pPr>
        <w:spacing w:after="0"/>
        <w:rPr>
          <w:rFonts w:ascii="Times New Roman" w:hAnsi="Times New Roman" w:cs="Times New Roman"/>
          <w:sz w:val="24"/>
          <w:szCs w:val="24"/>
          <w:lang w:val="en-US"/>
        </w:rPr>
      </w:pPr>
      <w:r w:rsidRPr="005D3D2C">
        <w:rPr>
          <w:rFonts w:ascii="Times New Roman" w:hAnsi="Times New Roman" w:cs="Times New Roman"/>
          <w:sz w:val="24"/>
          <w:szCs w:val="24"/>
          <w:vertAlign w:val="superscript"/>
          <w:lang w:val="en-US"/>
        </w:rPr>
        <w:t>1</w:t>
      </w:r>
      <w:r w:rsidRPr="0013124C">
        <w:rPr>
          <w:rFonts w:ascii="Times New Roman" w:hAnsi="Times New Roman" w:cs="Times New Roman"/>
          <w:sz w:val="24"/>
          <w:szCs w:val="24"/>
          <w:lang w:val="en-US"/>
        </w:rPr>
        <w:t xml:space="preserve">National Medical Research Center for Children's Health,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Cytochemical Research Center, </w:t>
      </w:r>
      <w:r w:rsidRPr="0013124C">
        <w:rPr>
          <w:rFonts w:ascii="Times New Roman" w:hAnsi="Times New Roman" w:cs="Times New Roman"/>
          <w:sz w:val="24"/>
          <w:szCs w:val="24"/>
          <w:lang w:val="en-US"/>
        </w:rPr>
        <w:t>Moscow, Russia</w:t>
      </w:r>
    </w:p>
    <w:p w:rsidR="00934AB9" w:rsidRPr="0013124C" w:rsidRDefault="00934AB9" w:rsidP="00934AB9">
      <w:pPr>
        <w:shd w:val="clear" w:color="auto" w:fill="FFFFFF"/>
        <w:spacing w:after="0" w:line="240" w:lineRule="auto"/>
        <w:rPr>
          <w:rFonts w:ascii="Times New Roman" w:eastAsia="Times New Roman" w:hAnsi="Times New Roman" w:cs="Times New Roman"/>
          <w:sz w:val="24"/>
          <w:szCs w:val="24"/>
          <w:lang w:val="en-US" w:eastAsia="ru-RU"/>
        </w:rPr>
      </w:pPr>
      <w:r w:rsidRPr="0013124C">
        <w:rPr>
          <w:rFonts w:ascii="Times New Roman" w:eastAsia="Times New Roman" w:hAnsi="Times New Roman" w:cs="Times New Roman"/>
          <w:sz w:val="24"/>
          <w:szCs w:val="24"/>
          <w:lang w:val="en-US" w:eastAsia="ru-RU"/>
        </w:rPr>
        <w:t>Background and aim</w:t>
      </w:r>
    </w:p>
    <w:p w:rsidR="00934AB9" w:rsidRPr="0013124C" w:rsidRDefault="00934AB9" w:rsidP="00934AB9">
      <w:pPr>
        <w:tabs>
          <w:tab w:val="left" w:pos="3135"/>
        </w:tabs>
        <w:spacing w:after="0"/>
        <w:jc w:val="both"/>
        <w:rPr>
          <w:rFonts w:ascii="Times New Roman" w:hAnsi="Times New Roman" w:cs="Times New Roman"/>
          <w:sz w:val="24"/>
          <w:szCs w:val="24"/>
          <w:lang w:val="en-US"/>
        </w:rPr>
      </w:pPr>
      <w:r w:rsidRPr="0013124C">
        <w:rPr>
          <w:rFonts w:ascii="Times New Roman" w:hAnsi="Times New Roman" w:cs="Times New Roman"/>
          <w:sz w:val="24"/>
          <w:szCs w:val="24"/>
          <w:lang w:val="en-US"/>
        </w:rPr>
        <w:t xml:space="preserve">In the children with inflammatory bowel disease (IBD) who are treated with antibodies blocking TNFα (infliximab – IFX) there is seen a loss of a </w:t>
      </w:r>
      <w:r w:rsidRPr="0027194C">
        <w:rPr>
          <w:rFonts w:ascii="Times New Roman" w:hAnsi="Times New Roman" w:cs="Times New Roman"/>
          <w:sz w:val="24"/>
          <w:szCs w:val="24"/>
          <w:lang w:val="en-US"/>
        </w:rPr>
        <w:t xml:space="preserve">therapeutic </w:t>
      </w:r>
      <w:r w:rsidRPr="0013124C">
        <w:rPr>
          <w:rFonts w:ascii="Times New Roman" w:hAnsi="Times New Roman" w:cs="Times New Roman"/>
          <w:sz w:val="24"/>
          <w:szCs w:val="24"/>
          <w:lang w:val="en-US"/>
        </w:rPr>
        <w:t>response after a year of treatment in 50% of patients. Our objective is to identify the value of the various biological markers such as residual level of IFX in blood, antibodies to the drug and circulating cytokine levels in the prognosis of the effectiveness of the biological therapy in children with IBD.</w:t>
      </w:r>
    </w:p>
    <w:p w:rsidR="00934AB9" w:rsidRPr="00934AB9" w:rsidRDefault="00934AB9" w:rsidP="00934AB9">
      <w:pPr>
        <w:shd w:val="clear" w:color="auto" w:fill="FFFFFF"/>
        <w:spacing w:after="0" w:line="240" w:lineRule="auto"/>
        <w:rPr>
          <w:rFonts w:ascii="Times New Roman" w:hAnsi="Times New Roman" w:cs="Times New Roman"/>
          <w:sz w:val="24"/>
          <w:szCs w:val="24"/>
          <w:lang w:val="en-US"/>
        </w:rPr>
      </w:pPr>
      <w:r w:rsidRPr="0013124C">
        <w:rPr>
          <w:rFonts w:ascii="Times New Roman" w:hAnsi="Times New Roman" w:cs="Times New Roman"/>
          <w:sz w:val="24"/>
          <w:szCs w:val="24"/>
          <w:lang w:val="en-US"/>
        </w:rPr>
        <w:t>M</w:t>
      </w:r>
      <w:r w:rsidRPr="00934AB9">
        <w:rPr>
          <w:rFonts w:ascii="Times New Roman" w:hAnsi="Times New Roman" w:cs="Times New Roman"/>
          <w:sz w:val="24"/>
          <w:szCs w:val="24"/>
          <w:lang w:val="en-US"/>
        </w:rPr>
        <w:t>ethods</w:t>
      </w:r>
    </w:p>
    <w:p w:rsidR="00934AB9" w:rsidRPr="0013124C" w:rsidRDefault="00934AB9" w:rsidP="00934AB9">
      <w:pPr>
        <w:spacing w:after="0"/>
        <w:jc w:val="both"/>
        <w:rPr>
          <w:rFonts w:ascii="Times New Roman" w:hAnsi="Times New Roman" w:cs="Times New Roman"/>
          <w:sz w:val="24"/>
          <w:szCs w:val="24"/>
          <w:lang w:val="en-US"/>
        </w:rPr>
      </w:pPr>
      <w:r w:rsidRPr="0013124C">
        <w:rPr>
          <w:rFonts w:ascii="Times New Roman" w:hAnsi="Times New Roman" w:cs="Times New Roman"/>
          <w:sz w:val="24"/>
          <w:szCs w:val="24"/>
          <w:lang w:val="en-US"/>
        </w:rPr>
        <w:t xml:space="preserve">In total 75 children with IBD at the age of 4-18 years who are treated with </w:t>
      </w:r>
      <w:r w:rsidR="00026890" w:rsidRPr="0013124C">
        <w:rPr>
          <w:rFonts w:ascii="Times New Roman" w:hAnsi="Times New Roman" w:cs="Times New Roman"/>
          <w:sz w:val="24"/>
          <w:szCs w:val="24"/>
          <w:lang w:val="en-US"/>
        </w:rPr>
        <w:t>IFX</w:t>
      </w:r>
      <w:r w:rsidRPr="0013124C">
        <w:rPr>
          <w:rFonts w:ascii="Times New Roman" w:hAnsi="Times New Roman" w:cs="Times New Roman"/>
          <w:sz w:val="24"/>
          <w:szCs w:val="24"/>
          <w:lang w:val="en-US"/>
        </w:rPr>
        <w:t xml:space="preserve"> therapy were included in the study: 31 patients with ulcerative colitis (UC) and 44 patients with Crohn's disease (CD). Clinical response was evaluated using PUCAI (UC) and PCDIA (CD) indices. Blood samples were taken 8 weeks after the last infusion of </w:t>
      </w:r>
      <w:r w:rsidR="00026890" w:rsidRPr="0013124C">
        <w:rPr>
          <w:rFonts w:ascii="Times New Roman" w:hAnsi="Times New Roman" w:cs="Times New Roman"/>
          <w:sz w:val="24"/>
          <w:szCs w:val="24"/>
          <w:lang w:val="en-US"/>
        </w:rPr>
        <w:t>IFX</w:t>
      </w:r>
      <w:r w:rsidRPr="0013124C">
        <w:rPr>
          <w:rFonts w:ascii="Times New Roman" w:hAnsi="Times New Roman" w:cs="Times New Roman"/>
          <w:sz w:val="24"/>
          <w:szCs w:val="24"/>
          <w:lang w:val="en-US"/>
        </w:rPr>
        <w:t xml:space="preserve"> therapy.  Residual levels of IFX (Q-IFX) in serum and IFX antibodies (ATI) were assessed by enzyme immunoassay using </w:t>
      </w:r>
      <w:proofErr w:type="spellStart"/>
      <w:r w:rsidRPr="0013124C">
        <w:rPr>
          <w:rFonts w:ascii="Times New Roman" w:hAnsi="Times New Roman" w:cs="Times New Roman"/>
          <w:sz w:val="24"/>
          <w:szCs w:val="24"/>
          <w:lang w:val="en-US"/>
        </w:rPr>
        <w:t>Shikari</w:t>
      </w:r>
      <w:proofErr w:type="spellEnd"/>
      <w:r w:rsidRPr="0013124C">
        <w:rPr>
          <w:rFonts w:ascii="Times New Roman" w:hAnsi="Times New Roman" w:cs="Times New Roman"/>
          <w:sz w:val="24"/>
          <w:szCs w:val="24"/>
          <w:lang w:val="en-US"/>
        </w:rPr>
        <w:t xml:space="preserve"> Q-INFLIXI, Q-ATI (Turkey) kits. The levels of cytokines (GM-CSF, CCL20/MIP3a, IL-22, IL-23, IL-27, IL-28A, IL-31, IL-4, IL-17E/IL-25, </w:t>
      </w:r>
      <w:proofErr w:type="spellStart"/>
      <w:r w:rsidRPr="0013124C">
        <w:rPr>
          <w:rFonts w:ascii="Times New Roman" w:hAnsi="Times New Roman" w:cs="Times New Roman"/>
          <w:sz w:val="24"/>
          <w:szCs w:val="24"/>
          <w:lang w:val="en-US"/>
        </w:rPr>
        <w:t>TNFb</w:t>
      </w:r>
      <w:proofErr w:type="spellEnd"/>
      <w:r w:rsidRPr="0013124C">
        <w:rPr>
          <w:rFonts w:ascii="Times New Roman" w:hAnsi="Times New Roman" w:cs="Times New Roman"/>
          <w:sz w:val="24"/>
          <w:szCs w:val="24"/>
          <w:lang w:val="en-US"/>
        </w:rPr>
        <w:t xml:space="preserve">, </w:t>
      </w:r>
      <w:proofErr w:type="spellStart"/>
      <w:r w:rsidRPr="0013124C">
        <w:rPr>
          <w:rFonts w:ascii="Times New Roman" w:hAnsi="Times New Roman" w:cs="Times New Roman"/>
          <w:sz w:val="24"/>
          <w:szCs w:val="24"/>
          <w:lang w:val="en-US"/>
        </w:rPr>
        <w:t>INFγ</w:t>
      </w:r>
      <w:proofErr w:type="spellEnd"/>
      <w:r w:rsidRPr="0013124C">
        <w:rPr>
          <w:rFonts w:ascii="Times New Roman" w:hAnsi="Times New Roman" w:cs="Times New Roman"/>
          <w:sz w:val="24"/>
          <w:szCs w:val="24"/>
          <w:lang w:val="en-US"/>
        </w:rPr>
        <w:t xml:space="preserve">, IL-10, IL-12, IL-13, IL-15, IL-17A, IL-17F, IL-1b, IL-21, IL-33, IL-5, IL-6, IL-12p70, IL-9, IL-2, TNFα) were measured by multiplex analysis using HumanTh17 </w:t>
      </w:r>
      <w:proofErr w:type="spellStart"/>
      <w:r w:rsidRPr="0013124C">
        <w:rPr>
          <w:rFonts w:ascii="Times New Roman" w:hAnsi="Times New Roman" w:cs="Times New Roman"/>
          <w:sz w:val="24"/>
          <w:szCs w:val="24"/>
          <w:lang w:val="en-US"/>
        </w:rPr>
        <w:t>MagneticBead</w:t>
      </w:r>
      <w:proofErr w:type="spellEnd"/>
      <w:r w:rsidRPr="0013124C">
        <w:rPr>
          <w:rFonts w:ascii="Times New Roman" w:hAnsi="Times New Roman" w:cs="Times New Roman"/>
          <w:sz w:val="24"/>
          <w:szCs w:val="24"/>
          <w:lang w:val="en-US"/>
        </w:rPr>
        <w:t xml:space="preserve"> Panel (</w:t>
      </w:r>
      <w:proofErr w:type="spellStart"/>
      <w:r w:rsidRPr="0013124C">
        <w:rPr>
          <w:rFonts w:ascii="Times New Roman" w:hAnsi="Times New Roman" w:cs="Times New Roman"/>
          <w:sz w:val="24"/>
          <w:szCs w:val="24"/>
          <w:lang w:val="en-US"/>
        </w:rPr>
        <w:t>MilliplexMapKit</w:t>
      </w:r>
      <w:proofErr w:type="spellEnd"/>
      <w:r w:rsidRPr="0013124C">
        <w:rPr>
          <w:rFonts w:ascii="Times New Roman" w:hAnsi="Times New Roman" w:cs="Times New Roman"/>
          <w:sz w:val="24"/>
          <w:szCs w:val="24"/>
          <w:lang w:val="en-US"/>
        </w:rPr>
        <w:t>, Germany). Evaluation of the statistical significance was performed using nonparametric M</w:t>
      </w:r>
      <w:r>
        <w:rPr>
          <w:rFonts w:ascii="Times New Roman" w:hAnsi="Times New Roman" w:cs="Times New Roman"/>
          <w:sz w:val="24"/>
          <w:szCs w:val="24"/>
          <w:lang w:val="en-US"/>
        </w:rPr>
        <w:t>ann</w:t>
      </w:r>
      <w:r w:rsidRPr="0013124C">
        <w:rPr>
          <w:rFonts w:ascii="Times New Roman" w:hAnsi="Times New Roman" w:cs="Times New Roman"/>
          <w:sz w:val="24"/>
          <w:szCs w:val="24"/>
          <w:lang w:val="en-US"/>
        </w:rPr>
        <w:t>-Whitney test and ROC-analysis.</w:t>
      </w:r>
    </w:p>
    <w:p w:rsidR="00934AB9" w:rsidRPr="0013124C" w:rsidRDefault="00934AB9" w:rsidP="00934AB9">
      <w:pPr>
        <w:spacing w:after="0"/>
        <w:jc w:val="both"/>
        <w:rPr>
          <w:rFonts w:ascii="Times New Roman" w:eastAsia="Times New Roman" w:hAnsi="Times New Roman" w:cs="Times New Roman"/>
          <w:sz w:val="24"/>
          <w:szCs w:val="24"/>
          <w:lang w:val="en-US" w:eastAsia="ru-RU"/>
        </w:rPr>
      </w:pPr>
      <w:r w:rsidRPr="0013124C">
        <w:rPr>
          <w:rFonts w:ascii="Times New Roman" w:eastAsia="Times New Roman" w:hAnsi="Times New Roman" w:cs="Times New Roman"/>
          <w:sz w:val="24"/>
          <w:szCs w:val="24"/>
          <w:lang w:val="en-US" w:eastAsia="ru-RU"/>
        </w:rPr>
        <w:t>Results</w:t>
      </w:r>
    </w:p>
    <w:p w:rsidR="00934AB9" w:rsidRPr="0013124C" w:rsidRDefault="00934AB9" w:rsidP="00934AB9">
      <w:pPr>
        <w:spacing w:after="0"/>
        <w:jc w:val="both"/>
        <w:rPr>
          <w:rFonts w:ascii="Times New Roman" w:eastAsia="Times New Roman" w:hAnsi="Times New Roman" w:cs="Times New Roman"/>
          <w:sz w:val="24"/>
          <w:szCs w:val="24"/>
          <w:lang w:val="en-US" w:eastAsia="ru-RU"/>
        </w:rPr>
      </w:pPr>
      <w:r w:rsidRPr="0013124C">
        <w:rPr>
          <w:rFonts w:ascii="Times New Roman" w:eastAsia="Times New Roman" w:hAnsi="Times New Roman" w:cs="Times New Roman"/>
          <w:sz w:val="24"/>
          <w:szCs w:val="24"/>
          <w:lang w:val="en-US" w:eastAsia="ru-RU"/>
        </w:rPr>
        <w:t xml:space="preserve">In children with the loss of the effect to IFX (group 1) there was a significant decrease </w:t>
      </w:r>
      <w:r w:rsidR="00BA5E3F" w:rsidRPr="0013124C">
        <w:rPr>
          <w:rFonts w:ascii="Times New Roman" w:hAnsi="Times New Roman" w:cs="Times New Roman"/>
          <w:sz w:val="24"/>
          <w:szCs w:val="24"/>
          <w:lang w:val="en-US"/>
        </w:rPr>
        <w:t>Q-IFX</w:t>
      </w:r>
      <w:r w:rsidR="00BA5E3F" w:rsidRPr="0013124C">
        <w:rPr>
          <w:rFonts w:ascii="Times New Roman" w:eastAsia="Times New Roman" w:hAnsi="Times New Roman" w:cs="Times New Roman"/>
          <w:sz w:val="24"/>
          <w:szCs w:val="24"/>
          <w:lang w:val="en-US" w:eastAsia="ru-RU"/>
        </w:rPr>
        <w:t xml:space="preserve"> </w:t>
      </w:r>
      <w:r w:rsidRPr="0013124C">
        <w:rPr>
          <w:rFonts w:ascii="Times New Roman" w:eastAsia="Times New Roman" w:hAnsi="Times New Roman" w:cs="Times New Roman"/>
          <w:sz w:val="24"/>
          <w:szCs w:val="24"/>
          <w:lang w:val="en-US" w:eastAsia="ru-RU"/>
        </w:rPr>
        <w:t>compared to a group of children with persistent positive effect (group 2) in both diseases CD</w:t>
      </w:r>
      <w:r w:rsidR="00761C24" w:rsidRPr="00761C24">
        <w:rPr>
          <w:rFonts w:ascii="Times New Roman" w:eastAsia="Times New Roman" w:hAnsi="Times New Roman" w:cs="Times New Roman"/>
          <w:sz w:val="24"/>
          <w:szCs w:val="24"/>
          <w:lang w:val="en-US" w:eastAsia="ru-RU"/>
        </w:rPr>
        <w:t xml:space="preserve"> </w:t>
      </w:r>
      <w:r w:rsidR="00761C24" w:rsidRPr="0013124C">
        <w:rPr>
          <w:rFonts w:ascii="Times New Roman" w:eastAsia="Times New Roman" w:hAnsi="Times New Roman" w:cs="Times New Roman"/>
          <w:sz w:val="24"/>
          <w:szCs w:val="24"/>
          <w:lang w:val="en-US" w:eastAsia="ru-RU"/>
        </w:rPr>
        <w:t>(p=0.00</w:t>
      </w:r>
      <w:r w:rsidR="00761C24" w:rsidRPr="00761C24">
        <w:rPr>
          <w:rFonts w:ascii="Times New Roman" w:eastAsia="Times New Roman" w:hAnsi="Times New Roman" w:cs="Times New Roman"/>
          <w:sz w:val="24"/>
          <w:szCs w:val="24"/>
          <w:lang w:val="en-US" w:eastAsia="ru-RU"/>
        </w:rPr>
        <w:t>2</w:t>
      </w:r>
      <w:r w:rsidR="00761C24" w:rsidRPr="0013124C">
        <w:rPr>
          <w:rFonts w:ascii="Times New Roman" w:eastAsia="Times New Roman" w:hAnsi="Times New Roman" w:cs="Times New Roman"/>
          <w:sz w:val="24"/>
          <w:szCs w:val="24"/>
          <w:lang w:val="en-US" w:eastAsia="ru-RU"/>
        </w:rPr>
        <w:t>)</w:t>
      </w:r>
      <w:r w:rsidR="00761C24" w:rsidRPr="00761C24">
        <w:rPr>
          <w:rFonts w:ascii="Times New Roman" w:eastAsia="Times New Roman" w:hAnsi="Times New Roman" w:cs="Times New Roman"/>
          <w:sz w:val="24"/>
          <w:szCs w:val="24"/>
          <w:lang w:val="en-US" w:eastAsia="ru-RU"/>
        </w:rPr>
        <w:t xml:space="preserve"> </w:t>
      </w:r>
      <w:r w:rsidRPr="0013124C">
        <w:rPr>
          <w:rFonts w:ascii="Times New Roman" w:eastAsia="Times New Roman" w:hAnsi="Times New Roman" w:cs="Times New Roman"/>
          <w:sz w:val="24"/>
          <w:szCs w:val="24"/>
          <w:lang w:val="en-US" w:eastAsia="ru-RU"/>
        </w:rPr>
        <w:t xml:space="preserve">and </w:t>
      </w:r>
      <w:r w:rsidRPr="0013124C">
        <w:rPr>
          <w:rFonts w:ascii="Times New Roman" w:hAnsi="Times New Roman" w:cs="Times New Roman"/>
          <w:sz w:val="24"/>
          <w:szCs w:val="24"/>
          <w:lang w:val="en-US"/>
        </w:rPr>
        <w:t>UC</w:t>
      </w:r>
      <w:r w:rsidR="00761C24" w:rsidRPr="00761C24">
        <w:rPr>
          <w:rFonts w:ascii="Times New Roman" w:hAnsi="Times New Roman" w:cs="Times New Roman"/>
          <w:sz w:val="24"/>
          <w:szCs w:val="24"/>
          <w:lang w:val="en-US"/>
        </w:rPr>
        <w:t xml:space="preserve"> </w:t>
      </w:r>
      <w:r w:rsidR="00761C24" w:rsidRPr="0013124C">
        <w:rPr>
          <w:rFonts w:ascii="Times New Roman" w:eastAsia="Times New Roman" w:hAnsi="Times New Roman" w:cs="Times New Roman"/>
          <w:sz w:val="24"/>
          <w:szCs w:val="24"/>
          <w:lang w:val="en-US" w:eastAsia="ru-RU"/>
        </w:rPr>
        <w:t>(p=0.01</w:t>
      </w:r>
      <w:r w:rsidR="00761C24" w:rsidRPr="00761C24">
        <w:rPr>
          <w:rFonts w:ascii="Times New Roman" w:eastAsia="Times New Roman" w:hAnsi="Times New Roman" w:cs="Times New Roman"/>
          <w:sz w:val="24"/>
          <w:szCs w:val="24"/>
          <w:lang w:val="en-US" w:eastAsia="ru-RU"/>
        </w:rPr>
        <w:t>9</w:t>
      </w:r>
      <w:r w:rsidR="00761C24" w:rsidRPr="0013124C">
        <w:rPr>
          <w:rFonts w:ascii="Times New Roman" w:eastAsia="Times New Roman" w:hAnsi="Times New Roman" w:cs="Times New Roman"/>
          <w:sz w:val="24"/>
          <w:szCs w:val="24"/>
          <w:lang w:val="en-US" w:eastAsia="ru-RU"/>
        </w:rPr>
        <w:t>)</w:t>
      </w:r>
      <w:r w:rsidRPr="0013124C">
        <w:rPr>
          <w:rFonts w:ascii="Times New Roman" w:hAnsi="Times New Roman" w:cs="Times New Roman"/>
          <w:sz w:val="24"/>
          <w:szCs w:val="24"/>
          <w:lang w:val="en-US"/>
        </w:rPr>
        <w:t>.</w:t>
      </w:r>
      <w:r w:rsidRPr="0013124C">
        <w:rPr>
          <w:rFonts w:ascii="Times New Roman" w:eastAsia="Times New Roman" w:hAnsi="Times New Roman" w:cs="Times New Roman"/>
          <w:sz w:val="24"/>
          <w:szCs w:val="24"/>
          <w:lang w:val="en-US" w:eastAsia="ru-RU"/>
        </w:rPr>
        <w:t xml:space="preserve"> We observed increase in the inflammatory processes according to PUCAI and PCDIA indices (p=0.000) in children with the loss of response to IFX</w:t>
      </w:r>
      <w:r w:rsidR="00761C24" w:rsidRPr="00761C24">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 ROC analysis showed that the cut-off level for patients with UC is 2.55 µg/ml (AUC=0.813; sensitivity (Se) 64%, specificity (</w:t>
      </w:r>
      <w:proofErr w:type="spellStart"/>
      <w:r w:rsidRPr="0013124C">
        <w:rPr>
          <w:rFonts w:ascii="Times New Roman" w:eastAsia="Times New Roman" w:hAnsi="Times New Roman" w:cs="Times New Roman"/>
          <w:sz w:val="24"/>
          <w:szCs w:val="24"/>
          <w:lang w:val="en-US" w:eastAsia="ru-RU"/>
        </w:rPr>
        <w:t>Sp</w:t>
      </w:r>
      <w:proofErr w:type="spellEnd"/>
      <w:r w:rsidRPr="0013124C">
        <w:rPr>
          <w:rFonts w:ascii="Times New Roman" w:eastAsia="Times New Roman" w:hAnsi="Times New Roman" w:cs="Times New Roman"/>
          <w:sz w:val="24"/>
          <w:szCs w:val="24"/>
          <w:lang w:val="en-US" w:eastAsia="ru-RU"/>
        </w:rPr>
        <w:t xml:space="preserve">) 92%), and for children with CD - 2.21 µg/ml (AUC=0.813; Se 79%, </w:t>
      </w:r>
      <w:proofErr w:type="spellStart"/>
      <w:r w:rsidRPr="0013124C">
        <w:rPr>
          <w:rFonts w:ascii="Times New Roman" w:eastAsia="Times New Roman" w:hAnsi="Times New Roman" w:cs="Times New Roman"/>
          <w:sz w:val="24"/>
          <w:szCs w:val="24"/>
          <w:lang w:val="en-US" w:eastAsia="ru-RU"/>
        </w:rPr>
        <w:t>Sp</w:t>
      </w:r>
      <w:proofErr w:type="spellEnd"/>
      <w:r w:rsidRPr="0013124C">
        <w:rPr>
          <w:rFonts w:ascii="Times New Roman" w:eastAsia="Times New Roman" w:hAnsi="Times New Roman" w:cs="Times New Roman"/>
          <w:sz w:val="24"/>
          <w:szCs w:val="24"/>
          <w:lang w:val="en-US" w:eastAsia="ru-RU"/>
        </w:rPr>
        <w:t xml:space="preserve"> 78%). In </w:t>
      </w:r>
      <w:r w:rsidR="00BA5E3F" w:rsidRPr="00BA5E3F">
        <w:rPr>
          <w:rFonts w:ascii="Times New Roman" w:eastAsia="Times New Roman" w:hAnsi="Times New Roman" w:cs="Times New Roman"/>
          <w:sz w:val="24"/>
          <w:szCs w:val="24"/>
          <w:lang w:val="en-US" w:eastAsia="ru-RU"/>
        </w:rPr>
        <w:t xml:space="preserve">the examined patients </w:t>
      </w:r>
      <w:r w:rsidRPr="0013124C">
        <w:rPr>
          <w:rFonts w:ascii="Times New Roman" w:eastAsia="Times New Roman" w:hAnsi="Times New Roman" w:cs="Times New Roman"/>
          <w:sz w:val="24"/>
          <w:szCs w:val="24"/>
          <w:lang w:val="en-US" w:eastAsia="ru-RU"/>
        </w:rPr>
        <w:t>ATI were educed in 17% cases, while the faster the formation of ATI was correlated to the younger age of children (</w:t>
      </w:r>
      <w:r w:rsidR="00761C24">
        <w:rPr>
          <w:rFonts w:ascii="Times New Roman" w:eastAsia="Times New Roman" w:hAnsi="Times New Roman" w:cs="Times New Roman"/>
          <w:sz w:val="24"/>
          <w:szCs w:val="24"/>
          <w:lang w:val="en-US" w:eastAsia="ru-RU"/>
        </w:rPr>
        <w:t>R</w:t>
      </w:r>
      <w:r w:rsidRPr="0013124C">
        <w:rPr>
          <w:rFonts w:ascii="Times New Roman" w:eastAsia="Times New Roman" w:hAnsi="Times New Roman" w:cs="Times New Roman"/>
          <w:sz w:val="24"/>
          <w:szCs w:val="24"/>
          <w:lang w:val="en-US" w:eastAsia="ru-RU"/>
        </w:rPr>
        <w:t xml:space="preserve">=0.58). Analysis of cytokine profile revealed significant differences between examined groups in the level of </w:t>
      </w:r>
      <w:proofErr w:type="spellStart"/>
      <w:r w:rsidRPr="0013124C">
        <w:rPr>
          <w:rFonts w:ascii="Times New Roman" w:eastAsia="Times New Roman" w:hAnsi="Times New Roman" w:cs="Times New Roman"/>
          <w:sz w:val="24"/>
          <w:szCs w:val="24"/>
          <w:lang w:val="en-US" w:eastAsia="ru-RU"/>
        </w:rPr>
        <w:t>proinflammatory</w:t>
      </w:r>
      <w:proofErr w:type="spellEnd"/>
      <w:r w:rsidRPr="0013124C">
        <w:rPr>
          <w:rFonts w:ascii="Times New Roman" w:eastAsia="Times New Roman" w:hAnsi="Times New Roman" w:cs="Times New Roman"/>
          <w:sz w:val="24"/>
          <w:szCs w:val="24"/>
          <w:lang w:val="en-US" w:eastAsia="ru-RU"/>
        </w:rPr>
        <w:t xml:space="preserve"> cytokines: IL-23, IL-27, I</w:t>
      </w:r>
      <w:r w:rsidR="00BA5E3F">
        <w:rPr>
          <w:rFonts w:ascii="Times New Roman" w:eastAsia="Times New Roman" w:hAnsi="Times New Roman" w:cs="Times New Roman"/>
          <w:sz w:val="24"/>
          <w:szCs w:val="24"/>
          <w:lang w:val="en-US" w:eastAsia="ru-RU"/>
        </w:rPr>
        <w:t>L</w:t>
      </w:r>
      <w:r w:rsidRPr="0013124C">
        <w:rPr>
          <w:rFonts w:ascii="Times New Roman" w:eastAsia="Times New Roman" w:hAnsi="Times New Roman" w:cs="Times New Roman"/>
          <w:sz w:val="24"/>
          <w:szCs w:val="24"/>
          <w:lang w:val="en-US" w:eastAsia="ru-RU"/>
        </w:rPr>
        <w:t xml:space="preserve">-22, INF-γ, </w:t>
      </w:r>
      <w:proofErr w:type="gramStart"/>
      <w:r w:rsidRPr="0013124C">
        <w:rPr>
          <w:rFonts w:ascii="Times New Roman" w:hAnsi="Times New Roman" w:cs="Times New Roman"/>
          <w:sz w:val="24"/>
          <w:szCs w:val="24"/>
          <w:lang w:val="en-US"/>
        </w:rPr>
        <w:t>TNFα</w:t>
      </w:r>
      <w:proofErr w:type="gramEnd"/>
      <w:r w:rsidRPr="0013124C">
        <w:rPr>
          <w:rFonts w:ascii="Times New Roman" w:eastAsia="Times New Roman" w:hAnsi="Times New Roman" w:cs="Times New Roman"/>
          <w:sz w:val="24"/>
          <w:szCs w:val="24"/>
          <w:lang w:val="en-US" w:eastAsia="ru-RU"/>
        </w:rPr>
        <w:t>. For group 1 the median values of these cytokines (</w:t>
      </w:r>
      <w:proofErr w:type="spellStart"/>
      <w:r w:rsidRPr="0013124C">
        <w:rPr>
          <w:rFonts w:ascii="Times New Roman" w:hAnsi="Times New Roman" w:cs="Times New Roman"/>
          <w:sz w:val="24"/>
          <w:szCs w:val="24"/>
          <w:lang w:val="en-US"/>
        </w:rPr>
        <w:t>pg</w:t>
      </w:r>
      <w:proofErr w:type="spellEnd"/>
      <w:r w:rsidRPr="0013124C">
        <w:rPr>
          <w:rFonts w:ascii="Times New Roman" w:hAnsi="Times New Roman" w:cs="Times New Roman"/>
          <w:sz w:val="24"/>
          <w:szCs w:val="24"/>
          <w:lang w:val="en-US"/>
        </w:rPr>
        <w:t>/ml</w:t>
      </w:r>
      <w:r w:rsidRPr="0013124C">
        <w:rPr>
          <w:rFonts w:ascii="Times New Roman" w:eastAsia="Times New Roman" w:hAnsi="Times New Roman" w:cs="Times New Roman"/>
          <w:sz w:val="24"/>
          <w:szCs w:val="24"/>
          <w:lang w:val="en-US" w:eastAsia="ru-RU"/>
        </w:rPr>
        <w:t>) were: I</w:t>
      </w:r>
      <w:r>
        <w:rPr>
          <w:rFonts w:ascii="Times New Roman" w:eastAsia="Times New Roman" w:hAnsi="Times New Roman" w:cs="Times New Roman"/>
          <w:sz w:val="24"/>
          <w:szCs w:val="24"/>
          <w:lang w:val="en-US" w:eastAsia="ru-RU"/>
        </w:rPr>
        <w:t>L</w:t>
      </w:r>
      <w:r w:rsidRPr="0013124C">
        <w:rPr>
          <w:rFonts w:ascii="Times New Roman" w:eastAsia="Times New Roman" w:hAnsi="Times New Roman" w:cs="Times New Roman"/>
          <w:sz w:val="24"/>
          <w:szCs w:val="24"/>
          <w:lang w:val="en-US" w:eastAsia="ru-RU"/>
        </w:rPr>
        <w:t xml:space="preserve">-23 </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 2</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2 [0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7</w:t>
      </w:r>
      <w:proofErr w:type="gramStart"/>
      <w:r w:rsidRPr="0013124C">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3</w:t>
      </w:r>
      <w:proofErr w:type="gramEnd"/>
      <w:r w:rsidRPr="0013124C">
        <w:rPr>
          <w:rFonts w:ascii="Times New Roman" w:eastAsia="Times New Roman" w:hAnsi="Times New Roman" w:cs="Times New Roman"/>
          <w:sz w:val="24"/>
          <w:szCs w:val="24"/>
          <w:lang w:val="en-US" w:eastAsia="ru-RU"/>
        </w:rPr>
        <w:t xml:space="preserve">]; IL-27 </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 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65 [0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51;0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93], I</w:t>
      </w:r>
      <w:r>
        <w:rPr>
          <w:rFonts w:ascii="Times New Roman" w:eastAsia="Times New Roman" w:hAnsi="Times New Roman" w:cs="Times New Roman"/>
          <w:sz w:val="24"/>
          <w:szCs w:val="24"/>
          <w:lang w:val="en-US" w:eastAsia="ru-RU"/>
        </w:rPr>
        <w:t>L</w:t>
      </w:r>
      <w:r w:rsidRPr="0013124C">
        <w:rPr>
          <w:rFonts w:ascii="Times New Roman" w:eastAsia="Times New Roman" w:hAnsi="Times New Roman" w:cs="Times New Roman"/>
          <w:sz w:val="24"/>
          <w:szCs w:val="24"/>
          <w:lang w:val="en-US" w:eastAsia="ru-RU"/>
        </w:rPr>
        <w:t xml:space="preserve">-22 </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 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07 [0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03;0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58], </w:t>
      </w:r>
      <w:proofErr w:type="spellStart"/>
      <w:r w:rsidRPr="00310B4F">
        <w:rPr>
          <w:rFonts w:ascii="Times New Roman" w:hAnsi="Times New Roman" w:cs="Times New Roman"/>
          <w:sz w:val="24"/>
          <w:szCs w:val="24"/>
          <w:lang w:val="en-US"/>
        </w:rPr>
        <w:t>I</w:t>
      </w:r>
      <w:r w:rsidRPr="00ED6F81">
        <w:rPr>
          <w:rFonts w:ascii="Times New Roman" w:hAnsi="Times New Roman" w:cs="Times New Roman"/>
          <w:sz w:val="24"/>
          <w:szCs w:val="24"/>
          <w:lang w:val="en-US"/>
        </w:rPr>
        <w:t>NF</w:t>
      </w:r>
      <w:r>
        <w:rPr>
          <w:rFonts w:ascii="Times New Roman" w:hAnsi="Times New Roman" w:cs="Times New Roman"/>
          <w:sz w:val="24"/>
          <w:szCs w:val="24"/>
          <w:lang w:val="en-US"/>
        </w:rPr>
        <w:t>γ</w:t>
      </w:r>
      <w:proofErr w:type="spellEnd"/>
      <w:r w:rsidRPr="0013124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30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3 [10</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3;38</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6], </w:t>
      </w:r>
      <w:r w:rsidRPr="0013124C">
        <w:rPr>
          <w:rFonts w:ascii="Times New Roman" w:hAnsi="Times New Roman" w:cs="Times New Roman"/>
          <w:sz w:val="24"/>
          <w:szCs w:val="24"/>
          <w:lang w:val="en-US"/>
        </w:rPr>
        <w:t>TNFα</w:t>
      </w:r>
      <w:r w:rsidRPr="0013124C">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36</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1 [5</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5;53</w:t>
      </w:r>
      <w:r>
        <w:rPr>
          <w:rFonts w:ascii="Times New Roman" w:eastAsia="Times New Roman" w:hAnsi="Times New Roman" w:cs="Times New Roman"/>
          <w:sz w:val="24"/>
          <w:szCs w:val="24"/>
          <w:lang w:val="en-US" w:eastAsia="ru-RU"/>
        </w:rPr>
        <w:t>.</w:t>
      </w:r>
      <w:r w:rsidRPr="0013124C">
        <w:rPr>
          <w:rFonts w:ascii="Times New Roman" w:eastAsia="Times New Roman" w:hAnsi="Times New Roman" w:cs="Times New Roman"/>
          <w:sz w:val="24"/>
          <w:szCs w:val="24"/>
          <w:lang w:val="en-US" w:eastAsia="ru-RU"/>
        </w:rPr>
        <w:t xml:space="preserve">6]. ROC analysis revealed good quality of the separation model for </w:t>
      </w:r>
      <w:r w:rsidRPr="0013124C">
        <w:rPr>
          <w:rFonts w:ascii="Times New Roman" w:hAnsi="Times New Roman" w:cs="Times New Roman"/>
          <w:sz w:val="24"/>
          <w:szCs w:val="24"/>
          <w:lang w:val="en-US"/>
        </w:rPr>
        <w:t>TNFα</w:t>
      </w:r>
      <w:r w:rsidRPr="0013124C">
        <w:rPr>
          <w:rFonts w:ascii="Times New Roman" w:eastAsia="Times New Roman" w:hAnsi="Times New Roman" w:cs="Times New Roman"/>
          <w:sz w:val="24"/>
          <w:szCs w:val="24"/>
          <w:lang w:val="en-US" w:eastAsia="ru-RU"/>
        </w:rPr>
        <w:t xml:space="preserve">, the cut-off level was 13.4 </w:t>
      </w:r>
      <w:proofErr w:type="spellStart"/>
      <w:r w:rsidRPr="0013124C">
        <w:rPr>
          <w:rFonts w:ascii="Times New Roman" w:hAnsi="Times New Roman" w:cs="Times New Roman"/>
          <w:sz w:val="24"/>
          <w:szCs w:val="24"/>
          <w:lang w:val="en-US"/>
        </w:rPr>
        <w:t>pg</w:t>
      </w:r>
      <w:proofErr w:type="spellEnd"/>
      <w:r w:rsidRPr="0013124C">
        <w:rPr>
          <w:rFonts w:ascii="Times New Roman" w:hAnsi="Times New Roman" w:cs="Times New Roman"/>
          <w:sz w:val="24"/>
          <w:szCs w:val="24"/>
          <w:lang w:val="en-US"/>
        </w:rPr>
        <w:t xml:space="preserve">/ml </w:t>
      </w:r>
      <w:r w:rsidRPr="0013124C">
        <w:rPr>
          <w:rFonts w:ascii="Times New Roman" w:eastAsia="Times New Roman" w:hAnsi="Times New Roman" w:cs="Times New Roman"/>
          <w:sz w:val="24"/>
          <w:szCs w:val="24"/>
          <w:lang w:val="en-US" w:eastAsia="ru-RU"/>
        </w:rPr>
        <w:t xml:space="preserve">(AUC=0.843; </w:t>
      </w:r>
      <w:r w:rsidRPr="0013124C">
        <w:rPr>
          <w:rFonts w:ascii="Times New Roman" w:hAnsi="Times New Roman" w:cs="Times New Roman"/>
          <w:sz w:val="24"/>
          <w:szCs w:val="24"/>
          <w:shd w:val="clear" w:color="auto" w:fill="FFFFFF"/>
          <w:lang w:val="en-US"/>
        </w:rPr>
        <w:t>Se</w:t>
      </w:r>
      <w:r w:rsidRPr="0013124C">
        <w:rPr>
          <w:rFonts w:ascii="Times New Roman" w:hAnsi="Times New Roman" w:cs="Times New Roman"/>
          <w:sz w:val="24"/>
          <w:szCs w:val="24"/>
          <w:lang w:val="en-US"/>
        </w:rPr>
        <w:t xml:space="preserve"> 77%, </w:t>
      </w:r>
      <w:proofErr w:type="spellStart"/>
      <w:r w:rsidRPr="0013124C">
        <w:rPr>
          <w:rFonts w:ascii="Times New Roman" w:hAnsi="Times New Roman" w:cs="Times New Roman"/>
          <w:sz w:val="24"/>
          <w:szCs w:val="24"/>
          <w:shd w:val="clear" w:color="auto" w:fill="FFFFFF"/>
          <w:lang w:val="en-US"/>
        </w:rPr>
        <w:t>Sp</w:t>
      </w:r>
      <w:proofErr w:type="spellEnd"/>
      <w:r w:rsidRPr="0013124C">
        <w:rPr>
          <w:rFonts w:ascii="Times New Roman" w:hAnsi="Times New Roman" w:cs="Times New Roman"/>
          <w:sz w:val="24"/>
          <w:szCs w:val="24"/>
          <w:lang w:val="en-US"/>
        </w:rPr>
        <w:t xml:space="preserve"> 79%</w:t>
      </w:r>
      <w:r w:rsidRPr="0013124C">
        <w:rPr>
          <w:rFonts w:ascii="Times New Roman" w:eastAsia="Times New Roman" w:hAnsi="Times New Roman" w:cs="Times New Roman"/>
          <w:sz w:val="24"/>
          <w:szCs w:val="24"/>
          <w:lang w:val="en-US" w:eastAsia="ru-RU"/>
        </w:rPr>
        <w:t>).</w:t>
      </w:r>
    </w:p>
    <w:p w:rsidR="00934AB9" w:rsidRPr="0013124C" w:rsidRDefault="00934AB9" w:rsidP="00934AB9">
      <w:pPr>
        <w:spacing w:after="0"/>
        <w:jc w:val="both"/>
        <w:rPr>
          <w:rFonts w:ascii="Times New Roman" w:eastAsia="Times New Roman" w:hAnsi="Times New Roman" w:cs="Times New Roman"/>
          <w:sz w:val="24"/>
          <w:szCs w:val="24"/>
          <w:lang w:val="en-US" w:eastAsia="ru-RU"/>
        </w:rPr>
      </w:pPr>
      <w:r w:rsidRPr="0013124C">
        <w:rPr>
          <w:rFonts w:ascii="Times New Roman" w:eastAsia="Times New Roman" w:hAnsi="Times New Roman" w:cs="Times New Roman"/>
          <w:sz w:val="24"/>
          <w:szCs w:val="24"/>
          <w:lang w:val="en-US" w:eastAsia="ru-RU"/>
        </w:rPr>
        <w:t>Conclusions</w:t>
      </w:r>
    </w:p>
    <w:p w:rsidR="00FF7E55" w:rsidRPr="00934AB9" w:rsidRDefault="00934AB9" w:rsidP="00046120">
      <w:pPr>
        <w:jc w:val="both"/>
        <w:rPr>
          <w:lang w:val="en-US"/>
        </w:rPr>
      </w:pPr>
      <w:r w:rsidRPr="0013124C">
        <w:rPr>
          <w:rFonts w:ascii="Times New Roman" w:hAnsi="Times New Roman" w:cs="Times New Roman"/>
          <w:sz w:val="24"/>
          <w:szCs w:val="24"/>
          <w:lang w:val="en-US"/>
        </w:rPr>
        <w:t xml:space="preserve">We have found that the reduction of the </w:t>
      </w:r>
      <w:r w:rsidR="009A7358" w:rsidRPr="0013124C">
        <w:rPr>
          <w:rFonts w:ascii="Times New Roman" w:hAnsi="Times New Roman" w:cs="Times New Roman"/>
          <w:sz w:val="24"/>
          <w:szCs w:val="24"/>
          <w:lang w:val="en-US"/>
        </w:rPr>
        <w:t xml:space="preserve">Q-IFX </w:t>
      </w:r>
      <w:r w:rsidRPr="0013124C">
        <w:rPr>
          <w:rFonts w:ascii="Times New Roman" w:hAnsi="Times New Roman" w:cs="Times New Roman"/>
          <w:sz w:val="24"/>
          <w:szCs w:val="24"/>
          <w:lang w:val="en-US"/>
        </w:rPr>
        <w:t xml:space="preserve">in children with UC </w:t>
      </w:r>
      <w:proofErr w:type="gramStart"/>
      <w:r w:rsidRPr="0013124C">
        <w:rPr>
          <w:rFonts w:ascii="Times New Roman" w:hAnsi="Times New Roman" w:cs="Times New Roman"/>
          <w:sz w:val="24"/>
          <w:szCs w:val="24"/>
          <w:lang w:val="en-US"/>
        </w:rPr>
        <w:t>below 2.55 µg/ml</w:t>
      </w:r>
      <w:proofErr w:type="gramEnd"/>
      <w:r w:rsidRPr="0013124C">
        <w:rPr>
          <w:rFonts w:ascii="Times New Roman" w:hAnsi="Times New Roman" w:cs="Times New Roman"/>
          <w:sz w:val="24"/>
          <w:szCs w:val="24"/>
          <w:lang w:val="en-US"/>
        </w:rPr>
        <w:t xml:space="preserve"> and in children with CD below 2.21 µg/ml, leads to the loss of the therapy effect and can indirectly cause exacerbation of the disease. These findings correlate with the results obtained in adults (</w:t>
      </w:r>
      <w:r w:rsidR="009A7358">
        <w:rPr>
          <w:rFonts w:ascii="Times New Roman" w:hAnsi="Times New Roman" w:cs="Times New Roman"/>
          <w:sz w:val="24"/>
          <w:szCs w:val="24"/>
          <w:lang w:val="en-US"/>
        </w:rPr>
        <w:t>&gt;</w:t>
      </w:r>
      <w:r w:rsidRPr="0013124C">
        <w:rPr>
          <w:rFonts w:ascii="Times New Roman" w:hAnsi="Times New Roman" w:cs="Times New Roman"/>
          <w:sz w:val="24"/>
          <w:szCs w:val="24"/>
          <w:lang w:val="en-US"/>
        </w:rPr>
        <w:t>2 µg/ml, C. Moore at al</w:t>
      </w:r>
      <w:r w:rsidR="00761C24">
        <w:rPr>
          <w:rFonts w:ascii="Times New Roman" w:hAnsi="Times New Roman" w:cs="Times New Roman"/>
          <w:sz w:val="24"/>
          <w:szCs w:val="24"/>
          <w:lang w:val="en-US"/>
        </w:rPr>
        <w:t>l</w:t>
      </w:r>
      <w:r w:rsidRPr="0013124C">
        <w:rPr>
          <w:rFonts w:ascii="Times New Roman" w:hAnsi="Times New Roman" w:cs="Times New Roman"/>
          <w:sz w:val="24"/>
          <w:szCs w:val="24"/>
          <w:lang w:val="en-US"/>
        </w:rPr>
        <w:t xml:space="preserve">, 2016). TNFα level (&gt;13.4 </w:t>
      </w:r>
      <w:proofErr w:type="spellStart"/>
      <w:r w:rsidRPr="0013124C">
        <w:rPr>
          <w:rFonts w:ascii="Times New Roman" w:hAnsi="Times New Roman" w:cs="Times New Roman"/>
          <w:sz w:val="24"/>
          <w:szCs w:val="24"/>
          <w:lang w:val="en-US"/>
        </w:rPr>
        <w:t>pg</w:t>
      </w:r>
      <w:proofErr w:type="spellEnd"/>
      <w:r w:rsidRPr="0013124C">
        <w:rPr>
          <w:rFonts w:ascii="Times New Roman" w:hAnsi="Times New Roman" w:cs="Times New Roman"/>
          <w:sz w:val="24"/>
          <w:szCs w:val="24"/>
          <w:lang w:val="en-US"/>
        </w:rPr>
        <w:t>/ml) can act as a biomarker of loss of effect from IFX.  Elevated leve</w:t>
      </w:r>
      <w:r w:rsidR="00046120">
        <w:rPr>
          <w:rFonts w:ascii="Times New Roman" w:hAnsi="Times New Roman" w:cs="Times New Roman"/>
          <w:sz w:val="24"/>
          <w:szCs w:val="24"/>
          <w:lang w:val="en-US"/>
        </w:rPr>
        <w:t xml:space="preserve">ls of </w:t>
      </w:r>
      <w:proofErr w:type="spellStart"/>
      <w:r w:rsidR="00046120">
        <w:rPr>
          <w:rFonts w:ascii="Times New Roman" w:hAnsi="Times New Roman" w:cs="Times New Roman"/>
          <w:sz w:val="24"/>
          <w:szCs w:val="24"/>
          <w:lang w:val="en-US"/>
        </w:rPr>
        <w:t>proinflammatory</w:t>
      </w:r>
      <w:proofErr w:type="spellEnd"/>
      <w:r w:rsidR="00046120">
        <w:rPr>
          <w:rFonts w:ascii="Times New Roman" w:hAnsi="Times New Roman" w:cs="Times New Roman"/>
          <w:sz w:val="24"/>
          <w:szCs w:val="24"/>
          <w:lang w:val="en-US"/>
        </w:rPr>
        <w:t xml:space="preserve"> cytokines</w:t>
      </w:r>
      <w:r w:rsidRPr="0013124C">
        <w:rPr>
          <w:rFonts w:ascii="Times New Roman" w:hAnsi="Times New Roman" w:cs="Times New Roman"/>
          <w:sz w:val="24"/>
          <w:szCs w:val="24"/>
          <w:lang w:val="en-US"/>
        </w:rPr>
        <w:t xml:space="preserve"> correlates with the lower </w:t>
      </w:r>
      <w:r w:rsidR="009A7358" w:rsidRPr="0013124C">
        <w:rPr>
          <w:rFonts w:ascii="Times New Roman" w:hAnsi="Times New Roman" w:cs="Times New Roman"/>
          <w:sz w:val="24"/>
          <w:szCs w:val="24"/>
          <w:lang w:val="en-US"/>
        </w:rPr>
        <w:t xml:space="preserve">Q-IFX </w:t>
      </w:r>
      <w:r w:rsidRPr="0013124C">
        <w:rPr>
          <w:rFonts w:ascii="Times New Roman" w:hAnsi="Times New Roman" w:cs="Times New Roman"/>
          <w:sz w:val="24"/>
          <w:szCs w:val="24"/>
          <w:lang w:val="en-US"/>
        </w:rPr>
        <w:t xml:space="preserve">and </w:t>
      </w:r>
      <w:r w:rsidRPr="0013124C">
        <w:rPr>
          <w:rFonts w:ascii="Times New Roman" w:hAnsi="Times New Roman" w:cs="Times New Roman"/>
          <w:sz w:val="24"/>
          <w:szCs w:val="24"/>
          <w:lang w:val="en-US"/>
        </w:rPr>
        <w:lastRenderedPageBreak/>
        <w:t>loss of the therapy effect. Young children require regular control of the residual level of IFX and antibodies for a timely corrective therapy.</w:t>
      </w:r>
    </w:p>
    <w:sectPr w:rsidR="00FF7E55" w:rsidRPr="00934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B9"/>
    <w:rsid w:val="000062F4"/>
    <w:rsid w:val="00026890"/>
    <w:rsid w:val="00046120"/>
    <w:rsid w:val="0038521C"/>
    <w:rsid w:val="004A5D3D"/>
    <w:rsid w:val="00761C24"/>
    <w:rsid w:val="00815C44"/>
    <w:rsid w:val="00934AB9"/>
    <w:rsid w:val="009A7358"/>
    <w:rsid w:val="00BA5E3F"/>
    <w:rsid w:val="00E81097"/>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LabUser</cp:lastModifiedBy>
  <cp:revision>2</cp:revision>
  <dcterms:created xsi:type="dcterms:W3CDTF">2018-10-22T14:32:00Z</dcterms:created>
  <dcterms:modified xsi:type="dcterms:W3CDTF">2018-10-22T14:32:00Z</dcterms:modified>
</cp:coreProperties>
</file>