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FEE0D" w14:textId="77777777" w:rsidR="00AD0438" w:rsidRPr="00DF7C4C" w:rsidRDefault="00AD0438" w:rsidP="00AD0438">
      <w:pPr>
        <w:shd w:val="clear" w:color="auto" w:fill="FFFFFF"/>
        <w:spacing w:after="0" w:line="270" w:lineRule="atLeast"/>
        <w:textAlignment w:val="baseline"/>
        <w:rPr>
          <w:rFonts w:ascii="inherit" w:eastAsia="Times New Roman" w:hAnsi="inherit" w:cs="Arial"/>
          <w:color w:val="000000"/>
          <w:sz w:val="18"/>
          <w:szCs w:val="18"/>
        </w:rPr>
      </w:pPr>
    </w:p>
    <w:tbl>
      <w:tblPr>
        <w:tblStyle w:val="TableGrid"/>
        <w:tblW w:w="0" w:type="auto"/>
        <w:tblLook w:val="04A0" w:firstRow="1" w:lastRow="0" w:firstColumn="1" w:lastColumn="0" w:noHBand="0" w:noVBand="1"/>
      </w:tblPr>
      <w:tblGrid>
        <w:gridCol w:w="9350"/>
      </w:tblGrid>
      <w:tr w:rsidR="00AD0438" w:rsidRPr="006F5CC7" w14:paraId="4D408837" w14:textId="77777777" w:rsidTr="00AD0438">
        <w:tc>
          <w:tcPr>
            <w:tcW w:w="9576" w:type="dxa"/>
          </w:tcPr>
          <w:p w14:paraId="771C63AD" w14:textId="77777777" w:rsidR="00AD0438" w:rsidRPr="006F5CC7" w:rsidRDefault="00B12DCA">
            <w:pPr>
              <w:rPr>
                <w:rFonts w:ascii="Verdana" w:hAnsi="Verdana"/>
                <w:b/>
              </w:rPr>
            </w:pPr>
            <w:r w:rsidRPr="006F5CC7">
              <w:rPr>
                <w:rFonts w:ascii="Verdana" w:hAnsi="Verdana"/>
                <w:b/>
              </w:rPr>
              <w:t>Contact details:</w:t>
            </w:r>
            <w:r w:rsidR="00525FAB">
              <w:rPr>
                <w:rFonts w:ascii="Verdana" w:hAnsi="Verdana"/>
                <w:b/>
              </w:rPr>
              <w:t xml:space="preserve"> Séverine Giltaire</w:t>
            </w:r>
          </w:p>
          <w:p w14:paraId="1728E6E6" w14:textId="77777777" w:rsidR="00B12DCA" w:rsidRPr="00525FAB" w:rsidRDefault="00B12DCA" w:rsidP="00525FAB">
            <w:pPr>
              <w:jc w:val="both"/>
              <w:rPr>
                <w:vertAlign w:val="superscript"/>
              </w:rPr>
            </w:pPr>
            <w:r w:rsidRPr="006F5CC7">
              <w:rPr>
                <w:rFonts w:ascii="Verdana" w:hAnsi="Verdana"/>
              </w:rPr>
              <w:t>Name:</w:t>
            </w:r>
            <w:r w:rsidR="00525FAB">
              <w:t xml:space="preserve"> Séverine Giltaire</w:t>
            </w:r>
            <w:r w:rsidR="00525FAB" w:rsidRPr="00243193">
              <w:rPr>
                <w:vertAlign w:val="superscript"/>
              </w:rPr>
              <w:t>1</w:t>
            </w:r>
            <w:r w:rsidR="00525FAB">
              <w:t>, Chloé Ackaert</w:t>
            </w:r>
            <w:r w:rsidR="00525FAB" w:rsidRPr="00243193">
              <w:rPr>
                <w:vertAlign w:val="superscript"/>
              </w:rPr>
              <w:t>1</w:t>
            </w:r>
            <w:r w:rsidR="00525FAB">
              <w:t xml:space="preserve"> and Sofie Pattijn</w:t>
            </w:r>
            <w:r w:rsidR="00525FAB" w:rsidRPr="00243193">
              <w:rPr>
                <w:vertAlign w:val="superscript"/>
              </w:rPr>
              <w:t>1</w:t>
            </w:r>
          </w:p>
          <w:p w14:paraId="172ED38F" w14:textId="77777777" w:rsidR="00B12DCA" w:rsidRPr="006F5CC7" w:rsidRDefault="00B12DCA">
            <w:pPr>
              <w:rPr>
                <w:rFonts w:ascii="Verdana" w:hAnsi="Verdana"/>
              </w:rPr>
            </w:pPr>
            <w:r w:rsidRPr="006F5CC7">
              <w:rPr>
                <w:rFonts w:ascii="Verdana" w:hAnsi="Verdana"/>
              </w:rPr>
              <w:t>Institute/ Organization:</w:t>
            </w:r>
            <w:r w:rsidR="00525FAB">
              <w:rPr>
                <w:rFonts w:ascii="Verdana" w:hAnsi="Verdana"/>
              </w:rPr>
              <w:t xml:space="preserve"> </w:t>
            </w:r>
            <w:proofErr w:type="spellStart"/>
            <w:r w:rsidR="00525FAB">
              <w:rPr>
                <w:rFonts w:ascii="Verdana" w:hAnsi="Verdana"/>
              </w:rPr>
              <w:t>ImmunXperts</w:t>
            </w:r>
            <w:proofErr w:type="spellEnd"/>
          </w:p>
          <w:p w14:paraId="7A76CBCB" w14:textId="77777777" w:rsidR="006F5CC7" w:rsidRPr="007746DC" w:rsidRDefault="007746DC">
            <w:pPr>
              <w:rPr>
                <w:rFonts w:ascii="Verdana" w:hAnsi="Verdana"/>
                <w:b/>
              </w:rPr>
            </w:pPr>
            <w:r>
              <w:rPr>
                <w:rFonts w:ascii="Verdana" w:hAnsi="Verdana"/>
                <w:b/>
              </w:rPr>
              <w:t>Address</w:t>
            </w:r>
          </w:p>
          <w:p w14:paraId="3A752973" w14:textId="77777777" w:rsidR="007746DC" w:rsidRDefault="007746DC">
            <w:pPr>
              <w:rPr>
                <w:rFonts w:ascii="Verdana" w:hAnsi="Verdana"/>
              </w:rPr>
            </w:pPr>
            <w:r>
              <w:rPr>
                <w:rFonts w:ascii="Verdana" w:hAnsi="Verdana"/>
              </w:rPr>
              <w:t>Street:</w:t>
            </w:r>
            <w:r w:rsidR="00525FAB">
              <w:rPr>
                <w:rFonts w:ascii="Verdana" w:hAnsi="Verdana"/>
              </w:rPr>
              <w:t xml:space="preserve"> Auguste Piccard 48 </w:t>
            </w:r>
            <w:proofErr w:type="spellStart"/>
            <w:r w:rsidR="00525FAB">
              <w:rPr>
                <w:rFonts w:ascii="Verdana" w:hAnsi="Verdana"/>
              </w:rPr>
              <w:t>Gosselies</w:t>
            </w:r>
            <w:proofErr w:type="spellEnd"/>
          </w:p>
          <w:p w14:paraId="3BC4009C" w14:textId="77777777" w:rsidR="006F5CC7" w:rsidRDefault="007746DC">
            <w:pPr>
              <w:rPr>
                <w:rFonts w:ascii="Verdana" w:hAnsi="Verdana"/>
              </w:rPr>
            </w:pPr>
            <w:r>
              <w:rPr>
                <w:rFonts w:ascii="Verdana" w:hAnsi="Verdana"/>
              </w:rPr>
              <w:t>Postal code:</w:t>
            </w:r>
            <w:r w:rsidR="00525FAB">
              <w:rPr>
                <w:rFonts w:ascii="Verdana" w:hAnsi="Verdana"/>
              </w:rPr>
              <w:t xml:space="preserve"> 6041</w:t>
            </w:r>
          </w:p>
          <w:p w14:paraId="695846B9" w14:textId="77777777" w:rsidR="007746DC" w:rsidRPr="006F5CC7" w:rsidRDefault="007746DC">
            <w:pPr>
              <w:rPr>
                <w:rFonts w:ascii="Verdana" w:hAnsi="Verdana"/>
              </w:rPr>
            </w:pPr>
            <w:r>
              <w:rPr>
                <w:rFonts w:ascii="Verdana" w:hAnsi="Verdana"/>
              </w:rPr>
              <w:t>Country:</w:t>
            </w:r>
            <w:r w:rsidR="00525FAB">
              <w:rPr>
                <w:rFonts w:ascii="Verdana" w:hAnsi="Verdana"/>
              </w:rPr>
              <w:t xml:space="preserve"> Belgium</w:t>
            </w:r>
          </w:p>
          <w:p w14:paraId="7A9E102E" w14:textId="77777777" w:rsidR="006F5CC7" w:rsidRPr="006F5CC7" w:rsidRDefault="007746DC">
            <w:pPr>
              <w:rPr>
                <w:rFonts w:ascii="Verdana" w:hAnsi="Verdana"/>
              </w:rPr>
            </w:pPr>
            <w:r w:rsidRPr="006F5CC7">
              <w:rPr>
                <w:rFonts w:ascii="Verdana" w:hAnsi="Verdana"/>
              </w:rPr>
              <w:t>Phone number</w:t>
            </w:r>
            <w:r w:rsidR="006F5CC7" w:rsidRPr="006F5CC7">
              <w:rPr>
                <w:rFonts w:ascii="Verdana" w:hAnsi="Verdana"/>
              </w:rPr>
              <w:t>:</w:t>
            </w:r>
            <w:r w:rsidR="00525FAB">
              <w:rPr>
                <w:rFonts w:ascii="Verdana" w:hAnsi="Verdana"/>
              </w:rPr>
              <w:t>0032479296184</w:t>
            </w:r>
          </w:p>
          <w:p w14:paraId="1CDFA0E9" w14:textId="77777777" w:rsidR="007746DC" w:rsidRPr="006F5CC7" w:rsidRDefault="00B12DCA">
            <w:pPr>
              <w:rPr>
                <w:rFonts w:ascii="Verdana" w:hAnsi="Verdana"/>
              </w:rPr>
            </w:pPr>
            <w:r w:rsidRPr="006F5CC7">
              <w:rPr>
                <w:rFonts w:ascii="Verdana" w:hAnsi="Verdana"/>
              </w:rPr>
              <w:t xml:space="preserve">Email </w:t>
            </w:r>
            <w:proofErr w:type="gramStart"/>
            <w:r w:rsidRPr="006F5CC7">
              <w:rPr>
                <w:rFonts w:ascii="Verdana" w:hAnsi="Verdana"/>
              </w:rPr>
              <w:t>address:</w:t>
            </w:r>
            <w:r w:rsidR="00525FAB">
              <w:rPr>
                <w:rFonts w:ascii="Verdana" w:hAnsi="Verdana"/>
              </w:rPr>
              <w:t>severine.giltaire@immunxperts.com</w:t>
            </w:r>
            <w:proofErr w:type="gramEnd"/>
          </w:p>
          <w:p w14:paraId="4A2CC936" w14:textId="77777777" w:rsidR="00AD0438" w:rsidRDefault="00AD0438">
            <w:pPr>
              <w:rPr>
                <w:rFonts w:ascii="Verdana" w:hAnsi="Verdana"/>
              </w:rPr>
            </w:pPr>
          </w:p>
          <w:p w14:paraId="332FE9CB" w14:textId="77777777" w:rsidR="005F50AE" w:rsidRPr="006F5CC7" w:rsidRDefault="005F50AE" w:rsidP="005F50AE">
            <w:pPr>
              <w:rPr>
                <w:rFonts w:ascii="Verdana" w:hAnsi="Verdana"/>
              </w:rPr>
            </w:pPr>
          </w:p>
          <w:p w14:paraId="5028EE08" w14:textId="77777777" w:rsidR="005F50AE" w:rsidRPr="006F5CC7" w:rsidRDefault="005F50AE">
            <w:pPr>
              <w:rPr>
                <w:rFonts w:ascii="Verdana" w:hAnsi="Verdana"/>
              </w:rPr>
            </w:pPr>
          </w:p>
        </w:tc>
      </w:tr>
      <w:tr w:rsidR="00B12DCA" w:rsidRPr="006F5CC7" w14:paraId="44145800" w14:textId="77777777" w:rsidTr="00B12DCA">
        <w:tc>
          <w:tcPr>
            <w:tcW w:w="9576" w:type="dxa"/>
          </w:tcPr>
          <w:p w14:paraId="3FB6819E" w14:textId="77777777" w:rsidR="00B12DCA" w:rsidRPr="00525FAB" w:rsidRDefault="00B12DCA" w:rsidP="00525FAB">
            <w:pPr>
              <w:jc w:val="both"/>
              <w:rPr>
                <w:b/>
                <w:bCs/>
              </w:rPr>
            </w:pPr>
            <w:r w:rsidRPr="006F5CC7">
              <w:rPr>
                <w:rFonts w:ascii="Verdana" w:hAnsi="Verdana"/>
                <w:b/>
                <w:sz w:val="28"/>
                <w:szCs w:val="28"/>
              </w:rPr>
              <w:t xml:space="preserve">Title: </w:t>
            </w:r>
            <w:bookmarkStart w:id="0" w:name="_GoBack"/>
            <w:r w:rsidR="00525FAB">
              <w:rPr>
                <w:b/>
                <w:bCs/>
              </w:rPr>
              <w:t xml:space="preserve">Cytokine detection and measurement with Multiplex Technologies in the context of a </w:t>
            </w:r>
            <w:r w:rsidR="00525FAB" w:rsidRPr="009C3136">
              <w:rPr>
                <w:b/>
                <w:bCs/>
              </w:rPr>
              <w:t xml:space="preserve">cytokine secretion assay </w:t>
            </w:r>
            <w:bookmarkEnd w:id="0"/>
          </w:p>
          <w:p w14:paraId="579769DB" w14:textId="77777777" w:rsidR="00B12DCA" w:rsidRPr="006F5CC7" w:rsidRDefault="00B12DCA" w:rsidP="00A2331F">
            <w:pPr>
              <w:rPr>
                <w:rFonts w:ascii="Verdana" w:hAnsi="Verdana"/>
              </w:rPr>
            </w:pPr>
          </w:p>
          <w:p w14:paraId="66C4E021" w14:textId="77777777" w:rsidR="006F5CC7" w:rsidRPr="007746DC" w:rsidRDefault="006F5CC7" w:rsidP="00A2331F">
            <w:pPr>
              <w:rPr>
                <w:rFonts w:ascii="Verdana" w:hAnsi="Verdana"/>
                <w:sz w:val="24"/>
                <w:szCs w:val="24"/>
              </w:rPr>
            </w:pPr>
          </w:p>
          <w:p w14:paraId="29D74F92" w14:textId="77777777" w:rsidR="00B12DCA" w:rsidRPr="006F5CC7" w:rsidRDefault="00B12DCA" w:rsidP="00A2331F">
            <w:pPr>
              <w:rPr>
                <w:rFonts w:ascii="Verdana" w:hAnsi="Verdana"/>
              </w:rPr>
            </w:pPr>
          </w:p>
        </w:tc>
      </w:tr>
      <w:tr w:rsidR="00B12DCA" w:rsidRPr="006F5CC7" w14:paraId="4C761F6C" w14:textId="77777777" w:rsidTr="00B12DCA">
        <w:tc>
          <w:tcPr>
            <w:tcW w:w="9576" w:type="dxa"/>
          </w:tcPr>
          <w:p w14:paraId="5B80C82C" w14:textId="77777777" w:rsidR="00B12DCA" w:rsidRPr="006F5CC7" w:rsidRDefault="00B12DCA" w:rsidP="00A2331F">
            <w:pPr>
              <w:rPr>
                <w:rFonts w:ascii="Verdana" w:hAnsi="Verdana"/>
              </w:rPr>
            </w:pPr>
          </w:p>
          <w:p w14:paraId="768C2775" w14:textId="77777777" w:rsidR="00B12DCA" w:rsidRPr="006F5CC7" w:rsidRDefault="00B12DCA" w:rsidP="00A2331F">
            <w:pPr>
              <w:rPr>
                <w:rFonts w:ascii="Verdana" w:hAnsi="Verdana"/>
              </w:rPr>
            </w:pPr>
          </w:p>
          <w:p w14:paraId="79D2ADC9" w14:textId="77777777" w:rsidR="00525FAB" w:rsidRPr="00525FAB" w:rsidRDefault="00525FAB" w:rsidP="00525FAB">
            <w:pPr>
              <w:rPr>
                <w:rFonts w:ascii="Verdana" w:hAnsi="Verdana"/>
              </w:rPr>
            </w:pPr>
            <w:r w:rsidRPr="00525FAB">
              <w:rPr>
                <w:rFonts w:ascii="Verdana" w:hAnsi="Verdana"/>
              </w:rPr>
              <w:t xml:space="preserve">The cytokine release syndrome, also called cytokine storm, is an adverse drug reaction which can occur after treatment with biologics, as well as </w:t>
            </w:r>
            <w:hyperlink r:id="rId6" w:anchor="Adoptive_T-cell_therapy" w:tooltip="Cancer immunotherapy" w:history="1">
              <w:r w:rsidRPr="00525FAB">
                <w:rPr>
                  <w:rStyle w:val="Hyperlink"/>
                  <w:rFonts w:ascii="Verdana" w:hAnsi="Verdana"/>
                  <w:color w:val="auto"/>
                  <w:u w:val="none"/>
                </w:rPr>
                <w:t>adoptive T-cell therapies</w:t>
              </w:r>
            </w:hyperlink>
            <w:r w:rsidRPr="00525FAB">
              <w:rPr>
                <w:rFonts w:ascii="Verdana" w:hAnsi="Verdana"/>
              </w:rPr>
              <w:t xml:space="preserve">. This adverse event is characterized by a strong systemic immune response due to the rapid release of several inflammatory mediators. Up to 150 different mediators can be involved in CRS, such as cytokines, chemokines, oxygen radicals, complement coagulation or factors. The release of these mediators is the result of an uncontrolled activation of several immune cell types, including monocytes, macrophages, T and B lymphocytes. </w:t>
            </w:r>
          </w:p>
          <w:p w14:paraId="2261E2A5" w14:textId="77777777" w:rsidR="00B12DCA" w:rsidRPr="00525FAB" w:rsidRDefault="00525FAB" w:rsidP="00525FAB">
            <w:pPr>
              <w:rPr>
                <w:rFonts w:ascii="Verdana" w:hAnsi="Verdana"/>
              </w:rPr>
            </w:pPr>
            <w:r w:rsidRPr="00525FAB">
              <w:rPr>
                <w:rFonts w:ascii="Verdana" w:hAnsi="Verdana"/>
              </w:rPr>
              <w:t xml:space="preserve">Following the </w:t>
            </w:r>
            <w:hyperlink r:id="rId7" w:tooltip="Learn more about TGN1412" w:history="1">
              <w:r w:rsidRPr="00525FAB">
                <w:rPr>
                  <w:rStyle w:val="Hyperlink"/>
                  <w:rFonts w:ascii="Verdana" w:hAnsi="Verdana"/>
                  <w:color w:val="auto"/>
                  <w:u w:val="none"/>
                </w:rPr>
                <w:t>TGN 1412</w:t>
              </w:r>
            </w:hyperlink>
            <w:r w:rsidRPr="00525FAB">
              <w:rPr>
                <w:rFonts w:ascii="Verdana" w:hAnsi="Verdana"/>
              </w:rPr>
              <w:t xml:space="preserve"> incident, testing for </w:t>
            </w:r>
            <w:hyperlink r:id="rId8" w:tooltip="Learn more about Cytokine" w:history="1">
              <w:r w:rsidRPr="00525FAB">
                <w:rPr>
                  <w:rStyle w:val="Hyperlink"/>
                  <w:rFonts w:ascii="Verdana" w:hAnsi="Verdana"/>
                  <w:color w:val="auto"/>
                  <w:u w:val="none"/>
                </w:rPr>
                <w:t>cytokine</w:t>
              </w:r>
            </w:hyperlink>
            <w:r w:rsidRPr="00525FAB">
              <w:rPr>
                <w:rFonts w:ascii="Verdana" w:hAnsi="Verdana"/>
              </w:rPr>
              <w:t xml:space="preserve"> release-inducing activity has been increasingly included in the nonclinical studies conducted to support clinical testing of </w:t>
            </w:r>
            <w:hyperlink r:id="rId9" w:tooltip="Learn more about Monoclonal antibody" w:history="1">
              <w:proofErr w:type="spellStart"/>
              <w:r w:rsidRPr="00525FAB">
                <w:rPr>
                  <w:rStyle w:val="Hyperlink"/>
                  <w:rFonts w:ascii="Verdana" w:hAnsi="Verdana"/>
                  <w:color w:val="auto"/>
                  <w:u w:val="none"/>
                </w:rPr>
                <w:t>mAbs</w:t>
              </w:r>
              <w:proofErr w:type="spellEnd"/>
            </w:hyperlink>
            <w:r w:rsidRPr="00525FAB">
              <w:rPr>
                <w:rFonts w:ascii="Verdana" w:hAnsi="Verdana"/>
              </w:rPr>
              <w:t xml:space="preserve"> or other therapies. The test molecules’ potential to induce a cytokine release response can be assessed in vitro using a Whole Blood Assay (WBA) or a PBMC cell activation assay and measurement of a set of cytokines in the plasma or supernatant (TNF-α, IL-2, IL-8, IFN-γ, IL-6, IL- 10) with Multiplex Technologies. Certain cytokines, called early phase cytokines such as TNF-α, IL-2, IL-8, are first released. They are followed by a second wave of cytokines, called late phase cytokines, comprising of IFN-γ, IL-6, IL- 10.  Also, the incubation time in this assay is critical to assess the cytokine of interest and assays should be customized considering the degree of knowledge of the mechanism of action of the product</w:t>
            </w:r>
          </w:p>
          <w:p w14:paraId="204099B4" w14:textId="77777777" w:rsidR="00B12DCA" w:rsidRPr="006F5CC7" w:rsidRDefault="00B12DCA" w:rsidP="00A2331F">
            <w:pPr>
              <w:rPr>
                <w:rFonts w:ascii="Verdana" w:hAnsi="Verdana"/>
              </w:rPr>
            </w:pPr>
          </w:p>
          <w:p w14:paraId="695545FC" w14:textId="77777777" w:rsidR="00B12DCA" w:rsidRPr="006F5CC7" w:rsidRDefault="00B12DCA" w:rsidP="00A2331F">
            <w:pPr>
              <w:rPr>
                <w:rFonts w:ascii="Verdana" w:hAnsi="Verdana"/>
              </w:rPr>
            </w:pPr>
          </w:p>
          <w:p w14:paraId="076ACC36" w14:textId="77777777" w:rsidR="00B12DCA" w:rsidRPr="006F5CC7" w:rsidRDefault="00B12DCA" w:rsidP="00A2331F">
            <w:pPr>
              <w:rPr>
                <w:rFonts w:ascii="Verdana" w:hAnsi="Verdana"/>
              </w:rPr>
            </w:pPr>
          </w:p>
          <w:p w14:paraId="2728EA2B" w14:textId="77777777" w:rsidR="00B12DCA" w:rsidRPr="006F5CC7" w:rsidRDefault="00B12DCA" w:rsidP="00A2331F">
            <w:pPr>
              <w:rPr>
                <w:rFonts w:ascii="Verdana" w:hAnsi="Verdana"/>
              </w:rPr>
            </w:pPr>
          </w:p>
          <w:p w14:paraId="67AC3016" w14:textId="77777777" w:rsidR="00B12DCA" w:rsidRPr="006F5CC7" w:rsidRDefault="00B12DCA" w:rsidP="00A2331F">
            <w:pPr>
              <w:rPr>
                <w:rFonts w:ascii="Verdana" w:hAnsi="Verdana"/>
              </w:rPr>
            </w:pPr>
          </w:p>
          <w:p w14:paraId="53BDAC3C" w14:textId="77777777" w:rsidR="00B12DCA" w:rsidRPr="006F5CC7" w:rsidRDefault="00B12DCA" w:rsidP="00A2331F">
            <w:pPr>
              <w:rPr>
                <w:rFonts w:ascii="Verdana" w:hAnsi="Verdana"/>
              </w:rPr>
            </w:pPr>
          </w:p>
          <w:p w14:paraId="2E855762" w14:textId="77777777" w:rsidR="00B12DCA" w:rsidRPr="006F5CC7" w:rsidRDefault="00B12DCA" w:rsidP="00A2331F">
            <w:pPr>
              <w:rPr>
                <w:rFonts w:ascii="Verdana" w:hAnsi="Verdana"/>
              </w:rPr>
            </w:pPr>
          </w:p>
        </w:tc>
      </w:tr>
    </w:tbl>
    <w:p w14:paraId="6AA03D63" w14:textId="77777777" w:rsidR="00AD0438" w:rsidRDefault="00AD0438" w:rsidP="00AD0438"/>
    <w:sectPr w:rsidR="00AD0438" w:rsidSect="00AD0438">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417A2"/>
    <w:multiLevelType w:val="multilevel"/>
    <w:tmpl w:val="D26AD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64E4B"/>
    <w:multiLevelType w:val="hybridMultilevel"/>
    <w:tmpl w:val="C4DC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B87EF4"/>
    <w:multiLevelType w:val="hybridMultilevel"/>
    <w:tmpl w:val="4A56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4C"/>
    <w:rsid w:val="003249DE"/>
    <w:rsid w:val="004227FC"/>
    <w:rsid w:val="00525FAB"/>
    <w:rsid w:val="005F50AE"/>
    <w:rsid w:val="0063006C"/>
    <w:rsid w:val="006D2150"/>
    <w:rsid w:val="006F5CC7"/>
    <w:rsid w:val="00713DBC"/>
    <w:rsid w:val="007652B1"/>
    <w:rsid w:val="007746DC"/>
    <w:rsid w:val="00873826"/>
    <w:rsid w:val="008C387C"/>
    <w:rsid w:val="00913290"/>
    <w:rsid w:val="00A627B6"/>
    <w:rsid w:val="00A72D7C"/>
    <w:rsid w:val="00A73EA6"/>
    <w:rsid w:val="00AD0438"/>
    <w:rsid w:val="00B12DCA"/>
    <w:rsid w:val="00C139B9"/>
    <w:rsid w:val="00DF7C4C"/>
    <w:rsid w:val="00E0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3C39"/>
  <w15:docId w15:val="{21644BE4-7787-4284-80A6-F2E72B96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7C4C"/>
  </w:style>
  <w:style w:type="table" w:styleId="TableGrid">
    <w:name w:val="Table Grid"/>
    <w:basedOn w:val="TableNormal"/>
    <w:uiPriority w:val="59"/>
    <w:rsid w:val="00AD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438"/>
    <w:pPr>
      <w:ind w:left="720"/>
      <w:contextualSpacing/>
    </w:pPr>
  </w:style>
  <w:style w:type="paragraph" w:styleId="NormalWeb">
    <w:name w:val="Normal (Web)"/>
    <w:basedOn w:val="Normal"/>
    <w:uiPriority w:val="99"/>
    <w:semiHidden/>
    <w:unhideWhenUsed/>
    <w:rsid w:val="00AD04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0438"/>
    <w:rPr>
      <w:color w:val="0000FF"/>
      <w:u w:val="single"/>
    </w:rPr>
  </w:style>
  <w:style w:type="character" w:styleId="Strong">
    <w:name w:val="Strong"/>
    <w:basedOn w:val="DefaultParagraphFont"/>
    <w:uiPriority w:val="22"/>
    <w:qFormat/>
    <w:rsid w:val="00AD0438"/>
    <w:rPr>
      <w:b/>
      <w:bCs/>
    </w:rPr>
  </w:style>
  <w:style w:type="character" w:styleId="UnresolvedMention">
    <w:name w:val="Unresolved Mention"/>
    <w:basedOn w:val="DefaultParagraphFont"/>
    <w:uiPriority w:val="99"/>
    <w:semiHidden/>
    <w:unhideWhenUsed/>
    <w:rsid w:val="00525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111505">
      <w:bodyDiv w:val="1"/>
      <w:marLeft w:val="0"/>
      <w:marRight w:val="0"/>
      <w:marTop w:val="0"/>
      <w:marBottom w:val="0"/>
      <w:divBdr>
        <w:top w:val="none" w:sz="0" w:space="0" w:color="auto"/>
        <w:left w:val="none" w:sz="0" w:space="0" w:color="auto"/>
        <w:bottom w:val="none" w:sz="0" w:space="0" w:color="auto"/>
        <w:right w:val="none" w:sz="0" w:space="0" w:color="auto"/>
      </w:divBdr>
    </w:div>
    <w:div w:id="852304300">
      <w:bodyDiv w:val="1"/>
      <w:marLeft w:val="0"/>
      <w:marRight w:val="0"/>
      <w:marTop w:val="0"/>
      <w:marBottom w:val="0"/>
      <w:divBdr>
        <w:top w:val="none" w:sz="0" w:space="0" w:color="auto"/>
        <w:left w:val="none" w:sz="0" w:space="0" w:color="auto"/>
        <w:bottom w:val="none" w:sz="0" w:space="0" w:color="auto"/>
        <w:right w:val="none" w:sz="0" w:space="0" w:color="auto"/>
      </w:divBdr>
    </w:div>
    <w:div w:id="126696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biochemistry-genetics-and-molecular-biology/cytokine" TargetMode="External"/><Relationship Id="rId3" Type="http://schemas.openxmlformats.org/officeDocument/2006/relationships/styles" Target="styles.xml"/><Relationship Id="rId7" Type="http://schemas.openxmlformats.org/officeDocument/2006/relationships/hyperlink" Target="https://www.sciencedirect.com/topics/biochemistry-genetics-and-molecular-biology/tgn14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Cancer_immunotherap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iencedirect.com/topics/biochemistry-genetics-and-molecular-biology/monoclonal-anti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3F51-2F0B-7240-A36A-C6679230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Luminex Corporation</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Sulter</dc:creator>
  <cp:lastModifiedBy>Liam Parrent</cp:lastModifiedBy>
  <cp:revision>2</cp:revision>
  <cp:lastPrinted>2016-03-24T15:23:00Z</cp:lastPrinted>
  <dcterms:created xsi:type="dcterms:W3CDTF">2018-10-29T19:02:00Z</dcterms:created>
  <dcterms:modified xsi:type="dcterms:W3CDTF">2018-10-29T19:02:00Z</dcterms:modified>
</cp:coreProperties>
</file>