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0C313" w14:textId="461B3382" w:rsidR="00B3511D" w:rsidRPr="00E342EF" w:rsidRDefault="00A97D73" w:rsidP="00537B8C">
      <w:pPr>
        <w:jc w:val="center"/>
        <w:rPr>
          <w:rFonts w:cstheme="minorHAnsi"/>
          <w:sz w:val="28"/>
          <w:szCs w:val="22"/>
        </w:rPr>
      </w:pPr>
      <w:bookmarkStart w:id="0" w:name="_GoBack"/>
      <w:bookmarkEnd w:id="0"/>
      <w:r>
        <w:rPr>
          <w:rFonts w:cstheme="minorHAnsi"/>
          <w:sz w:val="28"/>
          <w:szCs w:val="22"/>
        </w:rPr>
        <w:t>Designing s</w:t>
      </w:r>
      <w:r w:rsidR="00537B8C" w:rsidRPr="00E342EF">
        <w:rPr>
          <w:rFonts w:cstheme="minorHAnsi"/>
          <w:sz w:val="28"/>
          <w:szCs w:val="22"/>
        </w:rPr>
        <w:t>andwich a</w:t>
      </w:r>
      <w:r w:rsidR="00877855" w:rsidRPr="00E342EF">
        <w:rPr>
          <w:rFonts w:cstheme="minorHAnsi"/>
          <w:sz w:val="28"/>
          <w:szCs w:val="22"/>
        </w:rPr>
        <w:t>ssay</w:t>
      </w:r>
      <w:r>
        <w:rPr>
          <w:rFonts w:cstheme="minorHAnsi"/>
          <w:sz w:val="28"/>
          <w:szCs w:val="22"/>
        </w:rPr>
        <w:t xml:space="preserve"> workflow</w:t>
      </w:r>
      <w:r w:rsidR="00537B8C" w:rsidRPr="00E342EF">
        <w:rPr>
          <w:rFonts w:cstheme="minorHAnsi"/>
          <w:sz w:val="28"/>
          <w:szCs w:val="22"/>
        </w:rPr>
        <w:t xml:space="preserve">s for large scale </w:t>
      </w:r>
      <w:r w:rsidR="006C4141">
        <w:rPr>
          <w:rFonts w:cstheme="minorHAnsi"/>
          <w:sz w:val="28"/>
          <w:szCs w:val="22"/>
        </w:rPr>
        <w:t>studies of plasma biobanks</w:t>
      </w:r>
    </w:p>
    <w:p w14:paraId="6840748D" w14:textId="77777777" w:rsidR="004E3F93" w:rsidRPr="00E342EF" w:rsidRDefault="004E3F93" w:rsidP="00537B8C">
      <w:pPr>
        <w:jc w:val="both"/>
        <w:rPr>
          <w:rFonts w:cstheme="minorHAnsi"/>
          <w:b/>
          <w:color w:val="000000" w:themeColor="text1"/>
          <w:sz w:val="22"/>
          <w:szCs w:val="22"/>
        </w:rPr>
      </w:pPr>
    </w:p>
    <w:p w14:paraId="12788878" w14:textId="64F6BE20" w:rsidR="00B3511D" w:rsidRPr="00E342EF" w:rsidRDefault="004E3F93" w:rsidP="004E3F93">
      <w:pPr>
        <w:jc w:val="both"/>
        <w:rPr>
          <w:rFonts w:cstheme="minorHAnsi"/>
          <w:color w:val="000000" w:themeColor="text1"/>
          <w:sz w:val="22"/>
          <w:szCs w:val="22"/>
          <w:vertAlign w:val="superscript"/>
        </w:rPr>
      </w:pPr>
      <w:r w:rsidRPr="00E342EF">
        <w:rPr>
          <w:rFonts w:cstheme="minorHAnsi"/>
          <w:b/>
          <w:color w:val="000000" w:themeColor="text1"/>
          <w:sz w:val="22"/>
          <w:szCs w:val="22"/>
        </w:rPr>
        <w:t>Authors:</w:t>
      </w:r>
      <w:r w:rsidRPr="00E342EF">
        <w:rPr>
          <w:rFonts w:cstheme="minorHAnsi"/>
          <w:color w:val="000000" w:themeColor="text1"/>
          <w:sz w:val="22"/>
          <w:szCs w:val="22"/>
        </w:rPr>
        <w:t xml:space="preserve"> Matilda Dale</w:t>
      </w:r>
      <w:r w:rsidRPr="00E342EF">
        <w:rPr>
          <w:rFonts w:cstheme="minorHAnsi"/>
          <w:color w:val="000000" w:themeColor="text1"/>
          <w:sz w:val="22"/>
          <w:szCs w:val="22"/>
          <w:vertAlign w:val="superscript"/>
        </w:rPr>
        <w:t>1</w:t>
      </w:r>
      <w:r w:rsidRPr="00E342EF">
        <w:rPr>
          <w:rFonts w:cstheme="minorHAnsi"/>
          <w:color w:val="000000" w:themeColor="text1"/>
          <w:sz w:val="22"/>
          <w:szCs w:val="22"/>
        </w:rPr>
        <w:t xml:space="preserve">, </w:t>
      </w:r>
      <w:r w:rsidR="00977A92">
        <w:rPr>
          <w:rFonts w:cstheme="minorHAnsi"/>
          <w:color w:val="000000" w:themeColor="text1"/>
          <w:sz w:val="22"/>
          <w:szCs w:val="22"/>
        </w:rPr>
        <w:t>Eni Andersson</w:t>
      </w:r>
      <w:r w:rsidR="00F533F7" w:rsidRPr="00E342EF">
        <w:rPr>
          <w:rFonts w:cstheme="minorHAnsi"/>
          <w:color w:val="000000" w:themeColor="text1"/>
          <w:sz w:val="22"/>
          <w:szCs w:val="22"/>
          <w:vertAlign w:val="superscript"/>
        </w:rPr>
        <w:t>1</w:t>
      </w:r>
      <w:r w:rsidR="00977A92">
        <w:rPr>
          <w:rFonts w:cstheme="minorHAnsi"/>
          <w:color w:val="000000" w:themeColor="text1"/>
          <w:sz w:val="22"/>
          <w:szCs w:val="22"/>
        </w:rPr>
        <w:t xml:space="preserve">, </w:t>
      </w:r>
      <w:r w:rsidR="003966DF">
        <w:rPr>
          <w:rFonts w:cstheme="minorHAnsi"/>
          <w:color w:val="000000" w:themeColor="text1"/>
          <w:sz w:val="22"/>
          <w:szCs w:val="22"/>
        </w:rPr>
        <w:t>Cecilia Mattsson</w:t>
      </w:r>
      <w:r w:rsidR="00F533F7" w:rsidRPr="00E342EF">
        <w:rPr>
          <w:rFonts w:cstheme="minorHAnsi"/>
          <w:color w:val="000000" w:themeColor="text1"/>
          <w:sz w:val="22"/>
          <w:szCs w:val="22"/>
          <w:vertAlign w:val="superscript"/>
        </w:rPr>
        <w:t>1</w:t>
      </w:r>
      <w:r w:rsidR="003966DF">
        <w:rPr>
          <w:rFonts w:cstheme="minorHAnsi"/>
          <w:color w:val="000000" w:themeColor="text1"/>
          <w:sz w:val="22"/>
          <w:szCs w:val="22"/>
        </w:rPr>
        <w:t>, Philippa Pettingill</w:t>
      </w:r>
      <w:r w:rsidR="00F533F7" w:rsidRPr="00E342EF">
        <w:rPr>
          <w:rFonts w:cstheme="minorHAnsi"/>
          <w:color w:val="000000" w:themeColor="text1"/>
          <w:sz w:val="22"/>
          <w:szCs w:val="22"/>
          <w:vertAlign w:val="superscript"/>
        </w:rPr>
        <w:t>1</w:t>
      </w:r>
      <w:r w:rsidR="003966DF">
        <w:rPr>
          <w:rFonts w:cstheme="minorHAnsi"/>
          <w:color w:val="000000" w:themeColor="text1"/>
          <w:sz w:val="22"/>
          <w:szCs w:val="22"/>
        </w:rPr>
        <w:t xml:space="preserve">, </w:t>
      </w:r>
      <w:r w:rsidR="00A97D73">
        <w:rPr>
          <w:rFonts w:cstheme="minorHAnsi"/>
          <w:color w:val="000000" w:themeColor="text1"/>
          <w:sz w:val="22"/>
          <w:szCs w:val="22"/>
        </w:rPr>
        <w:t>Mun-Gwan Hong</w:t>
      </w:r>
      <w:r w:rsidR="00F533F7" w:rsidRPr="00E342EF">
        <w:rPr>
          <w:rFonts w:cstheme="minorHAnsi"/>
          <w:color w:val="000000" w:themeColor="text1"/>
          <w:sz w:val="22"/>
          <w:szCs w:val="22"/>
          <w:vertAlign w:val="superscript"/>
        </w:rPr>
        <w:t>1</w:t>
      </w:r>
      <w:r w:rsidR="00A97D73">
        <w:rPr>
          <w:rFonts w:cstheme="minorHAnsi"/>
          <w:color w:val="000000" w:themeColor="text1"/>
          <w:sz w:val="22"/>
          <w:szCs w:val="22"/>
        </w:rPr>
        <w:t xml:space="preserve">, and </w:t>
      </w:r>
      <w:r w:rsidRPr="00E342EF">
        <w:rPr>
          <w:rFonts w:cstheme="minorHAnsi"/>
          <w:color w:val="000000" w:themeColor="text1"/>
          <w:sz w:val="22"/>
          <w:szCs w:val="22"/>
        </w:rPr>
        <w:t>Jochen M Schwenk</w:t>
      </w:r>
      <w:r w:rsidRPr="003966DF">
        <w:rPr>
          <w:rFonts w:cstheme="minorHAnsi"/>
          <w:color w:val="000000" w:themeColor="text1"/>
          <w:sz w:val="22"/>
          <w:szCs w:val="22"/>
          <w:vertAlign w:val="superscript"/>
        </w:rPr>
        <w:t>1</w:t>
      </w:r>
      <w:r w:rsidR="00977A92" w:rsidRPr="003966DF">
        <w:rPr>
          <w:rFonts w:cstheme="minorHAnsi"/>
          <w:color w:val="000000" w:themeColor="text1"/>
          <w:sz w:val="22"/>
          <w:szCs w:val="22"/>
        </w:rPr>
        <w:t xml:space="preserve"> </w:t>
      </w:r>
      <w:r w:rsidR="006C4141" w:rsidRPr="003966DF">
        <w:rPr>
          <w:rFonts w:cstheme="minorHAnsi"/>
          <w:color w:val="000000" w:themeColor="text1"/>
          <w:sz w:val="22"/>
          <w:szCs w:val="22"/>
        </w:rPr>
        <w:t>for the DIRECT consortium</w:t>
      </w:r>
      <w:r w:rsidR="00977A92">
        <w:rPr>
          <w:rFonts w:cstheme="minorHAnsi"/>
          <w:color w:val="000000" w:themeColor="text1"/>
          <w:sz w:val="22"/>
          <w:szCs w:val="22"/>
          <w:vertAlign w:val="superscript"/>
        </w:rPr>
        <w:t xml:space="preserve"> </w:t>
      </w:r>
    </w:p>
    <w:p w14:paraId="765DB440" w14:textId="77777777" w:rsidR="00967C3D" w:rsidRPr="00E342EF" w:rsidRDefault="00967C3D" w:rsidP="00537B8C">
      <w:pPr>
        <w:jc w:val="both"/>
        <w:rPr>
          <w:rFonts w:cstheme="minorHAnsi"/>
          <w:sz w:val="22"/>
          <w:vertAlign w:val="superscript"/>
        </w:rPr>
      </w:pPr>
    </w:p>
    <w:p w14:paraId="535DBDEF" w14:textId="150789E9" w:rsidR="003862B5" w:rsidRPr="00E342EF" w:rsidRDefault="00F30907" w:rsidP="00537B8C">
      <w:pPr>
        <w:jc w:val="both"/>
        <w:rPr>
          <w:rFonts w:cstheme="minorHAnsi"/>
          <w:sz w:val="22"/>
          <w:szCs w:val="22"/>
        </w:rPr>
      </w:pPr>
      <w:r w:rsidRPr="00E342EF">
        <w:rPr>
          <w:rFonts w:cstheme="minorHAnsi"/>
          <w:sz w:val="22"/>
          <w:vertAlign w:val="superscript"/>
        </w:rPr>
        <w:t>1</w:t>
      </w:r>
      <w:r w:rsidR="0027402D" w:rsidRPr="00E342EF">
        <w:rPr>
          <w:rFonts w:cstheme="minorHAnsi"/>
          <w:sz w:val="22"/>
        </w:rPr>
        <w:t>Science for Life Laboratory, KTH - Royal Institute of Technology, Stockholm, Sweden</w:t>
      </w:r>
    </w:p>
    <w:p w14:paraId="106AB222" w14:textId="77777777" w:rsidR="004E3F93" w:rsidRPr="00E342EF" w:rsidRDefault="004E3F93" w:rsidP="00537B8C">
      <w:pPr>
        <w:jc w:val="both"/>
        <w:rPr>
          <w:rFonts w:cstheme="minorHAnsi"/>
          <w:sz w:val="22"/>
          <w:szCs w:val="22"/>
        </w:rPr>
      </w:pPr>
    </w:p>
    <w:p w14:paraId="351831E5" w14:textId="2AAF9B66" w:rsidR="007B5C0C" w:rsidRPr="00E342EF" w:rsidRDefault="00B3511D" w:rsidP="00537B8C">
      <w:pPr>
        <w:jc w:val="both"/>
        <w:rPr>
          <w:rFonts w:cstheme="minorHAnsi"/>
          <w:sz w:val="22"/>
          <w:szCs w:val="22"/>
        </w:rPr>
      </w:pPr>
      <w:r w:rsidRPr="00E342EF">
        <w:rPr>
          <w:rFonts w:cstheme="minorHAnsi"/>
          <w:b/>
          <w:sz w:val="22"/>
          <w:szCs w:val="22"/>
        </w:rPr>
        <w:t>Background:</w:t>
      </w:r>
      <w:r w:rsidR="00885DC5" w:rsidRPr="00E342EF">
        <w:rPr>
          <w:rFonts w:cstheme="minorHAnsi"/>
          <w:sz w:val="22"/>
          <w:szCs w:val="22"/>
        </w:rPr>
        <w:t xml:space="preserve"> </w:t>
      </w:r>
      <w:r w:rsidR="00286E37" w:rsidRPr="00E342EF">
        <w:rPr>
          <w:rFonts w:cstheme="minorHAnsi"/>
          <w:sz w:val="22"/>
          <w:szCs w:val="22"/>
        </w:rPr>
        <w:t>Multiplex s</w:t>
      </w:r>
      <w:r w:rsidR="00537B8C" w:rsidRPr="00E342EF">
        <w:rPr>
          <w:rFonts w:cstheme="minorHAnsi"/>
          <w:sz w:val="22"/>
          <w:szCs w:val="22"/>
        </w:rPr>
        <w:t>andwich immunoassays are a very attractive approach for quantification of several proteins in parallel. In order to maintain the lead over other progressing proteomics approaches, t</w:t>
      </w:r>
      <w:r w:rsidR="00A34318" w:rsidRPr="00E342EF">
        <w:rPr>
          <w:rFonts w:cstheme="minorHAnsi"/>
          <w:sz w:val="22"/>
          <w:szCs w:val="22"/>
        </w:rPr>
        <w:t>he</w:t>
      </w:r>
      <w:r w:rsidR="00537B8C" w:rsidRPr="00E342EF">
        <w:rPr>
          <w:rFonts w:cstheme="minorHAnsi"/>
          <w:sz w:val="22"/>
          <w:szCs w:val="22"/>
        </w:rPr>
        <w:t xml:space="preserve">re is a need to adjust the current assay formats and to meet the </w:t>
      </w:r>
      <w:r w:rsidR="004C41E7">
        <w:rPr>
          <w:rFonts w:cstheme="minorHAnsi"/>
          <w:sz w:val="22"/>
          <w:szCs w:val="22"/>
        </w:rPr>
        <w:t>increasing number of sample</w:t>
      </w:r>
      <w:r w:rsidR="00EB3109">
        <w:rPr>
          <w:rFonts w:cstheme="minorHAnsi"/>
          <w:sz w:val="22"/>
          <w:szCs w:val="22"/>
        </w:rPr>
        <w:t>s</w:t>
      </w:r>
      <w:r w:rsidR="00A34318" w:rsidRPr="00E342EF">
        <w:rPr>
          <w:rFonts w:cstheme="minorHAnsi"/>
          <w:sz w:val="22"/>
          <w:szCs w:val="22"/>
        </w:rPr>
        <w:t xml:space="preserve"> </w:t>
      </w:r>
      <w:r w:rsidR="00537B8C" w:rsidRPr="00E342EF">
        <w:rPr>
          <w:rFonts w:cstheme="minorHAnsi"/>
          <w:sz w:val="22"/>
          <w:szCs w:val="22"/>
        </w:rPr>
        <w:t>collected in</w:t>
      </w:r>
      <w:r w:rsidR="00A34318" w:rsidRPr="00E342EF">
        <w:rPr>
          <w:rFonts w:cstheme="minorHAnsi"/>
          <w:sz w:val="22"/>
          <w:szCs w:val="22"/>
        </w:rPr>
        <w:t xml:space="preserve"> larger </w:t>
      </w:r>
      <w:r w:rsidR="00537B8C" w:rsidRPr="00E342EF">
        <w:rPr>
          <w:rFonts w:cstheme="minorHAnsi"/>
          <w:sz w:val="22"/>
          <w:szCs w:val="22"/>
        </w:rPr>
        <w:t>plasma biobanks.</w:t>
      </w:r>
      <w:r w:rsidR="00A34318" w:rsidRPr="00E342EF">
        <w:rPr>
          <w:rFonts w:cstheme="minorHAnsi"/>
          <w:sz w:val="22"/>
          <w:szCs w:val="22"/>
        </w:rPr>
        <w:t xml:space="preserve"> </w:t>
      </w:r>
      <w:r w:rsidR="00537B8C" w:rsidRPr="00E342EF">
        <w:rPr>
          <w:rFonts w:cstheme="minorHAnsi"/>
          <w:sz w:val="22"/>
          <w:szCs w:val="22"/>
        </w:rPr>
        <w:t>While t</w:t>
      </w:r>
      <w:r w:rsidR="00240D60" w:rsidRPr="00E342EF">
        <w:rPr>
          <w:rFonts w:cstheme="minorHAnsi"/>
          <w:sz w:val="22"/>
          <w:szCs w:val="22"/>
        </w:rPr>
        <w:t xml:space="preserve">he </w:t>
      </w:r>
      <w:r w:rsidR="00537B8C" w:rsidRPr="00E342EF">
        <w:rPr>
          <w:rFonts w:cstheme="minorHAnsi"/>
          <w:sz w:val="22"/>
          <w:szCs w:val="22"/>
        </w:rPr>
        <w:t xml:space="preserve">common </w:t>
      </w:r>
      <w:r w:rsidR="00240D60" w:rsidRPr="00E342EF">
        <w:rPr>
          <w:rFonts w:cstheme="minorHAnsi"/>
          <w:sz w:val="22"/>
          <w:szCs w:val="22"/>
        </w:rPr>
        <w:t xml:space="preserve">96 well assay format </w:t>
      </w:r>
      <w:r w:rsidR="00EF582E" w:rsidRPr="00E342EF">
        <w:rPr>
          <w:rFonts w:cstheme="minorHAnsi"/>
          <w:sz w:val="22"/>
          <w:szCs w:val="22"/>
        </w:rPr>
        <w:t>will remain</w:t>
      </w:r>
      <w:r w:rsidR="00537B8C" w:rsidRPr="00E342EF">
        <w:rPr>
          <w:rFonts w:cstheme="minorHAnsi"/>
          <w:sz w:val="22"/>
          <w:szCs w:val="22"/>
        </w:rPr>
        <w:t xml:space="preserve"> useful, we have worked on </w:t>
      </w:r>
      <w:r w:rsidR="00240D60" w:rsidRPr="00E342EF">
        <w:rPr>
          <w:rFonts w:cstheme="minorHAnsi"/>
          <w:sz w:val="22"/>
          <w:szCs w:val="22"/>
        </w:rPr>
        <w:t>accommodat</w:t>
      </w:r>
      <w:r w:rsidR="00537B8C" w:rsidRPr="00E342EF">
        <w:rPr>
          <w:rFonts w:cstheme="minorHAnsi"/>
          <w:sz w:val="22"/>
          <w:szCs w:val="22"/>
        </w:rPr>
        <w:t xml:space="preserve">ing a simple and accurate workflow to handle </w:t>
      </w:r>
      <w:r w:rsidR="00240D60" w:rsidRPr="00E342EF">
        <w:rPr>
          <w:rFonts w:cstheme="minorHAnsi"/>
          <w:sz w:val="22"/>
          <w:szCs w:val="22"/>
        </w:rPr>
        <w:t>larg</w:t>
      </w:r>
      <w:r w:rsidR="00202B01" w:rsidRPr="00E342EF">
        <w:rPr>
          <w:rFonts w:cstheme="minorHAnsi"/>
          <w:sz w:val="22"/>
          <w:szCs w:val="22"/>
        </w:rPr>
        <w:t>er sample sets</w:t>
      </w:r>
      <w:r w:rsidR="00537B8C" w:rsidRPr="00E342EF">
        <w:rPr>
          <w:rFonts w:cstheme="minorHAnsi"/>
          <w:sz w:val="22"/>
          <w:szCs w:val="22"/>
        </w:rPr>
        <w:t>.</w:t>
      </w:r>
    </w:p>
    <w:p w14:paraId="7C3EF0E9" w14:textId="77777777" w:rsidR="00537B8C" w:rsidRPr="00E342EF" w:rsidRDefault="00537B8C" w:rsidP="00537B8C">
      <w:pPr>
        <w:jc w:val="both"/>
        <w:rPr>
          <w:rFonts w:cstheme="minorHAnsi"/>
          <w:sz w:val="22"/>
          <w:szCs w:val="22"/>
        </w:rPr>
      </w:pPr>
    </w:p>
    <w:p w14:paraId="15AD08DE" w14:textId="23AEA68D" w:rsidR="00537B8C" w:rsidRPr="00E342EF" w:rsidRDefault="00B3511D" w:rsidP="00537B8C">
      <w:pPr>
        <w:jc w:val="both"/>
        <w:rPr>
          <w:rFonts w:cstheme="minorHAnsi"/>
          <w:sz w:val="22"/>
          <w:szCs w:val="22"/>
        </w:rPr>
      </w:pPr>
      <w:r w:rsidRPr="00E342EF">
        <w:rPr>
          <w:rFonts w:cstheme="minorHAnsi"/>
          <w:b/>
          <w:sz w:val="22"/>
          <w:szCs w:val="22"/>
        </w:rPr>
        <w:t>Methods:</w:t>
      </w:r>
      <w:r w:rsidR="00885DC5" w:rsidRPr="00E342EF">
        <w:rPr>
          <w:rFonts w:cstheme="minorHAnsi"/>
          <w:b/>
          <w:sz w:val="22"/>
          <w:szCs w:val="22"/>
        </w:rPr>
        <w:t xml:space="preserve"> </w:t>
      </w:r>
      <w:r w:rsidR="00A46325" w:rsidRPr="00E342EF">
        <w:rPr>
          <w:rFonts w:cstheme="minorHAnsi"/>
          <w:sz w:val="22"/>
          <w:szCs w:val="22"/>
        </w:rPr>
        <w:t>The</w:t>
      </w:r>
      <w:r w:rsidR="004C5687" w:rsidRPr="00E342EF">
        <w:rPr>
          <w:rFonts w:cstheme="minorHAnsi"/>
          <w:sz w:val="22"/>
          <w:szCs w:val="22"/>
        </w:rPr>
        <w:t xml:space="preserve"> </w:t>
      </w:r>
      <w:r w:rsidR="00537B8C" w:rsidRPr="00E342EF">
        <w:rPr>
          <w:rFonts w:cstheme="minorHAnsi"/>
          <w:sz w:val="22"/>
          <w:szCs w:val="22"/>
        </w:rPr>
        <w:t>optimization</w:t>
      </w:r>
      <w:r w:rsidR="004C5687" w:rsidRPr="00E342EF">
        <w:rPr>
          <w:rFonts w:cstheme="minorHAnsi"/>
          <w:sz w:val="22"/>
          <w:szCs w:val="22"/>
        </w:rPr>
        <w:t xml:space="preserve"> </w:t>
      </w:r>
      <w:r w:rsidR="003966DF">
        <w:rPr>
          <w:rFonts w:cstheme="minorHAnsi"/>
          <w:sz w:val="22"/>
          <w:szCs w:val="22"/>
        </w:rPr>
        <w:t xml:space="preserve">of the sample and assay workflow </w:t>
      </w:r>
      <w:r w:rsidR="00855710" w:rsidRPr="00E342EF">
        <w:rPr>
          <w:rFonts w:cstheme="minorHAnsi"/>
          <w:sz w:val="22"/>
          <w:szCs w:val="22"/>
        </w:rPr>
        <w:t xml:space="preserve">was performed </w:t>
      </w:r>
      <w:r w:rsidR="00E5329A" w:rsidRPr="00E342EF">
        <w:rPr>
          <w:rFonts w:cstheme="minorHAnsi"/>
          <w:sz w:val="22"/>
          <w:szCs w:val="22"/>
        </w:rPr>
        <w:t>with</w:t>
      </w:r>
      <w:r w:rsidR="00855710" w:rsidRPr="00E342EF">
        <w:rPr>
          <w:rFonts w:cstheme="minorHAnsi"/>
          <w:sz w:val="22"/>
          <w:szCs w:val="22"/>
        </w:rPr>
        <w:t>in the</w:t>
      </w:r>
      <w:r w:rsidR="004C5687" w:rsidRPr="00E342EF">
        <w:rPr>
          <w:rFonts w:cstheme="minorHAnsi"/>
          <w:sz w:val="22"/>
          <w:szCs w:val="22"/>
        </w:rPr>
        <w:t xml:space="preserve"> EU </w:t>
      </w:r>
      <w:r w:rsidR="009C2FAF" w:rsidRPr="00E342EF">
        <w:rPr>
          <w:rFonts w:cstheme="minorHAnsi"/>
          <w:sz w:val="22"/>
          <w:szCs w:val="22"/>
        </w:rPr>
        <w:t xml:space="preserve">IMI </w:t>
      </w:r>
      <w:r w:rsidR="004C5687" w:rsidRPr="00E342EF">
        <w:rPr>
          <w:rFonts w:cstheme="minorHAnsi"/>
          <w:sz w:val="22"/>
          <w:szCs w:val="22"/>
        </w:rPr>
        <w:t>project</w:t>
      </w:r>
      <w:r w:rsidR="003472DE" w:rsidRPr="00E342EF">
        <w:rPr>
          <w:rFonts w:cstheme="minorHAnsi"/>
          <w:sz w:val="22"/>
          <w:szCs w:val="22"/>
        </w:rPr>
        <w:t xml:space="preserve"> DIRECT.</w:t>
      </w:r>
      <w:r w:rsidR="009C2FAF" w:rsidRPr="00E342EF">
        <w:rPr>
          <w:rFonts w:cstheme="minorHAnsi"/>
          <w:sz w:val="22"/>
          <w:szCs w:val="22"/>
        </w:rPr>
        <w:t xml:space="preserve"> </w:t>
      </w:r>
      <w:r w:rsidR="003966DF">
        <w:rPr>
          <w:rFonts w:cstheme="minorHAnsi"/>
          <w:sz w:val="22"/>
          <w:szCs w:val="22"/>
        </w:rPr>
        <w:t>Besides analyzing samples with Olink and ProteinSimple platforms, w</w:t>
      </w:r>
      <w:r w:rsidR="00537B8C" w:rsidRPr="00E342EF">
        <w:rPr>
          <w:rFonts w:cstheme="minorHAnsi"/>
          <w:sz w:val="22"/>
          <w:szCs w:val="22"/>
        </w:rPr>
        <w:t>e used a 4-plex assay intended to profile</w:t>
      </w:r>
      <w:r w:rsidR="00E5329A" w:rsidRPr="00E342EF">
        <w:rPr>
          <w:rFonts w:cstheme="minorHAnsi"/>
          <w:sz w:val="22"/>
          <w:szCs w:val="22"/>
        </w:rPr>
        <w:t xml:space="preserve"> </w:t>
      </w:r>
      <w:r w:rsidR="00537B8C" w:rsidRPr="00E342EF">
        <w:rPr>
          <w:rFonts w:cstheme="minorHAnsi"/>
          <w:sz w:val="22"/>
          <w:szCs w:val="22"/>
        </w:rPr>
        <w:t xml:space="preserve">more than </w:t>
      </w:r>
      <w:r w:rsidR="003472DE" w:rsidRPr="00E342EF">
        <w:rPr>
          <w:rFonts w:cstheme="minorHAnsi"/>
          <w:sz w:val="22"/>
          <w:szCs w:val="22"/>
        </w:rPr>
        <w:t>31</w:t>
      </w:r>
      <w:r w:rsidR="003C139B" w:rsidRPr="00E342EF">
        <w:rPr>
          <w:rFonts w:cstheme="minorHAnsi"/>
          <w:sz w:val="22"/>
          <w:szCs w:val="22"/>
        </w:rPr>
        <w:t>00 plasma samples</w:t>
      </w:r>
      <w:r w:rsidR="00044D54" w:rsidRPr="00E342EF">
        <w:rPr>
          <w:rFonts w:cstheme="minorHAnsi"/>
          <w:sz w:val="22"/>
          <w:szCs w:val="22"/>
        </w:rPr>
        <w:t>,</w:t>
      </w:r>
      <w:r w:rsidR="003C139B" w:rsidRPr="00E342EF">
        <w:rPr>
          <w:rFonts w:cstheme="minorHAnsi"/>
          <w:sz w:val="22"/>
          <w:szCs w:val="22"/>
        </w:rPr>
        <w:t xml:space="preserve"> collected from </w:t>
      </w:r>
      <w:r w:rsidR="00ED3EBC" w:rsidRPr="00E342EF">
        <w:rPr>
          <w:rFonts w:cstheme="minorHAnsi"/>
          <w:sz w:val="22"/>
          <w:szCs w:val="22"/>
        </w:rPr>
        <w:t>pre-</w:t>
      </w:r>
      <w:r w:rsidR="003C139B" w:rsidRPr="00E342EF">
        <w:rPr>
          <w:rFonts w:cstheme="minorHAnsi"/>
          <w:sz w:val="22"/>
          <w:szCs w:val="22"/>
        </w:rPr>
        <w:t xml:space="preserve">diabetic </w:t>
      </w:r>
      <w:r w:rsidR="00ED3EBC" w:rsidRPr="00E342EF">
        <w:rPr>
          <w:rFonts w:cstheme="minorHAnsi"/>
          <w:sz w:val="22"/>
          <w:szCs w:val="22"/>
        </w:rPr>
        <w:t xml:space="preserve">and type II diabetic </w:t>
      </w:r>
      <w:r w:rsidR="003C139B" w:rsidRPr="00E342EF">
        <w:rPr>
          <w:rFonts w:cstheme="minorHAnsi"/>
          <w:sz w:val="22"/>
          <w:szCs w:val="22"/>
        </w:rPr>
        <w:t>patients</w:t>
      </w:r>
      <w:r w:rsidR="00537B8C" w:rsidRPr="00E342EF">
        <w:rPr>
          <w:rFonts w:cstheme="minorHAnsi"/>
          <w:sz w:val="22"/>
          <w:szCs w:val="22"/>
        </w:rPr>
        <w:t xml:space="preserve">. </w:t>
      </w:r>
      <w:r w:rsidR="003966DF">
        <w:rPr>
          <w:rFonts w:cstheme="minorHAnsi"/>
          <w:sz w:val="22"/>
          <w:szCs w:val="22"/>
        </w:rPr>
        <w:t>Choosing</w:t>
      </w:r>
      <w:r w:rsidR="00537B8C" w:rsidRPr="00E342EF">
        <w:rPr>
          <w:rFonts w:cstheme="minorHAnsi"/>
          <w:sz w:val="22"/>
          <w:szCs w:val="22"/>
        </w:rPr>
        <w:t xml:space="preserve"> magnetic beads and </w:t>
      </w:r>
      <w:r w:rsidR="00A97D73">
        <w:rPr>
          <w:rFonts w:cstheme="minorHAnsi"/>
          <w:sz w:val="22"/>
          <w:szCs w:val="22"/>
        </w:rPr>
        <w:t>the FlexMap</w:t>
      </w:r>
      <w:r w:rsidR="00537B8C" w:rsidRPr="00E342EF">
        <w:rPr>
          <w:rFonts w:cstheme="minorHAnsi"/>
          <w:sz w:val="22"/>
          <w:szCs w:val="22"/>
        </w:rPr>
        <w:t>3D</w:t>
      </w:r>
      <w:r w:rsidR="00A97D73">
        <w:rPr>
          <w:rFonts w:cstheme="minorHAnsi"/>
          <w:sz w:val="22"/>
          <w:szCs w:val="22"/>
        </w:rPr>
        <w:t xml:space="preserve"> system,</w:t>
      </w:r>
      <w:r w:rsidR="00537B8C" w:rsidRPr="00E342EF">
        <w:rPr>
          <w:rFonts w:cstheme="minorHAnsi"/>
          <w:sz w:val="22"/>
          <w:szCs w:val="22"/>
        </w:rPr>
        <w:t xml:space="preserve"> </w:t>
      </w:r>
      <w:r w:rsidR="003966DF">
        <w:rPr>
          <w:rFonts w:cstheme="minorHAnsi"/>
          <w:sz w:val="22"/>
          <w:szCs w:val="22"/>
        </w:rPr>
        <w:t xml:space="preserve">our aim was </w:t>
      </w:r>
      <w:r w:rsidR="00537B8C" w:rsidRPr="00E342EF">
        <w:rPr>
          <w:rFonts w:cstheme="minorHAnsi"/>
          <w:sz w:val="22"/>
          <w:szCs w:val="22"/>
        </w:rPr>
        <w:t xml:space="preserve">to </w:t>
      </w:r>
      <w:r w:rsidR="003966DF">
        <w:rPr>
          <w:rFonts w:cstheme="minorHAnsi"/>
          <w:sz w:val="22"/>
          <w:szCs w:val="22"/>
        </w:rPr>
        <w:t>build a</w:t>
      </w:r>
      <w:r w:rsidR="00537B8C" w:rsidRPr="00E342EF">
        <w:rPr>
          <w:rFonts w:cstheme="minorHAnsi"/>
          <w:sz w:val="22"/>
          <w:szCs w:val="22"/>
        </w:rPr>
        <w:t xml:space="preserve"> procedure indented to be feasible for a single operator</w:t>
      </w:r>
      <w:r w:rsidR="003C139B" w:rsidRPr="00E342EF">
        <w:rPr>
          <w:rFonts w:cstheme="minorHAnsi"/>
          <w:sz w:val="22"/>
          <w:szCs w:val="22"/>
        </w:rPr>
        <w:t>.</w:t>
      </w:r>
      <w:r w:rsidR="0028653F" w:rsidRPr="00E342EF">
        <w:rPr>
          <w:rFonts w:cstheme="minorHAnsi"/>
          <w:sz w:val="22"/>
          <w:szCs w:val="22"/>
        </w:rPr>
        <w:t xml:space="preserve"> </w:t>
      </w:r>
      <w:r w:rsidR="00537B8C" w:rsidRPr="00E342EF">
        <w:rPr>
          <w:rFonts w:cstheme="minorHAnsi"/>
          <w:sz w:val="22"/>
          <w:szCs w:val="22"/>
        </w:rPr>
        <w:t>Starting with r</w:t>
      </w:r>
      <w:r w:rsidR="005C6881" w:rsidRPr="00E342EF">
        <w:rPr>
          <w:rFonts w:cstheme="minorHAnsi"/>
          <w:sz w:val="22"/>
          <w:szCs w:val="22"/>
        </w:rPr>
        <w:t>eagents from four</w:t>
      </w:r>
      <w:r w:rsidR="00B04D6E" w:rsidRPr="00E342EF">
        <w:rPr>
          <w:rFonts w:cstheme="minorHAnsi"/>
          <w:sz w:val="22"/>
          <w:szCs w:val="22"/>
        </w:rPr>
        <w:t xml:space="preserve"> 96 well format </w:t>
      </w:r>
      <w:r w:rsidR="005C6881" w:rsidRPr="00E342EF">
        <w:rPr>
          <w:rFonts w:cstheme="minorHAnsi"/>
          <w:sz w:val="22"/>
          <w:szCs w:val="22"/>
        </w:rPr>
        <w:t>assay kits</w:t>
      </w:r>
      <w:r w:rsidR="00537B8C" w:rsidRPr="00E342EF">
        <w:rPr>
          <w:rFonts w:cstheme="minorHAnsi"/>
          <w:sz w:val="22"/>
          <w:szCs w:val="22"/>
        </w:rPr>
        <w:t>,</w:t>
      </w:r>
      <w:r w:rsidR="005C6881" w:rsidRPr="00E342EF">
        <w:rPr>
          <w:rFonts w:cstheme="minorHAnsi"/>
          <w:sz w:val="22"/>
          <w:szCs w:val="22"/>
        </w:rPr>
        <w:t xml:space="preserve"> </w:t>
      </w:r>
      <w:r w:rsidR="00537B8C" w:rsidRPr="00E342EF">
        <w:rPr>
          <w:rFonts w:cstheme="minorHAnsi"/>
          <w:sz w:val="22"/>
          <w:szCs w:val="22"/>
        </w:rPr>
        <w:t xml:space="preserve">we designed a sample layout and compared the </w:t>
      </w:r>
      <w:r w:rsidR="00C75570" w:rsidRPr="00E342EF">
        <w:rPr>
          <w:rFonts w:cstheme="minorHAnsi"/>
          <w:sz w:val="22"/>
          <w:szCs w:val="22"/>
        </w:rPr>
        <w:t xml:space="preserve">volume ratios </w:t>
      </w:r>
      <w:r w:rsidR="00537B8C" w:rsidRPr="00E342EF">
        <w:rPr>
          <w:rFonts w:cstheme="minorHAnsi"/>
          <w:sz w:val="22"/>
          <w:szCs w:val="22"/>
        </w:rPr>
        <w:t>for the</w:t>
      </w:r>
      <w:r w:rsidR="0028653F" w:rsidRPr="00E342EF">
        <w:rPr>
          <w:rFonts w:cstheme="minorHAnsi"/>
          <w:sz w:val="22"/>
          <w:szCs w:val="22"/>
        </w:rPr>
        <w:t xml:space="preserve"> </w:t>
      </w:r>
      <w:r w:rsidR="00537B8C" w:rsidRPr="00E342EF">
        <w:rPr>
          <w:rFonts w:cstheme="minorHAnsi"/>
          <w:sz w:val="22"/>
          <w:szCs w:val="22"/>
        </w:rPr>
        <w:t xml:space="preserve">96 and </w:t>
      </w:r>
      <w:r w:rsidR="0028653F" w:rsidRPr="00E342EF">
        <w:rPr>
          <w:rFonts w:cstheme="minorHAnsi"/>
          <w:sz w:val="22"/>
          <w:szCs w:val="22"/>
        </w:rPr>
        <w:t>384</w:t>
      </w:r>
      <w:r w:rsidR="00B04D6E" w:rsidRPr="00E342EF">
        <w:rPr>
          <w:rFonts w:cstheme="minorHAnsi"/>
          <w:sz w:val="22"/>
          <w:szCs w:val="22"/>
        </w:rPr>
        <w:t xml:space="preserve"> </w:t>
      </w:r>
      <w:r w:rsidR="0028653F" w:rsidRPr="00E342EF">
        <w:rPr>
          <w:rFonts w:cstheme="minorHAnsi"/>
          <w:sz w:val="22"/>
          <w:szCs w:val="22"/>
        </w:rPr>
        <w:t>w</w:t>
      </w:r>
      <w:r w:rsidR="00B04D6E" w:rsidRPr="00E342EF">
        <w:rPr>
          <w:rFonts w:cstheme="minorHAnsi"/>
          <w:sz w:val="22"/>
          <w:szCs w:val="22"/>
        </w:rPr>
        <w:t>ell</w:t>
      </w:r>
      <w:r w:rsidR="0028653F" w:rsidRPr="00E342EF">
        <w:rPr>
          <w:rFonts w:cstheme="minorHAnsi"/>
          <w:sz w:val="22"/>
          <w:szCs w:val="22"/>
        </w:rPr>
        <w:t xml:space="preserve"> assay</w:t>
      </w:r>
      <w:r w:rsidR="00537B8C" w:rsidRPr="00E342EF">
        <w:rPr>
          <w:rFonts w:cstheme="minorHAnsi"/>
          <w:sz w:val="22"/>
          <w:szCs w:val="22"/>
        </w:rPr>
        <w:t xml:space="preserve"> format</w:t>
      </w:r>
      <w:r w:rsidR="0028653F" w:rsidRPr="00E342EF">
        <w:rPr>
          <w:rFonts w:cstheme="minorHAnsi"/>
          <w:sz w:val="22"/>
          <w:szCs w:val="22"/>
        </w:rPr>
        <w:t xml:space="preserve">. </w:t>
      </w:r>
      <w:r w:rsidR="005C6881" w:rsidRPr="00E342EF">
        <w:rPr>
          <w:rFonts w:cstheme="minorHAnsi"/>
          <w:sz w:val="22"/>
          <w:szCs w:val="22"/>
        </w:rPr>
        <w:t>To reduce hands</w:t>
      </w:r>
      <w:r w:rsidR="00537B8C" w:rsidRPr="00E342EF">
        <w:rPr>
          <w:rFonts w:cstheme="minorHAnsi"/>
          <w:sz w:val="22"/>
          <w:szCs w:val="22"/>
        </w:rPr>
        <w:t>-</w:t>
      </w:r>
      <w:r w:rsidR="005C6881" w:rsidRPr="00E342EF">
        <w:rPr>
          <w:rFonts w:cstheme="minorHAnsi"/>
          <w:sz w:val="22"/>
          <w:szCs w:val="22"/>
        </w:rPr>
        <w:t>on</w:t>
      </w:r>
      <w:r w:rsidR="00537B8C" w:rsidRPr="00E342EF">
        <w:rPr>
          <w:rFonts w:cstheme="minorHAnsi"/>
          <w:sz w:val="22"/>
          <w:szCs w:val="22"/>
        </w:rPr>
        <w:t>-</w:t>
      </w:r>
      <w:r w:rsidR="005C6881" w:rsidRPr="00E342EF">
        <w:rPr>
          <w:rFonts w:cstheme="minorHAnsi"/>
          <w:sz w:val="22"/>
          <w:szCs w:val="22"/>
        </w:rPr>
        <w:t>time and increase</w:t>
      </w:r>
      <w:r w:rsidR="00537B8C" w:rsidRPr="00E342EF">
        <w:rPr>
          <w:rFonts w:cstheme="minorHAnsi"/>
          <w:sz w:val="22"/>
          <w:szCs w:val="22"/>
        </w:rPr>
        <w:t xml:space="preserve"> use of</w:t>
      </w:r>
      <w:r w:rsidR="005C6881" w:rsidRPr="00E342EF">
        <w:rPr>
          <w:rFonts w:cstheme="minorHAnsi"/>
          <w:sz w:val="22"/>
          <w:szCs w:val="22"/>
        </w:rPr>
        <w:t xml:space="preserve"> automation </w:t>
      </w:r>
      <w:r w:rsidR="00537B8C" w:rsidRPr="00E342EF">
        <w:rPr>
          <w:rFonts w:cstheme="minorHAnsi"/>
          <w:sz w:val="22"/>
          <w:szCs w:val="22"/>
        </w:rPr>
        <w:t xml:space="preserve">to address </w:t>
      </w:r>
      <w:r w:rsidR="005C6881" w:rsidRPr="00E342EF">
        <w:rPr>
          <w:rFonts w:cstheme="minorHAnsi"/>
          <w:sz w:val="22"/>
          <w:szCs w:val="22"/>
        </w:rPr>
        <w:t>reproducibility</w:t>
      </w:r>
      <w:r w:rsidR="00537B8C" w:rsidRPr="00E342EF">
        <w:rPr>
          <w:rFonts w:cstheme="minorHAnsi"/>
          <w:sz w:val="22"/>
          <w:szCs w:val="22"/>
        </w:rPr>
        <w:t xml:space="preserve"> concerns, </w:t>
      </w:r>
      <w:r w:rsidR="005C6881" w:rsidRPr="00E342EF">
        <w:rPr>
          <w:rFonts w:cstheme="minorHAnsi"/>
          <w:sz w:val="22"/>
          <w:szCs w:val="22"/>
        </w:rPr>
        <w:t xml:space="preserve">a liquid handler (SELMA, CyBio) was used for </w:t>
      </w:r>
      <w:r w:rsidR="00537B8C" w:rsidRPr="00E342EF">
        <w:rPr>
          <w:rFonts w:cstheme="minorHAnsi"/>
          <w:sz w:val="22"/>
          <w:szCs w:val="22"/>
        </w:rPr>
        <w:t xml:space="preserve">parallel </w:t>
      </w:r>
      <w:r w:rsidR="005C6881" w:rsidRPr="00E342EF">
        <w:rPr>
          <w:rFonts w:cstheme="minorHAnsi"/>
          <w:sz w:val="22"/>
          <w:szCs w:val="22"/>
        </w:rPr>
        <w:t xml:space="preserve">sample dilution and transfer from 96 well plates </w:t>
      </w:r>
      <w:r w:rsidR="00537B8C" w:rsidRPr="00E342EF">
        <w:rPr>
          <w:rFonts w:cstheme="minorHAnsi"/>
          <w:sz w:val="22"/>
          <w:szCs w:val="22"/>
        </w:rPr>
        <w:t>in</w:t>
      </w:r>
      <w:r w:rsidR="005C6881" w:rsidRPr="00E342EF">
        <w:rPr>
          <w:rFonts w:cstheme="minorHAnsi"/>
          <w:sz w:val="22"/>
          <w:szCs w:val="22"/>
        </w:rPr>
        <w:t xml:space="preserve">to </w:t>
      </w:r>
      <w:r w:rsidR="00847312" w:rsidRPr="00E342EF">
        <w:rPr>
          <w:rFonts w:cstheme="minorHAnsi"/>
          <w:sz w:val="22"/>
          <w:szCs w:val="22"/>
        </w:rPr>
        <w:t>one</w:t>
      </w:r>
      <w:r w:rsidR="005C6881" w:rsidRPr="00E342EF">
        <w:rPr>
          <w:rFonts w:cstheme="minorHAnsi"/>
          <w:sz w:val="22"/>
          <w:szCs w:val="22"/>
        </w:rPr>
        <w:t xml:space="preserve"> 384 well plate</w:t>
      </w:r>
      <w:r w:rsidR="00537B8C" w:rsidRPr="00E342EF">
        <w:rPr>
          <w:rFonts w:cstheme="minorHAnsi"/>
          <w:sz w:val="22"/>
          <w:szCs w:val="22"/>
        </w:rPr>
        <w:t xml:space="preserve">. Washing steps </w:t>
      </w:r>
      <w:r w:rsidR="00847312" w:rsidRPr="00E342EF">
        <w:rPr>
          <w:rFonts w:cstheme="minorHAnsi"/>
          <w:sz w:val="22"/>
          <w:szCs w:val="22"/>
        </w:rPr>
        <w:t>were performed using</w:t>
      </w:r>
      <w:r w:rsidR="005C6881" w:rsidRPr="00E342EF">
        <w:rPr>
          <w:rFonts w:cstheme="minorHAnsi"/>
          <w:sz w:val="22"/>
          <w:szCs w:val="22"/>
        </w:rPr>
        <w:t xml:space="preserve"> a plate washer (EL406, BioTek).</w:t>
      </w:r>
      <w:r w:rsidR="00703EA5" w:rsidRPr="00E342EF">
        <w:rPr>
          <w:rFonts w:cstheme="minorHAnsi"/>
          <w:sz w:val="22"/>
          <w:szCs w:val="22"/>
        </w:rPr>
        <w:t xml:space="preserve"> </w:t>
      </w:r>
      <w:r w:rsidR="00537B8C" w:rsidRPr="00E342EF">
        <w:rPr>
          <w:rFonts w:cstheme="minorHAnsi"/>
          <w:sz w:val="22"/>
          <w:szCs w:val="22"/>
        </w:rPr>
        <w:t>We measured the consistency between the two assay formats and reagents volumes, and we studied the quantitative values obtained through the included standard rows.</w:t>
      </w:r>
    </w:p>
    <w:p w14:paraId="2A39E79E" w14:textId="77777777" w:rsidR="00B3511D" w:rsidRPr="00E342EF" w:rsidRDefault="00537B8C" w:rsidP="00537B8C">
      <w:pPr>
        <w:jc w:val="both"/>
        <w:rPr>
          <w:rFonts w:cstheme="minorHAnsi"/>
          <w:sz w:val="22"/>
          <w:szCs w:val="22"/>
        </w:rPr>
      </w:pPr>
      <w:r w:rsidRPr="00E342EF">
        <w:rPr>
          <w:rFonts w:cstheme="minorHAnsi"/>
          <w:sz w:val="22"/>
          <w:szCs w:val="22"/>
        </w:rPr>
        <w:t xml:space="preserve"> </w:t>
      </w:r>
    </w:p>
    <w:p w14:paraId="0A77705E" w14:textId="67392AB1" w:rsidR="009779F9" w:rsidRPr="00E342EF" w:rsidRDefault="003D7D93" w:rsidP="00537B8C">
      <w:pPr>
        <w:jc w:val="both"/>
        <w:rPr>
          <w:rFonts w:cstheme="minorHAnsi"/>
          <w:sz w:val="22"/>
          <w:szCs w:val="22"/>
        </w:rPr>
      </w:pPr>
      <w:r w:rsidRPr="00E342EF">
        <w:rPr>
          <w:rFonts w:cstheme="minorHAnsi"/>
          <w:b/>
          <w:sz w:val="22"/>
          <w:szCs w:val="22"/>
        </w:rPr>
        <w:t xml:space="preserve">Results: </w:t>
      </w:r>
      <w:r w:rsidR="00537B8C" w:rsidRPr="00E342EF">
        <w:rPr>
          <w:rFonts w:cstheme="minorHAnsi"/>
          <w:sz w:val="22"/>
          <w:szCs w:val="22"/>
        </w:rPr>
        <w:t>For the</w:t>
      </w:r>
      <w:r w:rsidR="00537B8C" w:rsidRPr="00E342EF">
        <w:rPr>
          <w:rFonts w:cstheme="minorHAnsi"/>
          <w:b/>
          <w:sz w:val="22"/>
          <w:szCs w:val="22"/>
        </w:rPr>
        <w:t xml:space="preserve"> </w:t>
      </w:r>
      <w:r w:rsidR="00537B8C" w:rsidRPr="00E342EF">
        <w:rPr>
          <w:rFonts w:cstheme="minorHAnsi"/>
          <w:sz w:val="22"/>
          <w:szCs w:val="22"/>
        </w:rPr>
        <w:t>large-scale sample analysis, t</w:t>
      </w:r>
      <w:r w:rsidR="009809E5" w:rsidRPr="00E342EF">
        <w:rPr>
          <w:rFonts w:cstheme="minorHAnsi"/>
          <w:sz w:val="22"/>
          <w:szCs w:val="22"/>
        </w:rPr>
        <w:t>he trans</w:t>
      </w:r>
      <w:r w:rsidR="00537B8C" w:rsidRPr="00E342EF">
        <w:rPr>
          <w:rFonts w:cstheme="minorHAnsi"/>
          <w:sz w:val="22"/>
          <w:szCs w:val="22"/>
        </w:rPr>
        <w:t xml:space="preserve">ition </w:t>
      </w:r>
      <w:r w:rsidR="00D045F1">
        <w:rPr>
          <w:rFonts w:cstheme="minorHAnsi"/>
          <w:sz w:val="22"/>
          <w:szCs w:val="22"/>
        </w:rPr>
        <w:t>from</w:t>
      </w:r>
      <w:r w:rsidR="00537B8C" w:rsidRPr="00E342EF">
        <w:rPr>
          <w:rFonts w:cstheme="minorHAnsi"/>
          <w:sz w:val="22"/>
          <w:szCs w:val="22"/>
        </w:rPr>
        <w:t xml:space="preserve"> </w:t>
      </w:r>
      <w:r w:rsidR="009809E5" w:rsidRPr="00E342EF">
        <w:rPr>
          <w:rFonts w:cstheme="minorHAnsi"/>
          <w:sz w:val="22"/>
          <w:szCs w:val="22"/>
        </w:rPr>
        <w:t>96</w:t>
      </w:r>
      <w:r w:rsidR="0042663B" w:rsidRPr="00E342EF">
        <w:rPr>
          <w:rFonts w:cstheme="minorHAnsi"/>
          <w:sz w:val="22"/>
          <w:szCs w:val="22"/>
        </w:rPr>
        <w:t xml:space="preserve"> </w:t>
      </w:r>
      <w:r w:rsidR="00537B8C" w:rsidRPr="00E342EF">
        <w:rPr>
          <w:rFonts w:cstheme="minorHAnsi"/>
          <w:sz w:val="22"/>
          <w:szCs w:val="22"/>
        </w:rPr>
        <w:t>in</w:t>
      </w:r>
      <w:r w:rsidR="00AF6CEB" w:rsidRPr="00E342EF">
        <w:rPr>
          <w:rFonts w:cstheme="minorHAnsi"/>
          <w:sz w:val="22"/>
          <w:szCs w:val="22"/>
        </w:rPr>
        <w:t xml:space="preserve">to </w:t>
      </w:r>
      <w:r w:rsidR="00537B8C" w:rsidRPr="00E342EF">
        <w:rPr>
          <w:rFonts w:cstheme="minorHAnsi"/>
          <w:sz w:val="22"/>
          <w:szCs w:val="22"/>
        </w:rPr>
        <w:t xml:space="preserve">the </w:t>
      </w:r>
      <w:r w:rsidR="00AF6CEB" w:rsidRPr="00E342EF">
        <w:rPr>
          <w:rFonts w:cstheme="minorHAnsi"/>
          <w:sz w:val="22"/>
          <w:szCs w:val="22"/>
        </w:rPr>
        <w:t xml:space="preserve">384 well format reduced the </w:t>
      </w:r>
      <w:r w:rsidR="00537B8C" w:rsidRPr="00E342EF">
        <w:rPr>
          <w:rFonts w:cstheme="minorHAnsi"/>
          <w:sz w:val="22"/>
          <w:szCs w:val="22"/>
        </w:rPr>
        <w:t xml:space="preserve">total </w:t>
      </w:r>
      <w:r w:rsidR="0042663B" w:rsidRPr="00E342EF">
        <w:rPr>
          <w:rFonts w:cstheme="minorHAnsi"/>
          <w:sz w:val="22"/>
          <w:szCs w:val="22"/>
        </w:rPr>
        <w:t xml:space="preserve">number of </w:t>
      </w:r>
      <w:r w:rsidR="00AF6CEB" w:rsidRPr="00E342EF">
        <w:rPr>
          <w:rFonts w:cstheme="minorHAnsi"/>
          <w:sz w:val="22"/>
          <w:szCs w:val="22"/>
        </w:rPr>
        <w:t>batch</w:t>
      </w:r>
      <w:r w:rsidR="0042663B" w:rsidRPr="00E342EF">
        <w:rPr>
          <w:rFonts w:cstheme="minorHAnsi"/>
          <w:sz w:val="22"/>
          <w:szCs w:val="22"/>
        </w:rPr>
        <w:t>es</w:t>
      </w:r>
      <w:r w:rsidR="00AF6CEB" w:rsidRPr="00E342EF">
        <w:rPr>
          <w:rFonts w:cstheme="minorHAnsi"/>
          <w:sz w:val="22"/>
          <w:szCs w:val="22"/>
        </w:rPr>
        <w:t xml:space="preserve"> </w:t>
      </w:r>
      <w:r w:rsidR="0042663B" w:rsidRPr="00E342EF">
        <w:rPr>
          <w:rFonts w:cstheme="minorHAnsi"/>
          <w:sz w:val="22"/>
          <w:szCs w:val="22"/>
        </w:rPr>
        <w:t>from 36 to 9</w:t>
      </w:r>
      <w:r w:rsidR="00537B8C" w:rsidRPr="00E342EF">
        <w:rPr>
          <w:rFonts w:cstheme="minorHAnsi"/>
          <w:sz w:val="22"/>
          <w:szCs w:val="22"/>
        </w:rPr>
        <w:t>, enabling a turnaround of 3000 samples within two weeks’ time</w:t>
      </w:r>
      <w:r w:rsidR="0042663B" w:rsidRPr="00E342EF">
        <w:rPr>
          <w:rFonts w:cstheme="minorHAnsi"/>
          <w:sz w:val="22"/>
          <w:szCs w:val="22"/>
        </w:rPr>
        <w:t xml:space="preserve">. </w:t>
      </w:r>
      <w:r w:rsidR="001A2BF8" w:rsidRPr="00E342EF">
        <w:rPr>
          <w:rFonts w:cstheme="minorHAnsi"/>
          <w:sz w:val="22"/>
          <w:szCs w:val="22"/>
        </w:rPr>
        <w:t xml:space="preserve">For three analytes, 99.8% of the samples were above LLOQ. The fourth analyte was low abundant in our samples, making the dilution less optimal and 24.5% of the samples </w:t>
      </w:r>
      <w:r w:rsidR="00287B80" w:rsidRPr="00E342EF">
        <w:rPr>
          <w:rFonts w:cstheme="minorHAnsi"/>
          <w:sz w:val="22"/>
          <w:szCs w:val="22"/>
        </w:rPr>
        <w:t xml:space="preserve">reached </w:t>
      </w:r>
      <w:r w:rsidR="001A2BF8" w:rsidRPr="00E342EF">
        <w:rPr>
          <w:rFonts w:cstheme="minorHAnsi"/>
          <w:sz w:val="22"/>
          <w:szCs w:val="22"/>
        </w:rPr>
        <w:t xml:space="preserve">above LLOQ. </w:t>
      </w:r>
      <w:r w:rsidR="0042663B" w:rsidRPr="00E342EF">
        <w:rPr>
          <w:rFonts w:cstheme="minorHAnsi"/>
          <w:sz w:val="22"/>
          <w:szCs w:val="22"/>
        </w:rPr>
        <w:t>The</w:t>
      </w:r>
      <w:r w:rsidR="00F63FBB" w:rsidRPr="00E342EF">
        <w:rPr>
          <w:rFonts w:cstheme="minorHAnsi"/>
          <w:sz w:val="22"/>
          <w:szCs w:val="22"/>
        </w:rPr>
        <w:t xml:space="preserve"> coefficient of variation </w:t>
      </w:r>
      <w:r w:rsidR="0042663B" w:rsidRPr="00E342EF">
        <w:rPr>
          <w:rFonts w:cstheme="minorHAnsi"/>
          <w:sz w:val="22"/>
          <w:szCs w:val="22"/>
        </w:rPr>
        <w:t xml:space="preserve">between batches </w:t>
      </w:r>
      <w:r w:rsidR="00287B80" w:rsidRPr="00E342EF">
        <w:rPr>
          <w:rFonts w:cstheme="minorHAnsi"/>
          <w:sz w:val="22"/>
          <w:szCs w:val="22"/>
        </w:rPr>
        <w:t>was calculated based on the mean of the pools within one batch. This was calculated for each of the four proteins</w:t>
      </w:r>
      <w:r w:rsidR="00A25BE3" w:rsidRPr="00E342EF">
        <w:rPr>
          <w:rFonts w:cstheme="minorHAnsi"/>
          <w:sz w:val="22"/>
          <w:szCs w:val="22"/>
        </w:rPr>
        <w:t xml:space="preserve">, which </w:t>
      </w:r>
      <w:r w:rsidR="00BB77B3" w:rsidRPr="00E342EF">
        <w:rPr>
          <w:rFonts w:cstheme="minorHAnsi"/>
          <w:sz w:val="22"/>
          <w:szCs w:val="22"/>
        </w:rPr>
        <w:t xml:space="preserve">varied between </w:t>
      </w:r>
      <w:r w:rsidR="00F63FBB" w:rsidRPr="00E342EF">
        <w:rPr>
          <w:rFonts w:cstheme="minorHAnsi"/>
          <w:sz w:val="22"/>
          <w:szCs w:val="22"/>
        </w:rPr>
        <w:t>7.3-11.3%</w:t>
      </w:r>
      <w:r w:rsidR="00291F68" w:rsidRPr="00E342EF">
        <w:rPr>
          <w:rFonts w:cstheme="minorHAnsi"/>
          <w:sz w:val="22"/>
          <w:szCs w:val="22"/>
        </w:rPr>
        <w:t xml:space="preserve"> depending on target protein</w:t>
      </w:r>
      <w:r w:rsidR="00287B80" w:rsidRPr="00E342EF">
        <w:rPr>
          <w:rFonts w:cstheme="minorHAnsi"/>
          <w:sz w:val="22"/>
          <w:szCs w:val="22"/>
        </w:rPr>
        <w:t xml:space="preserve">. </w:t>
      </w:r>
    </w:p>
    <w:p w14:paraId="231E8311" w14:textId="77777777" w:rsidR="00B3511D" w:rsidRPr="00E342EF" w:rsidRDefault="00B3511D" w:rsidP="00537B8C">
      <w:pPr>
        <w:jc w:val="both"/>
        <w:rPr>
          <w:rFonts w:cstheme="minorHAnsi"/>
          <w:sz w:val="22"/>
          <w:szCs w:val="22"/>
        </w:rPr>
      </w:pPr>
    </w:p>
    <w:p w14:paraId="6496F080" w14:textId="1AC150A7" w:rsidR="004C5687" w:rsidRPr="00E342EF" w:rsidRDefault="00B3511D" w:rsidP="00537B8C">
      <w:pPr>
        <w:jc w:val="both"/>
        <w:rPr>
          <w:rFonts w:cstheme="minorHAnsi"/>
          <w:sz w:val="22"/>
          <w:szCs w:val="22"/>
        </w:rPr>
      </w:pPr>
      <w:r w:rsidRPr="00E342EF">
        <w:rPr>
          <w:rFonts w:cstheme="minorHAnsi"/>
          <w:b/>
          <w:sz w:val="22"/>
          <w:szCs w:val="22"/>
        </w:rPr>
        <w:t>Conclusion:</w:t>
      </w:r>
      <w:r w:rsidR="003966DF">
        <w:rPr>
          <w:rFonts w:cstheme="minorHAnsi"/>
          <w:b/>
          <w:sz w:val="22"/>
          <w:szCs w:val="22"/>
        </w:rPr>
        <w:t xml:space="preserve"> </w:t>
      </w:r>
      <w:r w:rsidR="003966DF">
        <w:rPr>
          <w:rFonts w:cstheme="minorHAnsi"/>
          <w:sz w:val="22"/>
          <w:szCs w:val="22"/>
        </w:rPr>
        <w:t>We implemented a simple</w:t>
      </w:r>
      <w:r w:rsidR="00FD3ED1">
        <w:rPr>
          <w:rFonts w:cstheme="minorHAnsi"/>
          <w:sz w:val="22"/>
          <w:szCs w:val="22"/>
        </w:rPr>
        <w:t>,</w:t>
      </w:r>
      <w:r w:rsidR="003966DF">
        <w:rPr>
          <w:rFonts w:cstheme="minorHAnsi"/>
          <w:sz w:val="22"/>
          <w:szCs w:val="22"/>
        </w:rPr>
        <w:t xml:space="preserve"> upscaled workflow to perform </w:t>
      </w:r>
      <w:r w:rsidR="0000465B" w:rsidRPr="00E342EF">
        <w:rPr>
          <w:rFonts w:cstheme="minorHAnsi"/>
          <w:sz w:val="22"/>
          <w:szCs w:val="22"/>
        </w:rPr>
        <w:t xml:space="preserve">96 wells </w:t>
      </w:r>
      <w:r w:rsidR="003966DF">
        <w:rPr>
          <w:rFonts w:cstheme="minorHAnsi"/>
          <w:sz w:val="22"/>
          <w:szCs w:val="22"/>
        </w:rPr>
        <w:t>assays in the</w:t>
      </w:r>
      <w:r w:rsidR="0000465B" w:rsidRPr="00E342EF">
        <w:rPr>
          <w:rFonts w:cstheme="minorHAnsi"/>
          <w:sz w:val="22"/>
          <w:szCs w:val="22"/>
        </w:rPr>
        <w:t xml:space="preserve"> 384 well</w:t>
      </w:r>
      <w:r w:rsidR="00537B8C" w:rsidRPr="00E342EF">
        <w:rPr>
          <w:rFonts w:cstheme="minorHAnsi"/>
          <w:sz w:val="22"/>
          <w:szCs w:val="22"/>
        </w:rPr>
        <w:t xml:space="preserve"> format</w:t>
      </w:r>
      <w:r w:rsidR="00A97D73">
        <w:rPr>
          <w:rFonts w:cstheme="minorHAnsi"/>
          <w:sz w:val="22"/>
          <w:szCs w:val="22"/>
        </w:rPr>
        <w:t xml:space="preserve"> and matched this design with other immunoassay platforms</w:t>
      </w:r>
      <w:r w:rsidR="003966DF">
        <w:rPr>
          <w:rFonts w:cstheme="minorHAnsi"/>
          <w:sz w:val="22"/>
          <w:szCs w:val="22"/>
        </w:rPr>
        <w:t>.</w:t>
      </w:r>
      <w:r w:rsidR="0000465B" w:rsidRPr="00E342EF">
        <w:rPr>
          <w:rFonts w:cstheme="minorHAnsi"/>
          <w:sz w:val="22"/>
          <w:szCs w:val="22"/>
        </w:rPr>
        <w:t xml:space="preserve"> </w:t>
      </w:r>
      <w:r w:rsidR="003966DF">
        <w:rPr>
          <w:rFonts w:cstheme="minorHAnsi"/>
          <w:sz w:val="22"/>
          <w:szCs w:val="22"/>
        </w:rPr>
        <w:t>With the</w:t>
      </w:r>
      <w:r w:rsidR="00537B8C" w:rsidRPr="00E342EF">
        <w:rPr>
          <w:rFonts w:cstheme="minorHAnsi"/>
          <w:sz w:val="22"/>
          <w:szCs w:val="22"/>
        </w:rPr>
        <w:t xml:space="preserve"> anticipated four-fold</w:t>
      </w:r>
      <w:r w:rsidR="003966DF">
        <w:rPr>
          <w:rFonts w:cstheme="minorHAnsi"/>
          <w:sz w:val="22"/>
          <w:szCs w:val="22"/>
        </w:rPr>
        <w:t xml:space="preserve"> decrease in batch numbers, t</w:t>
      </w:r>
      <w:r w:rsidR="00537B8C" w:rsidRPr="00E342EF">
        <w:rPr>
          <w:rFonts w:cstheme="minorHAnsi"/>
          <w:sz w:val="22"/>
          <w:szCs w:val="22"/>
        </w:rPr>
        <w:t>hi</w:t>
      </w:r>
      <w:r w:rsidR="00776D36" w:rsidRPr="00E342EF">
        <w:rPr>
          <w:rFonts w:cstheme="minorHAnsi"/>
          <w:sz w:val="22"/>
          <w:szCs w:val="22"/>
        </w:rPr>
        <w:t xml:space="preserve">s </w:t>
      </w:r>
      <w:r w:rsidR="00537B8C" w:rsidRPr="00E342EF">
        <w:rPr>
          <w:rFonts w:cstheme="minorHAnsi"/>
          <w:sz w:val="22"/>
          <w:szCs w:val="22"/>
        </w:rPr>
        <w:t xml:space="preserve">strategy </w:t>
      </w:r>
      <w:r w:rsidR="003966DF">
        <w:rPr>
          <w:rFonts w:cstheme="minorHAnsi"/>
          <w:sz w:val="22"/>
          <w:szCs w:val="22"/>
        </w:rPr>
        <w:t xml:space="preserve">also </w:t>
      </w:r>
      <w:r w:rsidR="00A8142D" w:rsidRPr="00E342EF">
        <w:rPr>
          <w:rFonts w:cstheme="minorHAnsi"/>
          <w:sz w:val="22"/>
          <w:szCs w:val="22"/>
        </w:rPr>
        <w:t>allow</w:t>
      </w:r>
      <w:r w:rsidR="00537B8C" w:rsidRPr="00E342EF">
        <w:rPr>
          <w:rFonts w:cstheme="minorHAnsi"/>
          <w:sz w:val="22"/>
          <w:szCs w:val="22"/>
        </w:rPr>
        <w:t>ed</w:t>
      </w:r>
      <w:r w:rsidR="00A8142D" w:rsidRPr="00E342EF">
        <w:rPr>
          <w:rFonts w:cstheme="minorHAnsi"/>
          <w:sz w:val="22"/>
          <w:szCs w:val="22"/>
        </w:rPr>
        <w:t xml:space="preserve"> </w:t>
      </w:r>
      <w:r w:rsidR="00537B8C" w:rsidRPr="00E342EF">
        <w:rPr>
          <w:rFonts w:cstheme="minorHAnsi"/>
          <w:sz w:val="22"/>
          <w:szCs w:val="22"/>
        </w:rPr>
        <w:t>us</w:t>
      </w:r>
      <w:r w:rsidR="00A8142D" w:rsidRPr="00E342EF">
        <w:rPr>
          <w:rFonts w:cstheme="minorHAnsi"/>
          <w:sz w:val="22"/>
          <w:szCs w:val="22"/>
        </w:rPr>
        <w:t xml:space="preserve"> </w:t>
      </w:r>
      <w:r w:rsidR="00537B8C" w:rsidRPr="00E342EF">
        <w:rPr>
          <w:rFonts w:cstheme="minorHAnsi"/>
          <w:sz w:val="22"/>
          <w:szCs w:val="22"/>
        </w:rPr>
        <w:t xml:space="preserve">to </w:t>
      </w:r>
      <w:r w:rsidR="00A8142D" w:rsidRPr="00E342EF">
        <w:rPr>
          <w:rFonts w:cstheme="minorHAnsi"/>
          <w:sz w:val="22"/>
          <w:szCs w:val="22"/>
        </w:rPr>
        <w:t>reduc</w:t>
      </w:r>
      <w:r w:rsidR="00537B8C" w:rsidRPr="00E342EF">
        <w:rPr>
          <w:rFonts w:cstheme="minorHAnsi"/>
          <w:sz w:val="22"/>
          <w:szCs w:val="22"/>
        </w:rPr>
        <w:t xml:space="preserve">e sample and reagent </w:t>
      </w:r>
      <w:r w:rsidR="003966DF">
        <w:rPr>
          <w:rFonts w:cstheme="minorHAnsi"/>
          <w:sz w:val="22"/>
          <w:szCs w:val="22"/>
        </w:rPr>
        <w:t>consumption</w:t>
      </w:r>
      <w:r w:rsidR="00537B8C" w:rsidRPr="00E342EF">
        <w:rPr>
          <w:rFonts w:cstheme="minorHAnsi"/>
          <w:sz w:val="22"/>
          <w:szCs w:val="22"/>
        </w:rPr>
        <w:t xml:space="preserve">. The </w:t>
      </w:r>
      <w:r w:rsidR="003966DF">
        <w:rPr>
          <w:rFonts w:cstheme="minorHAnsi"/>
          <w:sz w:val="22"/>
          <w:szCs w:val="22"/>
        </w:rPr>
        <w:t>workflow and plate design facilitated</w:t>
      </w:r>
      <w:r w:rsidR="00537B8C" w:rsidRPr="00E342EF">
        <w:rPr>
          <w:rFonts w:cstheme="minorHAnsi"/>
          <w:sz w:val="22"/>
          <w:szCs w:val="22"/>
        </w:rPr>
        <w:t xml:space="preserve"> the use of auxiliary liquid- and bead-handling devices </w:t>
      </w:r>
      <w:r w:rsidR="003966DF">
        <w:rPr>
          <w:rFonts w:cstheme="minorHAnsi"/>
          <w:sz w:val="22"/>
          <w:szCs w:val="22"/>
        </w:rPr>
        <w:t>to</w:t>
      </w:r>
      <w:r w:rsidR="00537B8C" w:rsidRPr="00E342EF">
        <w:rPr>
          <w:rFonts w:cstheme="minorHAnsi"/>
          <w:sz w:val="22"/>
          <w:szCs w:val="22"/>
        </w:rPr>
        <w:t xml:space="preserve"> reduce </w:t>
      </w:r>
      <w:r w:rsidR="00A8142D" w:rsidRPr="00E342EF">
        <w:rPr>
          <w:rFonts w:cstheme="minorHAnsi"/>
          <w:sz w:val="22"/>
          <w:szCs w:val="22"/>
        </w:rPr>
        <w:t>hands on time</w:t>
      </w:r>
      <w:r w:rsidR="003966DF">
        <w:rPr>
          <w:rFonts w:cstheme="minorHAnsi"/>
          <w:sz w:val="22"/>
          <w:szCs w:val="22"/>
        </w:rPr>
        <w:t>s, hence enabled</w:t>
      </w:r>
      <w:r w:rsidR="00537B8C" w:rsidRPr="00E342EF">
        <w:rPr>
          <w:rFonts w:cstheme="minorHAnsi"/>
          <w:sz w:val="22"/>
          <w:szCs w:val="22"/>
        </w:rPr>
        <w:t xml:space="preserve"> </w:t>
      </w:r>
      <w:r w:rsidR="005B4211" w:rsidRPr="00E342EF">
        <w:rPr>
          <w:rFonts w:cstheme="minorHAnsi"/>
          <w:sz w:val="22"/>
          <w:szCs w:val="22"/>
        </w:rPr>
        <w:t xml:space="preserve">to </w:t>
      </w:r>
      <w:r w:rsidR="003966DF">
        <w:rPr>
          <w:rFonts w:cstheme="minorHAnsi"/>
          <w:sz w:val="22"/>
          <w:szCs w:val="22"/>
        </w:rPr>
        <w:t xml:space="preserve">bring current </w:t>
      </w:r>
      <w:r w:rsidR="00537B8C" w:rsidRPr="00E342EF">
        <w:rPr>
          <w:rFonts w:cstheme="minorHAnsi"/>
          <w:sz w:val="22"/>
          <w:szCs w:val="22"/>
        </w:rPr>
        <w:t>multiplex kits</w:t>
      </w:r>
      <w:r w:rsidR="005B4211" w:rsidRPr="00E342EF">
        <w:rPr>
          <w:rFonts w:cstheme="minorHAnsi"/>
          <w:sz w:val="22"/>
          <w:szCs w:val="22"/>
        </w:rPr>
        <w:t xml:space="preserve"> </w:t>
      </w:r>
      <w:r w:rsidR="003966DF">
        <w:rPr>
          <w:rFonts w:cstheme="minorHAnsi"/>
          <w:sz w:val="22"/>
          <w:szCs w:val="22"/>
        </w:rPr>
        <w:t>to a higher sample throughput</w:t>
      </w:r>
      <w:r w:rsidR="00267641" w:rsidRPr="00E342EF">
        <w:rPr>
          <w:rFonts w:cstheme="minorHAnsi"/>
          <w:sz w:val="22"/>
          <w:szCs w:val="22"/>
        </w:rPr>
        <w:t>.</w:t>
      </w:r>
    </w:p>
    <w:p w14:paraId="0D9549BA" w14:textId="77777777" w:rsidR="00B3511D" w:rsidRPr="00E342EF" w:rsidRDefault="00B3511D" w:rsidP="00537B8C">
      <w:pPr>
        <w:jc w:val="both"/>
        <w:rPr>
          <w:rFonts w:cstheme="minorHAnsi"/>
          <w:sz w:val="22"/>
          <w:szCs w:val="22"/>
        </w:rPr>
      </w:pPr>
    </w:p>
    <w:p w14:paraId="333A1546" w14:textId="77777777" w:rsidR="00B3511D" w:rsidRPr="00E342EF" w:rsidRDefault="00B3511D" w:rsidP="00537B8C">
      <w:pPr>
        <w:jc w:val="both"/>
        <w:rPr>
          <w:rFonts w:cstheme="minorHAnsi"/>
          <w:b/>
          <w:sz w:val="22"/>
          <w:szCs w:val="22"/>
        </w:rPr>
      </w:pPr>
      <w:r w:rsidRPr="00E342EF">
        <w:rPr>
          <w:rFonts w:cstheme="minorHAnsi"/>
          <w:b/>
          <w:sz w:val="22"/>
          <w:szCs w:val="22"/>
        </w:rPr>
        <w:t>Keywords:</w:t>
      </w:r>
      <w:r w:rsidR="00EF225C" w:rsidRPr="00E342EF">
        <w:rPr>
          <w:rFonts w:cstheme="minorHAnsi"/>
          <w:b/>
          <w:sz w:val="22"/>
          <w:szCs w:val="22"/>
        </w:rPr>
        <w:t xml:space="preserve"> </w:t>
      </w:r>
      <w:r w:rsidR="00206E0D" w:rsidRPr="00E342EF">
        <w:rPr>
          <w:rFonts w:cstheme="minorHAnsi"/>
          <w:sz w:val="22"/>
          <w:szCs w:val="22"/>
        </w:rPr>
        <w:t>Pr</w:t>
      </w:r>
      <w:r w:rsidR="001F330C" w:rsidRPr="00E342EF">
        <w:rPr>
          <w:rFonts w:cstheme="minorHAnsi"/>
          <w:sz w:val="22"/>
          <w:szCs w:val="22"/>
        </w:rPr>
        <w:t xml:space="preserve">otein profiling, </w:t>
      </w:r>
      <w:r w:rsidR="00537B8C" w:rsidRPr="00E342EF">
        <w:rPr>
          <w:rFonts w:cstheme="minorHAnsi"/>
          <w:sz w:val="22"/>
          <w:szCs w:val="22"/>
        </w:rPr>
        <w:t>FlexMap3D</w:t>
      </w:r>
      <w:r w:rsidR="00EE7CFE" w:rsidRPr="00E342EF">
        <w:rPr>
          <w:rFonts w:cstheme="minorHAnsi"/>
          <w:sz w:val="22"/>
          <w:szCs w:val="22"/>
        </w:rPr>
        <w:t xml:space="preserve">, </w:t>
      </w:r>
      <w:r w:rsidRPr="00E342EF">
        <w:rPr>
          <w:rFonts w:cstheme="minorHAnsi"/>
          <w:sz w:val="22"/>
          <w:szCs w:val="22"/>
        </w:rPr>
        <w:t xml:space="preserve">assay </w:t>
      </w:r>
      <w:r w:rsidR="00A8142D" w:rsidRPr="00E342EF">
        <w:rPr>
          <w:rFonts w:cstheme="minorHAnsi"/>
          <w:sz w:val="22"/>
          <w:szCs w:val="22"/>
        </w:rPr>
        <w:t>optimization</w:t>
      </w:r>
      <w:r w:rsidR="00F76313" w:rsidRPr="00E342EF">
        <w:rPr>
          <w:rFonts w:cstheme="minorHAnsi"/>
          <w:sz w:val="22"/>
          <w:szCs w:val="22"/>
        </w:rPr>
        <w:t xml:space="preserve">, </w:t>
      </w:r>
      <w:r w:rsidR="00537B8C" w:rsidRPr="00E342EF">
        <w:rPr>
          <w:rFonts w:cstheme="minorHAnsi"/>
          <w:sz w:val="22"/>
          <w:szCs w:val="22"/>
        </w:rPr>
        <w:t>384-well assays</w:t>
      </w:r>
      <w:r w:rsidR="00F76313" w:rsidRPr="00E342EF">
        <w:rPr>
          <w:rFonts w:cstheme="minorHAnsi"/>
          <w:sz w:val="22"/>
          <w:szCs w:val="22"/>
        </w:rPr>
        <w:t>, plasma</w:t>
      </w:r>
    </w:p>
    <w:sectPr w:rsidR="00B3511D" w:rsidRPr="00E342EF" w:rsidSect="00C669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E88"/>
    <w:rsid w:val="0000465B"/>
    <w:rsid w:val="00026A06"/>
    <w:rsid w:val="00044D54"/>
    <w:rsid w:val="000824A5"/>
    <w:rsid w:val="0009748F"/>
    <w:rsid w:val="000F0E6E"/>
    <w:rsid w:val="001402B8"/>
    <w:rsid w:val="00190005"/>
    <w:rsid w:val="001A2BF8"/>
    <w:rsid w:val="001E3230"/>
    <w:rsid w:val="001F330C"/>
    <w:rsid w:val="002006B6"/>
    <w:rsid w:val="00202B01"/>
    <w:rsid w:val="00206E0D"/>
    <w:rsid w:val="00231D54"/>
    <w:rsid w:val="00240D60"/>
    <w:rsid w:val="00267641"/>
    <w:rsid w:val="0027402D"/>
    <w:rsid w:val="0028653F"/>
    <w:rsid w:val="00286E37"/>
    <w:rsid w:val="00287B80"/>
    <w:rsid w:val="00291F68"/>
    <w:rsid w:val="002E498C"/>
    <w:rsid w:val="003300DE"/>
    <w:rsid w:val="00344781"/>
    <w:rsid w:val="003472DE"/>
    <w:rsid w:val="00350F1D"/>
    <w:rsid w:val="00371DAB"/>
    <w:rsid w:val="003862B5"/>
    <w:rsid w:val="003966DF"/>
    <w:rsid w:val="003C139B"/>
    <w:rsid w:val="003D7D93"/>
    <w:rsid w:val="00405804"/>
    <w:rsid w:val="0042663B"/>
    <w:rsid w:val="00462F2A"/>
    <w:rsid w:val="00480712"/>
    <w:rsid w:val="004817E1"/>
    <w:rsid w:val="004A013F"/>
    <w:rsid w:val="004C41E7"/>
    <w:rsid w:val="004C5687"/>
    <w:rsid w:val="004D25E8"/>
    <w:rsid w:val="004E3F93"/>
    <w:rsid w:val="005153BC"/>
    <w:rsid w:val="00517CD8"/>
    <w:rsid w:val="005201E3"/>
    <w:rsid w:val="00532E2C"/>
    <w:rsid w:val="005344D4"/>
    <w:rsid w:val="00537B8C"/>
    <w:rsid w:val="00540833"/>
    <w:rsid w:val="00591B0F"/>
    <w:rsid w:val="005B4211"/>
    <w:rsid w:val="005C6881"/>
    <w:rsid w:val="005E7F05"/>
    <w:rsid w:val="005F3B3C"/>
    <w:rsid w:val="0060177E"/>
    <w:rsid w:val="0064131D"/>
    <w:rsid w:val="00694713"/>
    <w:rsid w:val="006C4141"/>
    <w:rsid w:val="006D14A8"/>
    <w:rsid w:val="006D3DD6"/>
    <w:rsid w:val="006D4422"/>
    <w:rsid w:val="006E40A4"/>
    <w:rsid w:val="00703EA5"/>
    <w:rsid w:val="0073293D"/>
    <w:rsid w:val="00740675"/>
    <w:rsid w:val="00745BB9"/>
    <w:rsid w:val="00773769"/>
    <w:rsid w:val="00774D15"/>
    <w:rsid w:val="00776D36"/>
    <w:rsid w:val="007930B4"/>
    <w:rsid w:val="007B26F7"/>
    <w:rsid w:val="007B5C0C"/>
    <w:rsid w:val="007E372D"/>
    <w:rsid w:val="00832F6D"/>
    <w:rsid w:val="00847312"/>
    <w:rsid w:val="00854359"/>
    <w:rsid w:val="00855710"/>
    <w:rsid w:val="00855DC9"/>
    <w:rsid w:val="008561AF"/>
    <w:rsid w:val="00877855"/>
    <w:rsid w:val="00881ACA"/>
    <w:rsid w:val="00885DC5"/>
    <w:rsid w:val="008A6166"/>
    <w:rsid w:val="008F0A8F"/>
    <w:rsid w:val="00925B64"/>
    <w:rsid w:val="00967C3D"/>
    <w:rsid w:val="00974B16"/>
    <w:rsid w:val="009779F9"/>
    <w:rsid w:val="00977A92"/>
    <w:rsid w:val="009809E5"/>
    <w:rsid w:val="00990730"/>
    <w:rsid w:val="009C2FAF"/>
    <w:rsid w:val="00A118CC"/>
    <w:rsid w:val="00A25BE3"/>
    <w:rsid w:val="00A34318"/>
    <w:rsid w:val="00A46325"/>
    <w:rsid w:val="00A8142D"/>
    <w:rsid w:val="00A8173A"/>
    <w:rsid w:val="00A97D73"/>
    <w:rsid w:val="00AD251F"/>
    <w:rsid w:val="00AF6CEB"/>
    <w:rsid w:val="00B04D6E"/>
    <w:rsid w:val="00B25DE1"/>
    <w:rsid w:val="00B3511D"/>
    <w:rsid w:val="00B500D2"/>
    <w:rsid w:val="00BB77B3"/>
    <w:rsid w:val="00BF00A7"/>
    <w:rsid w:val="00C05DDE"/>
    <w:rsid w:val="00C24E43"/>
    <w:rsid w:val="00C45FB0"/>
    <w:rsid w:val="00C629D3"/>
    <w:rsid w:val="00C66946"/>
    <w:rsid w:val="00C75570"/>
    <w:rsid w:val="00C97D6E"/>
    <w:rsid w:val="00D00F8F"/>
    <w:rsid w:val="00D045F1"/>
    <w:rsid w:val="00D15E88"/>
    <w:rsid w:val="00D367A1"/>
    <w:rsid w:val="00D46F73"/>
    <w:rsid w:val="00D91E0D"/>
    <w:rsid w:val="00D948B0"/>
    <w:rsid w:val="00DC354D"/>
    <w:rsid w:val="00DE0A9A"/>
    <w:rsid w:val="00E342EF"/>
    <w:rsid w:val="00E5329A"/>
    <w:rsid w:val="00E72EA0"/>
    <w:rsid w:val="00EB14DC"/>
    <w:rsid w:val="00EB3109"/>
    <w:rsid w:val="00ED0F30"/>
    <w:rsid w:val="00ED3EBC"/>
    <w:rsid w:val="00EE5847"/>
    <w:rsid w:val="00EE7CFE"/>
    <w:rsid w:val="00EF225C"/>
    <w:rsid w:val="00EF582E"/>
    <w:rsid w:val="00F137A7"/>
    <w:rsid w:val="00F26D18"/>
    <w:rsid w:val="00F30907"/>
    <w:rsid w:val="00F514C6"/>
    <w:rsid w:val="00F533F7"/>
    <w:rsid w:val="00F61881"/>
    <w:rsid w:val="00F63FBB"/>
    <w:rsid w:val="00F76313"/>
    <w:rsid w:val="00F9556D"/>
    <w:rsid w:val="00FC0ABE"/>
    <w:rsid w:val="00FD2040"/>
    <w:rsid w:val="00FD3ED1"/>
    <w:rsid w:val="00FE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424D8"/>
  <w14:defaultImageDpi w14:val="32767"/>
  <w15:chartTrackingRefBased/>
  <w15:docId w15:val="{894EC9DA-87AA-2B45-8D87-0B95663A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EB14DC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37B8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37B8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37B8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7B8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7B8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37B8C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7B8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Ruud Jorna</cp:lastModifiedBy>
  <cp:revision>2</cp:revision>
  <dcterms:created xsi:type="dcterms:W3CDTF">2018-09-20T08:52:00Z</dcterms:created>
  <dcterms:modified xsi:type="dcterms:W3CDTF">2018-09-20T08:52:00Z</dcterms:modified>
</cp:coreProperties>
</file>