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38" w:rsidRPr="00DF7C4C" w:rsidRDefault="00AD0438" w:rsidP="00AD0438">
      <w:pPr>
        <w:shd w:val="clear" w:color="auto" w:fill="FFFFFF"/>
        <w:spacing w:after="0" w:line="270" w:lineRule="atLeast"/>
        <w:textAlignment w:val="baseline"/>
        <w:rPr>
          <w:rFonts w:ascii="inherit" w:eastAsia="Times New Roman" w:hAnsi="inherit" w:cs="Arial"/>
          <w:color w:val="000000"/>
          <w:sz w:val="18"/>
          <w:szCs w:val="18"/>
        </w:rPr>
      </w:pPr>
      <w:bookmarkStart w:id="0" w:name="_GoBack"/>
      <w:bookmarkEnd w:id="0"/>
    </w:p>
    <w:tbl>
      <w:tblPr>
        <w:tblStyle w:val="TableGrid"/>
        <w:tblW w:w="0" w:type="auto"/>
        <w:tblLook w:val="04A0" w:firstRow="1" w:lastRow="0" w:firstColumn="1" w:lastColumn="0" w:noHBand="0" w:noVBand="1"/>
      </w:tblPr>
      <w:tblGrid>
        <w:gridCol w:w="9576"/>
      </w:tblGrid>
      <w:tr w:rsidR="00AD0438" w:rsidRPr="006F5CC7" w:rsidTr="00AD0438">
        <w:tc>
          <w:tcPr>
            <w:tcW w:w="9576" w:type="dxa"/>
          </w:tcPr>
          <w:p w:rsidR="00AD0438" w:rsidRPr="006F5CC7" w:rsidRDefault="00B12DCA">
            <w:pPr>
              <w:rPr>
                <w:rFonts w:ascii="Verdana" w:hAnsi="Verdana"/>
                <w:b/>
              </w:rPr>
            </w:pPr>
            <w:r w:rsidRPr="006F5CC7">
              <w:rPr>
                <w:rFonts w:ascii="Verdana" w:hAnsi="Verdana"/>
                <w:b/>
              </w:rPr>
              <w:t>Contact details:</w:t>
            </w:r>
          </w:p>
          <w:p w:rsidR="00B12DCA" w:rsidRPr="006F5CC7" w:rsidRDefault="00B12DCA">
            <w:pPr>
              <w:rPr>
                <w:rFonts w:ascii="Verdana" w:hAnsi="Verdana"/>
              </w:rPr>
            </w:pPr>
            <w:r w:rsidRPr="006F5CC7">
              <w:rPr>
                <w:rFonts w:ascii="Verdana" w:hAnsi="Verdana"/>
              </w:rPr>
              <w:t>Name:</w:t>
            </w:r>
            <w:r w:rsidR="00F20188">
              <w:rPr>
                <w:rFonts w:ascii="Verdana" w:hAnsi="Verdana"/>
              </w:rPr>
              <w:t xml:space="preserve"> Ezra Linley </w:t>
            </w:r>
          </w:p>
          <w:p w:rsidR="00B12DCA" w:rsidRPr="006F5CC7" w:rsidRDefault="00B12DCA">
            <w:pPr>
              <w:rPr>
                <w:rFonts w:ascii="Verdana" w:hAnsi="Verdana"/>
              </w:rPr>
            </w:pPr>
            <w:r w:rsidRPr="006F5CC7">
              <w:rPr>
                <w:rFonts w:ascii="Verdana" w:hAnsi="Verdana"/>
              </w:rPr>
              <w:t>Institute/ Organization:</w:t>
            </w:r>
            <w:r w:rsidR="00F20188">
              <w:rPr>
                <w:rFonts w:ascii="Verdana" w:hAnsi="Verdana"/>
              </w:rPr>
              <w:t xml:space="preserve"> Public Health England</w:t>
            </w:r>
          </w:p>
          <w:p w:rsidR="006F5CC7" w:rsidRPr="007746DC" w:rsidRDefault="007746DC">
            <w:pPr>
              <w:rPr>
                <w:rFonts w:ascii="Verdana" w:hAnsi="Verdana"/>
                <w:b/>
              </w:rPr>
            </w:pPr>
            <w:r>
              <w:rPr>
                <w:rFonts w:ascii="Verdana" w:hAnsi="Verdana"/>
                <w:b/>
              </w:rPr>
              <w:t>Address</w:t>
            </w:r>
          </w:p>
          <w:p w:rsidR="007746DC" w:rsidRDefault="007746DC">
            <w:pPr>
              <w:rPr>
                <w:rFonts w:ascii="Verdana" w:hAnsi="Verdana"/>
              </w:rPr>
            </w:pPr>
            <w:r>
              <w:rPr>
                <w:rFonts w:ascii="Verdana" w:hAnsi="Verdana"/>
              </w:rPr>
              <w:t>Street:</w:t>
            </w:r>
            <w:r w:rsidR="00F20188">
              <w:rPr>
                <w:rFonts w:ascii="Verdana" w:hAnsi="Verdana"/>
              </w:rPr>
              <w:t xml:space="preserve"> Manchester Royal Infirmary, Oxford Road, Manchester</w:t>
            </w:r>
          </w:p>
          <w:p w:rsidR="006F5CC7" w:rsidRDefault="007746DC">
            <w:pPr>
              <w:rPr>
                <w:rFonts w:ascii="Verdana" w:hAnsi="Verdana"/>
              </w:rPr>
            </w:pPr>
            <w:r>
              <w:rPr>
                <w:rFonts w:ascii="Verdana" w:hAnsi="Verdana"/>
              </w:rPr>
              <w:t>Postal code:</w:t>
            </w:r>
            <w:r w:rsidR="00F20188">
              <w:rPr>
                <w:rFonts w:ascii="Verdana" w:hAnsi="Verdana"/>
              </w:rPr>
              <w:t xml:space="preserve"> M13 9WL</w:t>
            </w:r>
          </w:p>
          <w:p w:rsidR="007746DC" w:rsidRPr="006F5CC7" w:rsidRDefault="007746DC">
            <w:pPr>
              <w:rPr>
                <w:rFonts w:ascii="Verdana" w:hAnsi="Verdana"/>
              </w:rPr>
            </w:pPr>
            <w:r>
              <w:rPr>
                <w:rFonts w:ascii="Verdana" w:hAnsi="Verdana"/>
              </w:rPr>
              <w:t>Country:</w:t>
            </w:r>
            <w:r w:rsidR="00F20188">
              <w:rPr>
                <w:rFonts w:ascii="Verdana" w:hAnsi="Verdana"/>
              </w:rPr>
              <w:t xml:space="preserve"> UK</w:t>
            </w:r>
          </w:p>
          <w:p w:rsidR="00F20188" w:rsidRPr="006F5CC7" w:rsidRDefault="007746DC">
            <w:pPr>
              <w:rPr>
                <w:rFonts w:ascii="Verdana" w:hAnsi="Verdana"/>
              </w:rPr>
            </w:pPr>
            <w:r w:rsidRPr="006F5CC7">
              <w:rPr>
                <w:rFonts w:ascii="Verdana" w:hAnsi="Verdana"/>
              </w:rPr>
              <w:t>Phone number</w:t>
            </w:r>
            <w:r w:rsidR="006F5CC7" w:rsidRPr="006F5CC7">
              <w:rPr>
                <w:rFonts w:ascii="Verdana" w:hAnsi="Verdana"/>
              </w:rPr>
              <w:t>:</w:t>
            </w:r>
            <w:r w:rsidR="00F20188">
              <w:rPr>
                <w:rFonts w:ascii="Verdana" w:hAnsi="Verdana"/>
              </w:rPr>
              <w:t xml:space="preserve"> 0161 701 5303</w:t>
            </w:r>
          </w:p>
          <w:p w:rsidR="005F50AE" w:rsidRPr="006F5CC7" w:rsidRDefault="00B12DCA" w:rsidP="00CF59C2">
            <w:pPr>
              <w:rPr>
                <w:rFonts w:ascii="Verdana" w:hAnsi="Verdana"/>
              </w:rPr>
            </w:pPr>
            <w:r w:rsidRPr="006F5CC7">
              <w:rPr>
                <w:rFonts w:ascii="Verdana" w:hAnsi="Verdana"/>
              </w:rPr>
              <w:t>Email address:</w:t>
            </w:r>
            <w:r w:rsidR="00F20188">
              <w:rPr>
                <w:rFonts w:ascii="Verdana" w:hAnsi="Verdana"/>
              </w:rPr>
              <w:t xml:space="preserve"> ezra.linley@phe.gov.uk</w:t>
            </w:r>
          </w:p>
        </w:tc>
      </w:tr>
      <w:tr w:rsidR="00B12DCA" w:rsidRPr="006F5CC7" w:rsidTr="00B12DCA">
        <w:tc>
          <w:tcPr>
            <w:tcW w:w="9576" w:type="dxa"/>
          </w:tcPr>
          <w:p w:rsidR="00B12DCA" w:rsidRPr="006F5CC7" w:rsidRDefault="00B12DCA" w:rsidP="005C034D">
            <w:pPr>
              <w:rPr>
                <w:rFonts w:ascii="Verdana" w:hAnsi="Verdana"/>
              </w:rPr>
            </w:pPr>
            <w:r w:rsidRPr="006F5CC7">
              <w:rPr>
                <w:rFonts w:ascii="Verdana" w:hAnsi="Verdana"/>
                <w:b/>
                <w:sz w:val="28"/>
                <w:szCs w:val="28"/>
              </w:rPr>
              <w:t xml:space="preserve">Title: </w:t>
            </w:r>
          </w:p>
          <w:p w:rsidR="006F5CC7" w:rsidRPr="007746DC" w:rsidRDefault="00AA450A" w:rsidP="005C034D">
            <w:pPr>
              <w:rPr>
                <w:rFonts w:ascii="Verdana" w:hAnsi="Verdana"/>
                <w:sz w:val="24"/>
                <w:szCs w:val="24"/>
              </w:rPr>
            </w:pPr>
            <w:r>
              <w:rPr>
                <w:rFonts w:ascii="Verdana" w:hAnsi="Verdana"/>
                <w:sz w:val="24"/>
                <w:szCs w:val="24"/>
              </w:rPr>
              <w:t>“</w:t>
            </w:r>
            <w:r w:rsidR="00F20188">
              <w:rPr>
                <w:rFonts w:ascii="Verdana" w:hAnsi="Verdana"/>
                <w:sz w:val="24"/>
                <w:szCs w:val="24"/>
              </w:rPr>
              <w:t xml:space="preserve">Should pneumococcal serotype 3 be included in </w:t>
            </w:r>
            <w:proofErr w:type="spellStart"/>
            <w:r w:rsidR="00F20188">
              <w:rPr>
                <w:rFonts w:ascii="Verdana" w:hAnsi="Verdana"/>
                <w:sz w:val="24"/>
                <w:szCs w:val="24"/>
              </w:rPr>
              <w:t>sero</w:t>
            </w:r>
            <w:proofErr w:type="spellEnd"/>
            <w:r w:rsidR="00F20188">
              <w:rPr>
                <w:rFonts w:ascii="Verdana" w:hAnsi="Verdana"/>
                <w:sz w:val="24"/>
                <w:szCs w:val="24"/>
              </w:rPr>
              <w:t>-type specific immunoassays?</w:t>
            </w:r>
            <w:r>
              <w:rPr>
                <w:rFonts w:ascii="Verdana" w:hAnsi="Verdana"/>
                <w:sz w:val="24"/>
                <w:szCs w:val="24"/>
              </w:rPr>
              <w:t>”</w:t>
            </w:r>
          </w:p>
          <w:p w:rsidR="00B12DCA" w:rsidRDefault="00B12DCA" w:rsidP="005C034D">
            <w:pPr>
              <w:rPr>
                <w:rFonts w:ascii="Verdana" w:hAnsi="Verdana"/>
              </w:rPr>
            </w:pPr>
          </w:p>
          <w:p w:rsidR="00AA450A" w:rsidRDefault="00AA450A" w:rsidP="005C034D">
            <w:pPr>
              <w:rPr>
                <w:rFonts w:ascii="Verdana" w:hAnsi="Verdana"/>
              </w:rPr>
            </w:pPr>
            <w:r>
              <w:rPr>
                <w:rFonts w:ascii="Verdana" w:hAnsi="Verdana"/>
              </w:rPr>
              <w:t xml:space="preserve">Ezra Linley, Abigail Bell, Jenna </w:t>
            </w:r>
            <w:proofErr w:type="spellStart"/>
            <w:r>
              <w:rPr>
                <w:rFonts w:ascii="Verdana" w:hAnsi="Verdana"/>
              </w:rPr>
              <w:t>Gritzfeld</w:t>
            </w:r>
            <w:proofErr w:type="spellEnd"/>
            <w:r>
              <w:rPr>
                <w:rFonts w:ascii="Verdana" w:hAnsi="Verdana"/>
              </w:rPr>
              <w:t>,  Ray Borrow</w:t>
            </w:r>
          </w:p>
          <w:p w:rsidR="00CF59C2" w:rsidRDefault="00CF59C2" w:rsidP="005C034D">
            <w:pPr>
              <w:rPr>
                <w:rFonts w:ascii="Verdana" w:hAnsi="Verdana"/>
              </w:rPr>
            </w:pPr>
          </w:p>
          <w:p w:rsidR="00AA450A" w:rsidRPr="006F5CC7" w:rsidRDefault="00AA450A" w:rsidP="005C034D">
            <w:pPr>
              <w:rPr>
                <w:rFonts w:ascii="Verdana" w:hAnsi="Verdana"/>
              </w:rPr>
            </w:pPr>
            <w:r w:rsidRPr="00AA450A">
              <w:rPr>
                <w:rFonts w:ascii="Verdana" w:hAnsi="Verdana"/>
              </w:rPr>
              <w:t>Vaccine Evaluation Unit, Public Health England, Manchester, UK</w:t>
            </w:r>
          </w:p>
        </w:tc>
      </w:tr>
      <w:tr w:rsidR="00B12DCA" w:rsidRPr="006F5CC7" w:rsidTr="00B12DCA">
        <w:tc>
          <w:tcPr>
            <w:tcW w:w="9576" w:type="dxa"/>
          </w:tcPr>
          <w:p w:rsidR="00B12DCA" w:rsidRPr="006F5CC7" w:rsidRDefault="00B12DCA" w:rsidP="005C034D">
            <w:pPr>
              <w:rPr>
                <w:rFonts w:ascii="Verdana" w:hAnsi="Verdana"/>
              </w:rPr>
            </w:pPr>
            <w:r w:rsidRPr="006F5CC7">
              <w:rPr>
                <w:rFonts w:ascii="Verdana" w:hAnsi="Verdana"/>
              </w:rPr>
              <w:t>1) Background and aim:</w:t>
            </w:r>
          </w:p>
          <w:p w:rsidR="00B12DCA" w:rsidRPr="006F5CC7" w:rsidRDefault="00B12DCA" w:rsidP="005C034D">
            <w:pPr>
              <w:rPr>
                <w:rFonts w:ascii="Verdana" w:hAnsi="Verdana"/>
              </w:rPr>
            </w:pPr>
          </w:p>
          <w:p w:rsidR="00B12DCA" w:rsidRPr="006F5CC7" w:rsidRDefault="00AA450A" w:rsidP="005C034D">
            <w:pPr>
              <w:rPr>
                <w:rFonts w:ascii="Verdana" w:hAnsi="Verdana"/>
              </w:rPr>
            </w:pPr>
            <w:r w:rsidRPr="00AA450A">
              <w:rPr>
                <w:rFonts w:ascii="Verdana" w:hAnsi="Verdana"/>
              </w:rPr>
              <w:t>Since the introduction of the PCV13 vaccine, a number of studies have been performed demonstrating the limited efficacy of the</w:t>
            </w:r>
            <w:r w:rsidR="00CF59C2">
              <w:rPr>
                <w:rFonts w:ascii="Verdana" w:hAnsi="Verdana"/>
              </w:rPr>
              <w:t xml:space="preserve"> pneumococcal</w:t>
            </w:r>
            <w:r w:rsidRPr="00AA450A">
              <w:rPr>
                <w:rFonts w:ascii="Verdana" w:hAnsi="Verdana"/>
              </w:rPr>
              <w:t xml:space="preserve"> serotype 3</w:t>
            </w:r>
            <w:r w:rsidR="00CF59C2">
              <w:rPr>
                <w:rFonts w:ascii="Verdana" w:hAnsi="Verdana"/>
              </w:rPr>
              <w:t xml:space="preserve"> (Pn3)</w:t>
            </w:r>
            <w:r w:rsidRPr="00AA450A">
              <w:rPr>
                <w:rFonts w:ascii="Verdana" w:hAnsi="Verdana"/>
              </w:rPr>
              <w:t xml:space="preserve"> component of this vaccine. This </w:t>
            </w:r>
            <w:r>
              <w:rPr>
                <w:rFonts w:ascii="Verdana" w:hAnsi="Verdana"/>
              </w:rPr>
              <w:t>poster</w:t>
            </w:r>
            <w:r w:rsidRPr="00AA450A">
              <w:rPr>
                <w:rFonts w:ascii="Verdana" w:hAnsi="Verdana"/>
              </w:rPr>
              <w:t xml:space="preserve"> outlines the evidence for this, and details some of the</w:t>
            </w:r>
            <w:r w:rsidR="00CF59C2">
              <w:rPr>
                <w:rFonts w:ascii="Verdana" w:hAnsi="Verdana"/>
              </w:rPr>
              <w:t xml:space="preserve"> technical difficulties of the Pn</w:t>
            </w:r>
            <w:r w:rsidRPr="00AA450A">
              <w:rPr>
                <w:rFonts w:ascii="Verdana" w:hAnsi="Verdana"/>
              </w:rPr>
              <w:t xml:space="preserve">3 component of the multiplexed pneumococcal antibody assay and discusses whether it is necessary to include </w:t>
            </w:r>
            <w:r w:rsidR="00CF59C2">
              <w:rPr>
                <w:rFonts w:ascii="Verdana" w:hAnsi="Verdana"/>
              </w:rPr>
              <w:t>Pn</w:t>
            </w:r>
            <w:r w:rsidRPr="00AA450A">
              <w:rPr>
                <w:rFonts w:ascii="Verdana" w:hAnsi="Verdana"/>
              </w:rPr>
              <w:t>3 in the assay in the future.</w:t>
            </w:r>
          </w:p>
          <w:p w:rsidR="00B12DCA" w:rsidRPr="006F5CC7" w:rsidRDefault="00B12DCA" w:rsidP="005C034D">
            <w:pPr>
              <w:rPr>
                <w:rFonts w:ascii="Verdana" w:hAnsi="Verdana"/>
              </w:rPr>
            </w:pPr>
          </w:p>
          <w:p w:rsidR="00B12DCA" w:rsidRPr="006F5CC7" w:rsidRDefault="00B12DCA" w:rsidP="005C034D">
            <w:pPr>
              <w:rPr>
                <w:rFonts w:ascii="Verdana" w:hAnsi="Verdana"/>
              </w:rPr>
            </w:pPr>
            <w:r w:rsidRPr="006F5CC7">
              <w:rPr>
                <w:rFonts w:ascii="Verdana" w:hAnsi="Verdana"/>
              </w:rPr>
              <w:t>2) Methods:</w:t>
            </w:r>
          </w:p>
          <w:p w:rsidR="00B12DCA" w:rsidRPr="006F5CC7" w:rsidRDefault="00B12DCA" w:rsidP="005C034D">
            <w:pPr>
              <w:rPr>
                <w:rFonts w:ascii="Verdana" w:hAnsi="Verdana"/>
              </w:rPr>
            </w:pPr>
          </w:p>
          <w:p w:rsidR="00CF59C2" w:rsidRDefault="00AA450A" w:rsidP="005C034D">
            <w:pPr>
              <w:rPr>
                <w:rFonts w:ascii="Verdana" w:hAnsi="Verdana"/>
              </w:rPr>
            </w:pPr>
            <w:r>
              <w:rPr>
                <w:rFonts w:ascii="Verdana" w:hAnsi="Verdana"/>
              </w:rPr>
              <w:t xml:space="preserve">A literature review was performed on recent publications to assess the evidence for efficacy of the PCV13 vaccine against </w:t>
            </w:r>
            <w:r w:rsidR="00CF59C2">
              <w:rPr>
                <w:rFonts w:ascii="Verdana" w:hAnsi="Verdana"/>
              </w:rPr>
              <w:t>Pn</w:t>
            </w:r>
            <w:r>
              <w:rPr>
                <w:rFonts w:ascii="Verdana" w:hAnsi="Verdana"/>
              </w:rPr>
              <w:t xml:space="preserve">3. </w:t>
            </w:r>
          </w:p>
          <w:p w:rsidR="00B12DCA" w:rsidRPr="006F5CC7" w:rsidRDefault="00AA450A" w:rsidP="005C034D">
            <w:pPr>
              <w:rPr>
                <w:rFonts w:ascii="Verdana" w:hAnsi="Verdana"/>
              </w:rPr>
            </w:pPr>
            <w:r>
              <w:rPr>
                <w:rFonts w:ascii="Verdana" w:hAnsi="Verdana"/>
              </w:rPr>
              <w:t>Literature was reviewed to propose some mechanisms  for the lack of eff</w:t>
            </w:r>
            <w:r w:rsidR="005C034D">
              <w:rPr>
                <w:rFonts w:ascii="Verdana" w:hAnsi="Verdana"/>
              </w:rPr>
              <w:t>icacy.</w:t>
            </w:r>
          </w:p>
          <w:p w:rsidR="00B12DCA" w:rsidRPr="006F5CC7" w:rsidRDefault="005C034D" w:rsidP="005C034D">
            <w:pPr>
              <w:rPr>
                <w:rFonts w:ascii="Verdana" w:hAnsi="Verdana"/>
              </w:rPr>
            </w:pPr>
            <w:r>
              <w:rPr>
                <w:rFonts w:ascii="Verdana" w:hAnsi="Verdana"/>
              </w:rPr>
              <w:t xml:space="preserve">Evidence for issues regarding reproducibility of the </w:t>
            </w:r>
            <w:r w:rsidR="00CF59C2">
              <w:rPr>
                <w:rFonts w:ascii="Verdana" w:hAnsi="Verdana"/>
              </w:rPr>
              <w:t>Pn</w:t>
            </w:r>
            <w:r>
              <w:rPr>
                <w:rFonts w:ascii="Verdana" w:hAnsi="Verdana"/>
              </w:rPr>
              <w:t xml:space="preserve">3 component of the Luminex assay was reviewed and summarized. </w:t>
            </w:r>
          </w:p>
          <w:p w:rsidR="00B12DCA" w:rsidRPr="006F5CC7" w:rsidRDefault="00B12DCA" w:rsidP="005C034D">
            <w:pPr>
              <w:rPr>
                <w:rFonts w:ascii="Verdana" w:hAnsi="Verdana"/>
              </w:rPr>
            </w:pPr>
          </w:p>
          <w:p w:rsidR="00B12DCA" w:rsidRPr="006F5CC7" w:rsidRDefault="00B12DCA" w:rsidP="005C034D">
            <w:pPr>
              <w:rPr>
                <w:rFonts w:ascii="Verdana" w:hAnsi="Verdana"/>
              </w:rPr>
            </w:pPr>
          </w:p>
          <w:p w:rsidR="00B12DCA" w:rsidRPr="006F5CC7" w:rsidRDefault="00B12DCA" w:rsidP="005C034D">
            <w:pPr>
              <w:rPr>
                <w:rFonts w:ascii="Verdana" w:hAnsi="Verdana"/>
              </w:rPr>
            </w:pPr>
            <w:r w:rsidRPr="006F5CC7">
              <w:rPr>
                <w:rFonts w:ascii="Verdana" w:hAnsi="Verdana"/>
              </w:rPr>
              <w:t>3) Results:</w:t>
            </w:r>
          </w:p>
          <w:p w:rsidR="00B12DCA" w:rsidRPr="006F5CC7" w:rsidRDefault="00B12DCA" w:rsidP="005C034D">
            <w:pPr>
              <w:rPr>
                <w:rFonts w:ascii="Verdana" w:hAnsi="Verdana"/>
              </w:rPr>
            </w:pPr>
          </w:p>
          <w:p w:rsidR="00B12DCA" w:rsidRPr="006F5CC7" w:rsidRDefault="005C034D" w:rsidP="005C034D">
            <w:pPr>
              <w:rPr>
                <w:rFonts w:ascii="Verdana" w:hAnsi="Verdana"/>
              </w:rPr>
            </w:pPr>
            <w:r>
              <w:rPr>
                <w:rFonts w:ascii="Verdana" w:hAnsi="Verdana"/>
              </w:rPr>
              <w:t xml:space="preserve">Evidence from seven countries (Denmark, France, Greece, Portugal, Sweden, UK, US) shows limited or no effectiveness of PCV13 vaccine against </w:t>
            </w:r>
            <w:r w:rsidR="00CF59C2">
              <w:rPr>
                <w:rFonts w:ascii="Verdana" w:hAnsi="Verdana"/>
              </w:rPr>
              <w:t>Pn</w:t>
            </w:r>
            <w:r w:rsidR="00E96AEC">
              <w:rPr>
                <w:rFonts w:ascii="Verdana" w:hAnsi="Verdana"/>
              </w:rPr>
              <w:t>3 invasive pneumococcal disease, otitis media, and carriage.</w:t>
            </w:r>
          </w:p>
          <w:p w:rsidR="00E96AEC" w:rsidRDefault="00CF59C2" w:rsidP="005C034D">
            <w:pPr>
              <w:rPr>
                <w:rFonts w:ascii="Verdana" w:hAnsi="Verdana"/>
              </w:rPr>
            </w:pPr>
            <w:proofErr w:type="spellStart"/>
            <w:r>
              <w:rPr>
                <w:rFonts w:ascii="Verdana" w:hAnsi="Verdana"/>
              </w:rPr>
              <w:t>Pn</w:t>
            </w:r>
            <w:proofErr w:type="spellEnd"/>
            <w:r w:rsidR="00E96AEC">
              <w:rPr>
                <w:rFonts w:ascii="Verdana" w:hAnsi="Verdana"/>
              </w:rPr>
              <w:t xml:space="preserve"> 3 capsule shows some unique characteristics that may serve to explain this lack of efficacy – capsular polysaccharide is abundantly expressed, leading to a greater thickness of capsule, and free CPS may be released during growth.</w:t>
            </w:r>
          </w:p>
          <w:p w:rsidR="00B12DCA" w:rsidRPr="006F5CC7" w:rsidRDefault="00E96AEC" w:rsidP="005C034D">
            <w:pPr>
              <w:rPr>
                <w:rFonts w:ascii="Verdana" w:hAnsi="Verdana"/>
              </w:rPr>
            </w:pPr>
            <w:r>
              <w:rPr>
                <w:rFonts w:ascii="Verdana" w:hAnsi="Verdana"/>
              </w:rPr>
              <w:t xml:space="preserve">The </w:t>
            </w:r>
            <w:r w:rsidR="00CF59C2">
              <w:rPr>
                <w:rFonts w:ascii="Verdana" w:hAnsi="Verdana"/>
              </w:rPr>
              <w:t>Pn</w:t>
            </w:r>
            <w:r>
              <w:rPr>
                <w:rFonts w:ascii="Verdana" w:hAnsi="Verdana"/>
              </w:rPr>
              <w:t>3 component of the Luminex assay demonstrates poorer between-laboratory reproducibility than other components</w:t>
            </w:r>
            <w:r w:rsidR="00CF59C2">
              <w:rPr>
                <w:rFonts w:ascii="Verdana" w:hAnsi="Verdana"/>
              </w:rPr>
              <w:t xml:space="preserve"> according to NEQAS reports</w:t>
            </w:r>
            <w:r>
              <w:rPr>
                <w:rFonts w:ascii="Verdana" w:hAnsi="Verdana"/>
              </w:rPr>
              <w:t>.</w:t>
            </w:r>
          </w:p>
          <w:p w:rsidR="00B12DCA" w:rsidRPr="006F5CC7" w:rsidRDefault="00B12DCA" w:rsidP="005C034D">
            <w:pPr>
              <w:rPr>
                <w:rFonts w:ascii="Verdana" w:hAnsi="Verdana"/>
              </w:rPr>
            </w:pPr>
          </w:p>
          <w:p w:rsidR="00B12DCA" w:rsidRDefault="00B12DCA" w:rsidP="005C034D">
            <w:pPr>
              <w:rPr>
                <w:rFonts w:ascii="Verdana" w:hAnsi="Verdana"/>
              </w:rPr>
            </w:pPr>
            <w:r w:rsidRPr="006F5CC7">
              <w:rPr>
                <w:rFonts w:ascii="Verdana" w:hAnsi="Verdana"/>
              </w:rPr>
              <w:t>4) Conclusion:</w:t>
            </w:r>
          </w:p>
          <w:p w:rsidR="00B12DCA" w:rsidRPr="006F5CC7" w:rsidRDefault="00CF59C2" w:rsidP="00CF59C2">
            <w:pPr>
              <w:rPr>
                <w:rFonts w:ascii="Verdana" w:hAnsi="Verdana"/>
              </w:rPr>
            </w:pPr>
            <w:r>
              <w:rPr>
                <w:rFonts w:ascii="Verdana" w:hAnsi="Verdana"/>
              </w:rPr>
              <w:t>The serotype 3 component of the PCV13 vaccine has limited to negative evidence for efficacy, thus serotype specific results for Pn3 anti body levels are of questionable clinical relevance. This, in combination with the issues regarding assay reproducibility of the Pn3 Luminex component, leads us to  suggest that Pn3 be removed from the multiplexed immunoassay.</w:t>
            </w:r>
          </w:p>
        </w:tc>
      </w:tr>
    </w:tbl>
    <w:p w:rsidR="00AD0438" w:rsidRDefault="00AD0438" w:rsidP="00CF59C2"/>
    <w:sectPr w:rsidR="00AD0438" w:rsidSect="00AD043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7A2"/>
    <w:multiLevelType w:val="multilevel"/>
    <w:tmpl w:val="D26A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E4B"/>
    <w:multiLevelType w:val="hybridMultilevel"/>
    <w:tmpl w:val="C4D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87EF4"/>
    <w:multiLevelType w:val="hybridMultilevel"/>
    <w:tmpl w:val="4A5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C"/>
    <w:rsid w:val="00151C6E"/>
    <w:rsid w:val="003249DE"/>
    <w:rsid w:val="004227FC"/>
    <w:rsid w:val="004F1E69"/>
    <w:rsid w:val="005C034D"/>
    <w:rsid w:val="005F50AE"/>
    <w:rsid w:val="0063006C"/>
    <w:rsid w:val="006D2150"/>
    <w:rsid w:val="006F5CC7"/>
    <w:rsid w:val="00713DBC"/>
    <w:rsid w:val="007652B1"/>
    <w:rsid w:val="007746DC"/>
    <w:rsid w:val="00873826"/>
    <w:rsid w:val="008C387C"/>
    <w:rsid w:val="00A627B6"/>
    <w:rsid w:val="00A72D7C"/>
    <w:rsid w:val="00A73EA6"/>
    <w:rsid w:val="00AA450A"/>
    <w:rsid w:val="00AD0438"/>
    <w:rsid w:val="00B12DCA"/>
    <w:rsid w:val="00C139B9"/>
    <w:rsid w:val="00CF59C2"/>
    <w:rsid w:val="00DF7C4C"/>
    <w:rsid w:val="00E06358"/>
    <w:rsid w:val="00E96AEC"/>
    <w:rsid w:val="00EF1B56"/>
    <w:rsid w:val="00F2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B2E47-7673-482D-800C-7B80E1C0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1505">
      <w:bodyDiv w:val="1"/>
      <w:marLeft w:val="0"/>
      <w:marRight w:val="0"/>
      <w:marTop w:val="0"/>
      <w:marBottom w:val="0"/>
      <w:divBdr>
        <w:top w:val="none" w:sz="0" w:space="0" w:color="auto"/>
        <w:left w:val="none" w:sz="0" w:space="0" w:color="auto"/>
        <w:bottom w:val="none" w:sz="0" w:space="0" w:color="auto"/>
        <w:right w:val="none" w:sz="0" w:space="0" w:color="auto"/>
      </w:divBdr>
    </w:div>
    <w:div w:id="852304300">
      <w:bodyDiv w:val="1"/>
      <w:marLeft w:val="0"/>
      <w:marRight w:val="0"/>
      <w:marTop w:val="0"/>
      <w:marBottom w:val="0"/>
      <w:divBdr>
        <w:top w:val="none" w:sz="0" w:space="0" w:color="auto"/>
        <w:left w:val="none" w:sz="0" w:space="0" w:color="auto"/>
        <w:bottom w:val="none" w:sz="0" w:space="0" w:color="auto"/>
        <w:right w:val="none" w:sz="0" w:space="0" w:color="auto"/>
      </w:divBdr>
    </w:div>
    <w:div w:id="1266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9B01-65CE-4287-B03E-A7067033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Luminex Corporation</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Sulter</dc:creator>
  <cp:lastModifiedBy>Marcha Van Der Steen</cp:lastModifiedBy>
  <cp:revision>2</cp:revision>
  <cp:lastPrinted>2016-03-24T15:23:00Z</cp:lastPrinted>
  <dcterms:created xsi:type="dcterms:W3CDTF">2018-10-25T09:32:00Z</dcterms:created>
  <dcterms:modified xsi:type="dcterms:W3CDTF">2018-10-25T09:32:00Z</dcterms:modified>
</cp:coreProperties>
</file>