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438" w:rsidRPr="00DF7C4C" w:rsidRDefault="00AD0438" w:rsidP="00AD0438">
      <w:pPr>
        <w:shd w:val="clear" w:color="auto" w:fill="FFFFFF"/>
        <w:spacing w:after="0" w:line="270" w:lineRule="atLeast"/>
        <w:textAlignment w:val="baseline"/>
        <w:rPr>
          <w:rFonts w:ascii="inherit" w:eastAsia="Times New Roman" w:hAnsi="inherit" w:cs="Arial"/>
          <w:color w:val="000000"/>
          <w:sz w:val="18"/>
          <w:szCs w:val="18"/>
        </w:rPr>
      </w:pPr>
      <w:bookmarkStart w:id="0" w:name="_GoBack"/>
      <w:bookmarkEnd w:id="0"/>
    </w:p>
    <w:tbl>
      <w:tblPr>
        <w:tblStyle w:val="TableGrid"/>
        <w:tblW w:w="0" w:type="auto"/>
        <w:tblLook w:val="04A0" w:firstRow="1" w:lastRow="0" w:firstColumn="1" w:lastColumn="0" w:noHBand="0" w:noVBand="1"/>
      </w:tblPr>
      <w:tblGrid>
        <w:gridCol w:w="9576"/>
      </w:tblGrid>
      <w:tr w:rsidR="00AD0438" w:rsidRPr="006F5CC7" w:rsidTr="00AD0438">
        <w:tc>
          <w:tcPr>
            <w:tcW w:w="9576" w:type="dxa"/>
          </w:tcPr>
          <w:p w:rsidR="00AD0438" w:rsidRPr="006F5CC7" w:rsidRDefault="00B12DCA">
            <w:pPr>
              <w:rPr>
                <w:rFonts w:ascii="Verdana" w:hAnsi="Verdana"/>
                <w:b/>
              </w:rPr>
            </w:pPr>
            <w:r w:rsidRPr="006F5CC7">
              <w:rPr>
                <w:rFonts w:ascii="Verdana" w:hAnsi="Verdana"/>
                <w:b/>
              </w:rPr>
              <w:t>Contact details:</w:t>
            </w:r>
          </w:p>
          <w:p w:rsidR="00B12DCA" w:rsidRPr="006F5CC7" w:rsidRDefault="00B12DCA">
            <w:pPr>
              <w:rPr>
                <w:rFonts w:ascii="Verdana" w:hAnsi="Verdana"/>
              </w:rPr>
            </w:pPr>
            <w:r w:rsidRPr="006F5CC7">
              <w:rPr>
                <w:rFonts w:ascii="Verdana" w:hAnsi="Verdana"/>
              </w:rPr>
              <w:t>Name:</w:t>
            </w:r>
            <w:r w:rsidR="00B43C56">
              <w:rPr>
                <w:rFonts w:ascii="Verdana" w:hAnsi="Verdana"/>
              </w:rPr>
              <w:t xml:space="preserve"> </w:t>
            </w:r>
            <w:r w:rsidR="001837C7">
              <w:rPr>
                <w:rFonts w:ascii="Verdana" w:hAnsi="Verdana"/>
              </w:rPr>
              <w:t xml:space="preserve">Svetlana </w:t>
            </w:r>
            <w:proofErr w:type="spellStart"/>
            <w:r w:rsidR="001837C7">
              <w:rPr>
                <w:rFonts w:ascii="Verdana" w:hAnsi="Verdana"/>
              </w:rPr>
              <w:t>Apalko</w:t>
            </w:r>
            <w:proofErr w:type="spellEnd"/>
          </w:p>
          <w:p w:rsidR="001837C7" w:rsidRPr="001837C7" w:rsidRDefault="00B12DCA">
            <w:pPr>
              <w:rPr>
                <w:rFonts w:ascii="Verdana" w:hAnsi="Verdana"/>
              </w:rPr>
            </w:pPr>
            <w:r w:rsidRPr="006F5CC7">
              <w:rPr>
                <w:rFonts w:ascii="Verdana" w:hAnsi="Verdana"/>
              </w:rPr>
              <w:t>Institute/ Organization:</w:t>
            </w:r>
            <w:r w:rsidR="00B43C56">
              <w:rPr>
                <w:rFonts w:ascii="Verdana" w:hAnsi="Verdana"/>
              </w:rPr>
              <w:t xml:space="preserve"> </w:t>
            </w:r>
            <w:proofErr w:type="spellStart"/>
            <w:r w:rsidR="001837C7" w:rsidRPr="001837C7">
              <w:rPr>
                <w:rFonts w:ascii="Verdana" w:hAnsi="Verdana"/>
              </w:rPr>
              <w:t>SPb</w:t>
            </w:r>
            <w:proofErr w:type="spellEnd"/>
            <w:r w:rsidR="001837C7" w:rsidRPr="001837C7">
              <w:rPr>
                <w:rFonts w:ascii="Verdana" w:hAnsi="Verdana"/>
              </w:rPr>
              <w:t xml:space="preserve"> SBHI</w:t>
            </w:r>
            <w:r w:rsidR="001837C7">
              <w:rPr>
                <w:rFonts w:ascii="Verdana" w:hAnsi="Verdana"/>
              </w:rPr>
              <w:t xml:space="preserve"> </w:t>
            </w:r>
            <w:r w:rsidR="00B43C56">
              <w:rPr>
                <w:rFonts w:ascii="Verdana" w:hAnsi="Verdana"/>
              </w:rPr>
              <w:t>City Hospital 40</w:t>
            </w:r>
            <w:r w:rsidR="001837C7" w:rsidRPr="001837C7">
              <w:rPr>
                <w:rFonts w:ascii="Verdana" w:hAnsi="Verdana"/>
              </w:rPr>
              <w:t xml:space="preserve"> of Resort District</w:t>
            </w:r>
          </w:p>
          <w:p w:rsidR="006F5CC7" w:rsidRPr="007746DC" w:rsidRDefault="007746DC">
            <w:pPr>
              <w:rPr>
                <w:rFonts w:ascii="Verdana" w:hAnsi="Verdana"/>
                <w:b/>
              </w:rPr>
            </w:pPr>
            <w:r>
              <w:rPr>
                <w:rFonts w:ascii="Verdana" w:hAnsi="Verdana"/>
                <w:b/>
              </w:rPr>
              <w:t>Address</w:t>
            </w:r>
          </w:p>
          <w:p w:rsidR="007746DC" w:rsidRDefault="007746DC">
            <w:pPr>
              <w:rPr>
                <w:rFonts w:ascii="Verdana" w:hAnsi="Verdana"/>
              </w:rPr>
            </w:pPr>
            <w:r>
              <w:rPr>
                <w:rFonts w:ascii="Verdana" w:hAnsi="Verdana"/>
              </w:rPr>
              <w:t>Street:</w:t>
            </w:r>
            <w:r w:rsidR="00B43C56">
              <w:rPr>
                <w:rFonts w:ascii="Verdana" w:hAnsi="Verdana"/>
              </w:rPr>
              <w:t xml:space="preserve"> </w:t>
            </w:r>
            <w:proofErr w:type="spellStart"/>
            <w:r w:rsidR="00B43C56">
              <w:rPr>
                <w:rFonts w:ascii="Verdana" w:hAnsi="Verdana"/>
              </w:rPr>
              <w:t>Borisova</w:t>
            </w:r>
            <w:proofErr w:type="spellEnd"/>
            <w:r w:rsidR="004319CC">
              <w:rPr>
                <w:rFonts w:ascii="Verdana" w:hAnsi="Verdana"/>
              </w:rPr>
              <w:t>, 9</w:t>
            </w:r>
          </w:p>
          <w:p w:rsidR="006F5CC7" w:rsidRDefault="007746DC">
            <w:pPr>
              <w:rPr>
                <w:rFonts w:ascii="Verdana" w:hAnsi="Verdana"/>
              </w:rPr>
            </w:pPr>
            <w:r>
              <w:rPr>
                <w:rFonts w:ascii="Verdana" w:hAnsi="Verdana"/>
              </w:rPr>
              <w:t>Postal code:</w:t>
            </w:r>
            <w:r w:rsidR="00B43C56">
              <w:rPr>
                <w:rFonts w:ascii="Verdana" w:hAnsi="Verdana"/>
              </w:rPr>
              <w:t xml:space="preserve"> </w:t>
            </w:r>
            <w:r w:rsidR="00B43C56" w:rsidRPr="00B43C56">
              <w:rPr>
                <w:rFonts w:ascii="Verdana" w:hAnsi="Verdana"/>
              </w:rPr>
              <w:t>197706</w:t>
            </w:r>
          </w:p>
          <w:p w:rsidR="007746DC" w:rsidRPr="006F5CC7" w:rsidRDefault="007746DC">
            <w:pPr>
              <w:rPr>
                <w:rFonts w:ascii="Verdana" w:hAnsi="Verdana"/>
              </w:rPr>
            </w:pPr>
            <w:r>
              <w:rPr>
                <w:rFonts w:ascii="Verdana" w:hAnsi="Verdana"/>
              </w:rPr>
              <w:t>Country:</w:t>
            </w:r>
            <w:r w:rsidR="00B43C56">
              <w:rPr>
                <w:rFonts w:ascii="Verdana" w:hAnsi="Verdana"/>
              </w:rPr>
              <w:t xml:space="preserve"> Russian Federation</w:t>
            </w:r>
          </w:p>
          <w:p w:rsidR="006F5CC7" w:rsidRPr="006F5CC7" w:rsidRDefault="007746DC">
            <w:pPr>
              <w:rPr>
                <w:rFonts w:ascii="Verdana" w:hAnsi="Verdana"/>
              </w:rPr>
            </w:pPr>
            <w:r w:rsidRPr="006F5CC7">
              <w:rPr>
                <w:rFonts w:ascii="Verdana" w:hAnsi="Verdana"/>
              </w:rPr>
              <w:t>Phone number</w:t>
            </w:r>
            <w:r w:rsidR="006F5CC7" w:rsidRPr="006F5CC7">
              <w:rPr>
                <w:rFonts w:ascii="Verdana" w:hAnsi="Verdana"/>
              </w:rPr>
              <w:t>:</w:t>
            </w:r>
            <w:r w:rsidR="00B43C56">
              <w:rPr>
                <w:rFonts w:ascii="Verdana" w:hAnsi="Verdana"/>
              </w:rPr>
              <w:t xml:space="preserve"> </w:t>
            </w:r>
            <w:r w:rsidR="00B43C56" w:rsidRPr="00B43C56">
              <w:rPr>
                <w:rFonts w:ascii="Verdana" w:hAnsi="Verdana"/>
              </w:rPr>
              <w:t>+79119151244</w:t>
            </w:r>
          </w:p>
          <w:p w:rsidR="007746DC" w:rsidRPr="006F5CC7" w:rsidRDefault="00B12DCA">
            <w:pPr>
              <w:rPr>
                <w:rFonts w:ascii="Verdana" w:hAnsi="Verdana"/>
              </w:rPr>
            </w:pPr>
            <w:r w:rsidRPr="006F5CC7">
              <w:rPr>
                <w:rFonts w:ascii="Verdana" w:hAnsi="Verdana"/>
              </w:rPr>
              <w:t>Email address:</w:t>
            </w:r>
            <w:r w:rsidR="00B43C56">
              <w:rPr>
                <w:rFonts w:ascii="Verdana" w:hAnsi="Verdana"/>
              </w:rPr>
              <w:t xml:space="preserve"> </w:t>
            </w:r>
            <w:r w:rsidR="001837C7" w:rsidRPr="001837C7">
              <w:rPr>
                <w:rFonts w:ascii="Verdana" w:hAnsi="Verdana"/>
              </w:rPr>
              <w:t>svetlana.apalko@gmail.com</w:t>
            </w:r>
          </w:p>
          <w:p w:rsidR="005F50AE" w:rsidRPr="006F5CC7" w:rsidRDefault="005F50AE">
            <w:pPr>
              <w:rPr>
                <w:rFonts w:ascii="Verdana" w:hAnsi="Verdana"/>
              </w:rPr>
            </w:pPr>
          </w:p>
        </w:tc>
      </w:tr>
      <w:tr w:rsidR="00B12DCA" w:rsidRPr="006F5CC7" w:rsidTr="001837C7">
        <w:trPr>
          <w:trHeight w:val="739"/>
        </w:trPr>
        <w:tc>
          <w:tcPr>
            <w:tcW w:w="9576" w:type="dxa"/>
          </w:tcPr>
          <w:p w:rsidR="00B12DCA" w:rsidRPr="006F5CC7" w:rsidRDefault="00B12DCA" w:rsidP="00A2331F">
            <w:pPr>
              <w:rPr>
                <w:rFonts w:ascii="Verdana" w:hAnsi="Verdana"/>
              </w:rPr>
            </w:pPr>
            <w:r w:rsidRPr="006F5CC7">
              <w:rPr>
                <w:rFonts w:ascii="Verdana" w:hAnsi="Verdana"/>
                <w:b/>
                <w:sz w:val="28"/>
                <w:szCs w:val="28"/>
              </w:rPr>
              <w:t xml:space="preserve">Title: </w:t>
            </w:r>
          </w:p>
          <w:p w:rsidR="006F5CC7" w:rsidRPr="007746DC" w:rsidRDefault="003E617B" w:rsidP="00A2331F">
            <w:pPr>
              <w:rPr>
                <w:rFonts w:ascii="Verdana" w:hAnsi="Verdana"/>
                <w:sz w:val="24"/>
                <w:szCs w:val="24"/>
              </w:rPr>
            </w:pPr>
            <w:r w:rsidRPr="003E617B">
              <w:rPr>
                <w:rFonts w:ascii="Verdana" w:hAnsi="Verdana"/>
                <w:sz w:val="24"/>
                <w:szCs w:val="24"/>
              </w:rPr>
              <w:t>The role of multiplexed assays in characterizing samples from the clinical biobank</w:t>
            </w:r>
          </w:p>
          <w:p w:rsidR="00B12DCA" w:rsidRPr="006F5CC7" w:rsidRDefault="00B12DCA" w:rsidP="00A2331F">
            <w:pPr>
              <w:rPr>
                <w:rFonts w:ascii="Verdana" w:hAnsi="Verdana"/>
              </w:rPr>
            </w:pPr>
          </w:p>
        </w:tc>
      </w:tr>
      <w:tr w:rsidR="001837C7" w:rsidRPr="006F5CC7" w:rsidTr="00B12DCA">
        <w:trPr>
          <w:trHeight w:val="739"/>
        </w:trPr>
        <w:tc>
          <w:tcPr>
            <w:tcW w:w="9576" w:type="dxa"/>
          </w:tcPr>
          <w:p w:rsidR="001837C7" w:rsidRDefault="001837C7" w:rsidP="001837C7">
            <w:pPr>
              <w:rPr>
                <w:rFonts w:ascii="Verdana" w:hAnsi="Verdana"/>
              </w:rPr>
            </w:pPr>
            <w:proofErr w:type="spellStart"/>
            <w:r>
              <w:rPr>
                <w:rFonts w:ascii="Verdana" w:hAnsi="Verdana"/>
                <w:b/>
                <w:sz w:val="28"/>
                <w:szCs w:val="28"/>
              </w:rPr>
              <w:t>Autors</w:t>
            </w:r>
            <w:proofErr w:type="spellEnd"/>
            <w:r w:rsidRPr="001837C7">
              <w:rPr>
                <w:rFonts w:ascii="Verdana" w:hAnsi="Verdana"/>
                <w:b/>
                <w:sz w:val="28"/>
                <w:szCs w:val="28"/>
              </w:rPr>
              <w:t xml:space="preserve">: </w:t>
            </w:r>
            <w:proofErr w:type="spellStart"/>
            <w:r w:rsidRPr="00B43C56">
              <w:rPr>
                <w:rFonts w:ascii="Verdana" w:hAnsi="Verdana"/>
              </w:rPr>
              <w:t>Apalko</w:t>
            </w:r>
            <w:proofErr w:type="spellEnd"/>
            <w:r>
              <w:rPr>
                <w:rFonts w:ascii="Verdana" w:hAnsi="Verdana"/>
              </w:rPr>
              <w:t xml:space="preserve"> </w:t>
            </w:r>
            <w:r w:rsidRPr="00B43C56">
              <w:rPr>
                <w:rFonts w:ascii="Verdana" w:hAnsi="Verdana"/>
              </w:rPr>
              <w:t>S</w:t>
            </w:r>
            <w:r>
              <w:rPr>
                <w:rFonts w:ascii="Verdana" w:hAnsi="Verdana"/>
              </w:rPr>
              <w:t>.</w:t>
            </w:r>
            <w:r w:rsidRPr="001837C7">
              <w:rPr>
                <w:rFonts w:ascii="Verdana" w:hAnsi="Verdana"/>
                <w:vertAlign w:val="superscript"/>
              </w:rPr>
              <w:t>1</w:t>
            </w:r>
            <w:r>
              <w:rPr>
                <w:rFonts w:ascii="Verdana" w:hAnsi="Verdana"/>
              </w:rPr>
              <w:t xml:space="preserve">, </w:t>
            </w:r>
            <w:proofErr w:type="spellStart"/>
            <w:r>
              <w:rPr>
                <w:rFonts w:ascii="Verdana" w:hAnsi="Verdana"/>
              </w:rPr>
              <w:t>Sushentseva</w:t>
            </w:r>
            <w:proofErr w:type="spellEnd"/>
            <w:r>
              <w:rPr>
                <w:rFonts w:ascii="Verdana" w:hAnsi="Verdana"/>
              </w:rPr>
              <w:t xml:space="preserve"> N.</w:t>
            </w:r>
            <w:r w:rsidRPr="001837C7">
              <w:rPr>
                <w:rFonts w:ascii="Verdana" w:hAnsi="Verdana"/>
                <w:vertAlign w:val="superscript"/>
              </w:rPr>
              <w:t>1</w:t>
            </w:r>
            <w:r>
              <w:rPr>
                <w:rFonts w:ascii="Verdana" w:hAnsi="Verdana"/>
              </w:rPr>
              <w:t xml:space="preserve">, </w:t>
            </w:r>
            <w:proofErr w:type="spellStart"/>
            <w:r>
              <w:rPr>
                <w:rFonts w:ascii="Verdana" w:hAnsi="Verdana"/>
              </w:rPr>
              <w:t>Agafina</w:t>
            </w:r>
            <w:proofErr w:type="spellEnd"/>
            <w:r>
              <w:rPr>
                <w:rFonts w:ascii="Verdana" w:hAnsi="Verdana"/>
              </w:rPr>
              <w:t xml:space="preserve"> A.</w:t>
            </w:r>
            <w:r w:rsidRPr="001837C7">
              <w:rPr>
                <w:rFonts w:ascii="Verdana" w:hAnsi="Verdana"/>
                <w:vertAlign w:val="superscript"/>
              </w:rPr>
              <w:t>1</w:t>
            </w:r>
            <w:r>
              <w:rPr>
                <w:rFonts w:ascii="Verdana" w:hAnsi="Verdana"/>
              </w:rPr>
              <w:t xml:space="preserve">, </w:t>
            </w:r>
            <w:proofErr w:type="spellStart"/>
            <w:r>
              <w:rPr>
                <w:rFonts w:ascii="Verdana" w:hAnsi="Verdana"/>
              </w:rPr>
              <w:t>Raspopova</w:t>
            </w:r>
            <w:proofErr w:type="spellEnd"/>
            <w:r>
              <w:rPr>
                <w:rFonts w:ascii="Verdana" w:hAnsi="Verdana"/>
              </w:rPr>
              <w:t xml:space="preserve"> A.</w:t>
            </w:r>
            <w:r w:rsidRPr="001837C7">
              <w:rPr>
                <w:rFonts w:ascii="Verdana" w:hAnsi="Verdana"/>
                <w:vertAlign w:val="superscript"/>
              </w:rPr>
              <w:t>1</w:t>
            </w:r>
            <w:r>
              <w:rPr>
                <w:rFonts w:ascii="Verdana" w:hAnsi="Verdana"/>
              </w:rPr>
              <w:t xml:space="preserve">, </w:t>
            </w:r>
            <w:proofErr w:type="spellStart"/>
            <w:r>
              <w:rPr>
                <w:rFonts w:ascii="Verdana" w:hAnsi="Verdana"/>
              </w:rPr>
              <w:t>Volodina</w:t>
            </w:r>
            <w:proofErr w:type="spellEnd"/>
            <w:r>
              <w:rPr>
                <w:rFonts w:ascii="Verdana" w:hAnsi="Verdana"/>
              </w:rPr>
              <w:t xml:space="preserve"> S.</w:t>
            </w:r>
            <w:r w:rsidRPr="001837C7">
              <w:rPr>
                <w:rFonts w:ascii="Verdana" w:hAnsi="Verdana"/>
                <w:vertAlign w:val="superscript"/>
              </w:rPr>
              <w:t>1</w:t>
            </w:r>
            <w:r>
              <w:rPr>
                <w:rFonts w:ascii="Verdana" w:hAnsi="Verdana"/>
              </w:rPr>
              <w:t xml:space="preserve">, </w:t>
            </w:r>
            <w:proofErr w:type="spellStart"/>
            <w:r>
              <w:rPr>
                <w:rFonts w:ascii="Verdana" w:hAnsi="Verdana"/>
              </w:rPr>
              <w:t>Sarana</w:t>
            </w:r>
            <w:proofErr w:type="spellEnd"/>
            <w:r>
              <w:rPr>
                <w:rFonts w:ascii="Verdana" w:hAnsi="Verdana"/>
              </w:rPr>
              <w:t xml:space="preserve"> A.</w:t>
            </w:r>
            <w:r w:rsidRPr="001837C7">
              <w:rPr>
                <w:rFonts w:ascii="Verdana" w:hAnsi="Verdana"/>
                <w:vertAlign w:val="superscript"/>
              </w:rPr>
              <w:t>1,2</w:t>
            </w:r>
            <w:r>
              <w:rPr>
                <w:rFonts w:ascii="Verdana" w:hAnsi="Verdana"/>
              </w:rPr>
              <w:t xml:space="preserve">, </w:t>
            </w:r>
            <w:proofErr w:type="spellStart"/>
            <w:r w:rsidRPr="00B43C56">
              <w:rPr>
                <w:rFonts w:ascii="Verdana" w:hAnsi="Verdana"/>
              </w:rPr>
              <w:t>Scherbak</w:t>
            </w:r>
            <w:proofErr w:type="spellEnd"/>
            <w:r>
              <w:rPr>
                <w:rFonts w:ascii="Verdana" w:hAnsi="Verdana"/>
              </w:rPr>
              <w:t xml:space="preserve"> S.</w:t>
            </w:r>
            <w:r w:rsidRPr="001837C7">
              <w:rPr>
                <w:rFonts w:ascii="Verdana" w:hAnsi="Verdana"/>
                <w:vertAlign w:val="superscript"/>
              </w:rPr>
              <w:t>1,2</w:t>
            </w:r>
          </w:p>
          <w:p w:rsidR="001837C7" w:rsidRPr="001837C7" w:rsidRDefault="001837C7" w:rsidP="00300C92">
            <w:pPr>
              <w:rPr>
                <w:rFonts w:ascii="Verdana" w:hAnsi="Verdana"/>
                <w:b/>
                <w:sz w:val="28"/>
                <w:szCs w:val="28"/>
              </w:rPr>
            </w:pPr>
            <w:r w:rsidRPr="001837C7">
              <w:rPr>
                <w:rFonts w:ascii="Verdana" w:hAnsi="Verdana"/>
                <w:b/>
                <w:sz w:val="28"/>
                <w:szCs w:val="28"/>
              </w:rPr>
              <w:t>Organi</w:t>
            </w:r>
            <w:r w:rsidR="00300C92">
              <w:rPr>
                <w:rFonts w:ascii="Verdana" w:hAnsi="Verdana"/>
                <w:b/>
                <w:sz w:val="28"/>
                <w:szCs w:val="28"/>
              </w:rPr>
              <w:t>z</w:t>
            </w:r>
            <w:r w:rsidRPr="001837C7">
              <w:rPr>
                <w:rFonts w:ascii="Verdana" w:hAnsi="Verdana"/>
                <w:b/>
                <w:sz w:val="28"/>
                <w:szCs w:val="28"/>
              </w:rPr>
              <w:t>ations:</w:t>
            </w:r>
            <w:r w:rsidRPr="001837C7">
              <w:rPr>
                <w:rFonts w:ascii="Verdana" w:hAnsi="Verdana"/>
                <w:b/>
              </w:rPr>
              <w:t xml:space="preserve"> </w:t>
            </w:r>
            <w:r w:rsidRPr="001837C7">
              <w:rPr>
                <w:rFonts w:ascii="Verdana" w:hAnsi="Verdana"/>
              </w:rPr>
              <w:t>1.</w:t>
            </w:r>
            <w:r w:rsidRPr="001837C7">
              <w:rPr>
                <w:rFonts w:ascii="Verdana" w:hAnsi="Verdana"/>
                <w:b/>
              </w:rPr>
              <w:t xml:space="preserve"> </w:t>
            </w:r>
            <w:proofErr w:type="spellStart"/>
            <w:r w:rsidRPr="001837C7">
              <w:rPr>
                <w:rFonts w:ascii="Verdana" w:hAnsi="Verdana"/>
              </w:rPr>
              <w:t>SPb</w:t>
            </w:r>
            <w:proofErr w:type="spellEnd"/>
            <w:r w:rsidRPr="001837C7">
              <w:rPr>
                <w:rFonts w:ascii="Verdana" w:hAnsi="Verdana"/>
              </w:rPr>
              <w:t xml:space="preserve"> SBHI CH №40 of Resort District, Saint Petersburg, Russian Federation; 2. Saint-Petersburg State University, Russian Federation</w:t>
            </w:r>
            <w:r>
              <w:rPr>
                <w:rFonts w:ascii="Verdana" w:hAnsi="Verdana"/>
              </w:rPr>
              <w:t>.</w:t>
            </w:r>
          </w:p>
        </w:tc>
      </w:tr>
      <w:tr w:rsidR="00B12DCA" w:rsidRPr="006F5CC7" w:rsidTr="00B12DCA">
        <w:tc>
          <w:tcPr>
            <w:tcW w:w="9576" w:type="dxa"/>
          </w:tcPr>
          <w:p w:rsidR="007746DC" w:rsidRDefault="007746DC" w:rsidP="00A2331F">
            <w:pPr>
              <w:rPr>
                <w:rFonts w:ascii="Verdana" w:hAnsi="Verdana"/>
              </w:rPr>
            </w:pPr>
          </w:p>
          <w:p w:rsidR="00B12DCA" w:rsidRPr="006F5CC7" w:rsidRDefault="00B12DCA" w:rsidP="00A2331F">
            <w:pPr>
              <w:rPr>
                <w:rFonts w:ascii="Verdana" w:hAnsi="Verdana"/>
              </w:rPr>
            </w:pPr>
            <w:r w:rsidRPr="006F5CC7">
              <w:rPr>
                <w:rFonts w:ascii="Verdana" w:hAnsi="Verdana"/>
              </w:rPr>
              <w:t>1) Background and aim:</w:t>
            </w:r>
          </w:p>
          <w:p w:rsidR="00B12DCA" w:rsidRPr="006F5CC7" w:rsidRDefault="00B12DCA" w:rsidP="00A2331F">
            <w:pPr>
              <w:rPr>
                <w:rFonts w:ascii="Verdana" w:hAnsi="Verdana"/>
              </w:rPr>
            </w:pPr>
          </w:p>
          <w:p w:rsidR="003E617B" w:rsidRPr="003E617B" w:rsidRDefault="003E617B" w:rsidP="003E617B">
            <w:pPr>
              <w:rPr>
                <w:rFonts w:ascii="Verdana" w:hAnsi="Verdana"/>
              </w:rPr>
            </w:pPr>
            <w:r w:rsidRPr="003E617B">
              <w:rPr>
                <w:rFonts w:ascii="Verdana" w:hAnsi="Verdana"/>
              </w:rPr>
              <w:t xml:space="preserve">Clinical biobank in the St Petersburg City Hospital №40 has gathered more than 50 thousand samples from nearly 2.5 thousand donors. The collection includes biological samples from donors diagnosed with socially significant diseases such as Parkinson’s, Alzheimer’s, cardio-vascular disease, multiple sclerosis and oncological diseases. Many samples are representative of the disease dynamics as they were collected during different stages of the disease progression. </w:t>
            </w:r>
          </w:p>
          <w:p w:rsidR="003E617B" w:rsidRPr="003E617B" w:rsidRDefault="003E617B" w:rsidP="003E617B">
            <w:pPr>
              <w:rPr>
                <w:rFonts w:ascii="Verdana" w:hAnsi="Verdana"/>
              </w:rPr>
            </w:pPr>
            <w:r w:rsidRPr="003E617B">
              <w:rPr>
                <w:rFonts w:ascii="Verdana" w:hAnsi="Verdana"/>
              </w:rPr>
              <w:t xml:space="preserve">In addition, control groups are being formed by collecting samples from healthy donors. </w:t>
            </w:r>
          </w:p>
          <w:p w:rsidR="00F41D22" w:rsidRPr="006F5CC7" w:rsidRDefault="003E617B" w:rsidP="003E617B">
            <w:pPr>
              <w:rPr>
                <w:rFonts w:ascii="Verdana" w:hAnsi="Verdana"/>
              </w:rPr>
            </w:pPr>
            <w:r w:rsidRPr="003E617B">
              <w:rPr>
                <w:rFonts w:ascii="Verdana" w:hAnsi="Verdana"/>
              </w:rPr>
              <w:t>A wide range of biological samples is characterized by complete clinical data as well as lab test results. Additional information is acquired by genetic testing and multiplex immunoassay.</w:t>
            </w:r>
            <w:r w:rsidR="002008C1">
              <w:rPr>
                <w:rFonts w:ascii="Verdana" w:hAnsi="Verdana"/>
              </w:rPr>
              <w:t xml:space="preserve"> </w:t>
            </w:r>
            <w:r w:rsidR="00734C16" w:rsidRPr="00734C16">
              <w:rPr>
                <w:rFonts w:ascii="Verdana" w:hAnsi="Verdana"/>
              </w:rPr>
              <w:t xml:space="preserve">At the moment there are more than 20 research studies being carried out within the framework of the biobank, that involve multiplex immunoassays of up to </w:t>
            </w:r>
            <w:r w:rsidR="00734C16">
              <w:rPr>
                <w:rFonts w:ascii="Verdana" w:hAnsi="Verdana"/>
              </w:rPr>
              <w:t>122</w:t>
            </w:r>
            <w:r w:rsidR="00734C16" w:rsidRPr="00734C16">
              <w:rPr>
                <w:rFonts w:ascii="Verdana" w:hAnsi="Verdana"/>
              </w:rPr>
              <w:t xml:space="preserve"> biomarkers in </w:t>
            </w:r>
            <w:r w:rsidR="00734C16">
              <w:rPr>
                <w:rFonts w:ascii="Verdana" w:hAnsi="Verdana"/>
              </w:rPr>
              <w:t>630</w:t>
            </w:r>
            <w:r w:rsidR="00734C16" w:rsidRPr="00734C16">
              <w:rPr>
                <w:rFonts w:ascii="Verdana" w:hAnsi="Verdana"/>
              </w:rPr>
              <w:t xml:space="preserve"> patients. One of the studies is presented below.</w:t>
            </w:r>
          </w:p>
          <w:p w:rsidR="00B12DCA" w:rsidRPr="006F5CC7" w:rsidRDefault="00B12DCA" w:rsidP="00A2331F">
            <w:pPr>
              <w:rPr>
                <w:rFonts w:ascii="Verdana" w:hAnsi="Verdana"/>
              </w:rPr>
            </w:pPr>
          </w:p>
          <w:p w:rsidR="00B12DCA" w:rsidRDefault="00B12DCA" w:rsidP="00A2331F">
            <w:pPr>
              <w:rPr>
                <w:rFonts w:ascii="Verdana" w:hAnsi="Verdana"/>
              </w:rPr>
            </w:pPr>
            <w:r w:rsidRPr="006F5CC7">
              <w:rPr>
                <w:rFonts w:ascii="Verdana" w:hAnsi="Verdana"/>
              </w:rPr>
              <w:t>2) Methods:</w:t>
            </w:r>
          </w:p>
          <w:p w:rsidR="003E617B" w:rsidRPr="006F5CC7" w:rsidRDefault="003E617B" w:rsidP="00A2331F">
            <w:pPr>
              <w:rPr>
                <w:rFonts w:ascii="Verdana" w:hAnsi="Verdana"/>
              </w:rPr>
            </w:pPr>
          </w:p>
          <w:p w:rsidR="00B12DCA" w:rsidRPr="006F5CC7" w:rsidRDefault="003E617B" w:rsidP="00A2331F">
            <w:pPr>
              <w:rPr>
                <w:rFonts w:ascii="Verdana" w:hAnsi="Verdana"/>
              </w:rPr>
            </w:pPr>
            <w:r w:rsidRPr="003E617B">
              <w:rPr>
                <w:rFonts w:ascii="Verdana" w:hAnsi="Verdana"/>
              </w:rPr>
              <w:t>The research study was conducted using samples from 63 patients diagnosed with multiple sclerosis (MS). The control group was represented by 39 healthy individuals. The patients with MS were divided in subgroups according to the disease type: relapsing-remitting MS (RRMS) (40 patients), secondary progressive MS (RRMS) (16 patients) and primary progressive MS (PPMS) (7 patients). All patients were analyzed for cytokines, chemokines, soluble cytokine receptors, neuropeptides and a wide range of biomarkers specific for neurodegenerative diseases and neurological disorders. Plasma samples were tested for 93 circular biomarkers.</w:t>
            </w:r>
          </w:p>
          <w:p w:rsidR="00B12DCA" w:rsidRPr="006F5CC7" w:rsidRDefault="00B12DCA" w:rsidP="00A2331F">
            <w:pPr>
              <w:rPr>
                <w:rFonts w:ascii="Verdana" w:hAnsi="Verdana"/>
              </w:rPr>
            </w:pPr>
          </w:p>
          <w:p w:rsidR="00B12DCA" w:rsidRPr="006F5CC7" w:rsidRDefault="00B12DCA" w:rsidP="00A2331F">
            <w:pPr>
              <w:rPr>
                <w:rFonts w:ascii="Verdana" w:hAnsi="Verdana"/>
              </w:rPr>
            </w:pPr>
            <w:r w:rsidRPr="006F5CC7">
              <w:rPr>
                <w:rFonts w:ascii="Verdana" w:hAnsi="Verdana"/>
              </w:rPr>
              <w:t>3) Results:</w:t>
            </w:r>
          </w:p>
          <w:p w:rsidR="00B12DCA" w:rsidRPr="006F5CC7" w:rsidRDefault="00B12DCA" w:rsidP="00A2331F">
            <w:pPr>
              <w:rPr>
                <w:rFonts w:ascii="Verdana" w:hAnsi="Verdana"/>
              </w:rPr>
            </w:pPr>
          </w:p>
          <w:p w:rsidR="003E617B" w:rsidRPr="003E617B" w:rsidRDefault="003E617B" w:rsidP="003E617B">
            <w:pPr>
              <w:rPr>
                <w:rFonts w:ascii="Verdana" w:hAnsi="Verdana"/>
              </w:rPr>
            </w:pPr>
            <w:r w:rsidRPr="003E617B">
              <w:rPr>
                <w:rFonts w:ascii="Verdana" w:hAnsi="Verdana"/>
              </w:rPr>
              <w:t xml:space="preserve">A number of biomarkers differed significantly in levels between the patients and the </w:t>
            </w:r>
            <w:r w:rsidRPr="003E617B">
              <w:rPr>
                <w:rFonts w:ascii="Verdana" w:hAnsi="Verdana"/>
              </w:rPr>
              <w:lastRenderedPageBreak/>
              <w:t>control group. In addition, variations were observed across the three types of MS.</w:t>
            </w:r>
          </w:p>
          <w:p w:rsidR="003E617B" w:rsidRPr="003E617B" w:rsidRDefault="003E617B" w:rsidP="003E617B">
            <w:pPr>
              <w:rPr>
                <w:rFonts w:ascii="Verdana" w:hAnsi="Verdana"/>
              </w:rPr>
            </w:pPr>
            <w:r w:rsidRPr="003E617B">
              <w:rPr>
                <w:rFonts w:ascii="Verdana" w:hAnsi="Verdana"/>
              </w:rPr>
              <w:t xml:space="preserve">Patients with RRMS showed higher levels of </w:t>
            </w:r>
            <w:proofErr w:type="spellStart"/>
            <w:r w:rsidRPr="003E617B">
              <w:rPr>
                <w:rFonts w:ascii="Verdana" w:hAnsi="Verdana"/>
              </w:rPr>
              <w:t>eotaxin</w:t>
            </w:r>
            <w:proofErr w:type="spellEnd"/>
            <w:r w:rsidRPr="003E617B">
              <w:rPr>
                <w:rFonts w:ascii="Verdana" w:hAnsi="Verdana"/>
              </w:rPr>
              <w:t xml:space="preserve"> (p = 0.0172), IP-10 (p = &lt; 0.0001), CFH (p = 0.0021), </w:t>
            </w:r>
            <w:proofErr w:type="spellStart"/>
            <w:r w:rsidRPr="003E617B">
              <w:rPr>
                <w:rFonts w:ascii="Verdana" w:hAnsi="Verdana"/>
              </w:rPr>
              <w:t>resistin</w:t>
            </w:r>
            <w:proofErr w:type="spellEnd"/>
            <w:r w:rsidRPr="003E617B">
              <w:rPr>
                <w:rFonts w:ascii="Verdana" w:hAnsi="Verdana"/>
              </w:rPr>
              <w:t xml:space="preserve"> (p = 0.0007), NSE (p &lt; 0.0001), ceruloplasmin (p = 0.0006) and lower levels of PAI-1 (p = 0.0001), PDGF-AB/BB (p = 0.0013), MCP-1 (p &lt; 0.0001).</w:t>
            </w:r>
          </w:p>
          <w:p w:rsidR="003E617B" w:rsidRPr="003E617B" w:rsidRDefault="003E617B" w:rsidP="003E617B">
            <w:pPr>
              <w:rPr>
                <w:rFonts w:ascii="Verdana" w:hAnsi="Verdana"/>
              </w:rPr>
            </w:pPr>
            <w:r w:rsidRPr="003E617B">
              <w:rPr>
                <w:rFonts w:ascii="Verdana" w:hAnsi="Verdana"/>
              </w:rPr>
              <w:t xml:space="preserve">Patients with PPMS showed higher levels of VCAM-1 (p = 0.0003), </w:t>
            </w:r>
            <w:proofErr w:type="spellStart"/>
            <w:r w:rsidRPr="003E617B">
              <w:rPr>
                <w:rFonts w:ascii="Verdana" w:hAnsi="Verdana"/>
              </w:rPr>
              <w:t>eotaxin</w:t>
            </w:r>
            <w:proofErr w:type="spellEnd"/>
            <w:r w:rsidRPr="003E617B">
              <w:rPr>
                <w:rFonts w:ascii="Verdana" w:hAnsi="Verdana"/>
              </w:rPr>
              <w:t xml:space="preserve"> (p = 0.003), IP-10 (p = 0.0009), CFH (p &lt; 0.0001), </w:t>
            </w:r>
            <w:proofErr w:type="spellStart"/>
            <w:r w:rsidRPr="003E617B">
              <w:rPr>
                <w:rFonts w:ascii="Verdana" w:hAnsi="Verdana"/>
              </w:rPr>
              <w:t>resistin</w:t>
            </w:r>
            <w:proofErr w:type="spellEnd"/>
            <w:r w:rsidRPr="003E617B">
              <w:rPr>
                <w:rFonts w:ascii="Verdana" w:hAnsi="Verdana"/>
              </w:rPr>
              <w:t xml:space="preserve"> (p = 0.0005), NSE (p &lt; 0.0001), ceruloplasmin (p = 0.0061) and lower levels of KLK-6 (p = 0.0004), PAI-1 (p &lt; 0.0001), PDGF-AB/BB (p = 0.0013), contactin-1 (p = 0.0002), MCP-1 (p &lt; 0.0001).</w:t>
            </w:r>
          </w:p>
          <w:p w:rsidR="00B12DCA" w:rsidRPr="006F5CC7" w:rsidRDefault="003E617B" w:rsidP="00A2331F">
            <w:pPr>
              <w:rPr>
                <w:rFonts w:ascii="Verdana" w:hAnsi="Verdana"/>
              </w:rPr>
            </w:pPr>
            <w:r w:rsidRPr="003E617B">
              <w:rPr>
                <w:rFonts w:ascii="Verdana" w:hAnsi="Verdana"/>
              </w:rPr>
              <w:t xml:space="preserve">Patients with SPMS showed higher levels of VCAM-1 (p = 0.0008), </w:t>
            </w:r>
            <w:proofErr w:type="spellStart"/>
            <w:r w:rsidRPr="003E617B">
              <w:rPr>
                <w:rFonts w:ascii="Verdana" w:hAnsi="Verdana"/>
              </w:rPr>
              <w:t>eotaxin</w:t>
            </w:r>
            <w:proofErr w:type="spellEnd"/>
            <w:r w:rsidRPr="003E617B">
              <w:rPr>
                <w:rFonts w:ascii="Verdana" w:hAnsi="Verdana"/>
              </w:rPr>
              <w:t xml:space="preserve"> (p = 0.0364), CFH (p = 0.0055), </w:t>
            </w:r>
            <w:proofErr w:type="spellStart"/>
            <w:r w:rsidRPr="003E617B">
              <w:rPr>
                <w:rFonts w:ascii="Verdana" w:hAnsi="Verdana"/>
              </w:rPr>
              <w:t>resistin</w:t>
            </w:r>
            <w:proofErr w:type="spellEnd"/>
            <w:r w:rsidRPr="003E617B">
              <w:rPr>
                <w:rFonts w:ascii="Verdana" w:hAnsi="Verdana"/>
              </w:rPr>
              <w:t xml:space="preserve"> (p = 0.0401), NSE (p = 0.0012) and lower levels of MCP-1 (p = 0.0193).</w:t>
            </w:r>
          </w:p>
          <w:p w:rsidR="00B12DCA" w:rsidRPr="006F5CC7" w:rsidRDefault="00B12DCA" w:rsidP="00A2331F">
            <w:pPr>
              <w:rPr>
                <w:rFonts w:ascii="Verdana" w:hAnsi="Verdana"/>
              </w:rPr>
            </w:pPr>
          </w:p>
          <w:p w:rsidR="00B12DCA" w:rsidRPr="006F5CC7" w:rsidRDefault="00B12DCA" w:rsidP="00A2331F">
            <w:pPr>
              <w:rPr>
                <w:rFonts w:ascii="Verdana" w:hAnsi="Verdana"/>
              </w:rPr>
            </w:pPr>
            <w:r w:rsidRPr="006F5CC7">
              <w:rPr>
                <w:rFonts w:ascii="Verdana" w:hAnsi="Verdana"/>
              </w:rPr>
              <w:t>4) Conclusion:</w:t>
            </w:r>
          </w:p>
          <w:p w:rsidR="00B12DCA" w:rsidRPr="006F5CC7" w:rsidRDefault="00B12DCA" w:rsidP="00A2331F">
            <w:pPr>
              <w:rPr>
                <w:rFonts w:ascii="Verdana" w:hAnsi="Verdana"/>
              </w:rPr>
            </w:pPr>
          </w:p>
          <w:p w:rsidR="00B12DCA" w:rsidRPr="006F5CC7" w:rsidRDefault="003E617B" w:rsidP="00A2331F">
            <w:pPr>
              <w:rPr>
                <w:rFonts w:ascii="Verdana" w:hAnsi="Verdana"/>
              </w:rPr>
            </w:pPr>
            <w:r w:rsidRPr="003E617B">
              <w:rPr>
                <w:rFonts w:ascii="Verdana" w:hAnsi="Verdana"/>
              </w:rPr>
              <w:t xml:space="preserve">The use of </w:t>
            </w:r>
            <w:proofErr w:type="spellStart"/>
            <w:r w:rsidRPr="003E617B">
              <w:rPr>
                <w:rFonts w:ascii="Verdana" w:hAnsi="Verdana"/>
              </w:rPr>
              <w:t>xMAP</w:t>
            </w:r>
            <w:proofErr w:type="spellEnd"/>
            <w:r w:rsidRPr="003E617B">
              <w:rPr>
                <w:rFonts w:ascii="Verdana" w:hAnsi="Verdana"/>
              </w:rPr>
              <w:t xml:space="preserve"> Technology in clinical biobanking is a crucial stage in </w:t>
            </w:r>
            <w:proofErr w:type="spellStart"/>
            <w:r w:rsidRPr="003E617B">
              <w:rPr>
                <w:rFonts w:ascii="Verdana" w:hAnsi="Verdana"/>
              </w:rPr>
              <w:t>multiphenotypic</w:t>
            </w:r>
            <w:proofErr w:type="spellEnd"/>
            <w:r w:rsidRPr="003E617B">
              <w:rPr>
                <w:rFonts w:ascii="Verdana" w:hAnsi="Verdana"/>
              </w:rPr>
              <w:t xml:space="preserve"> analysis. This technology allows finding prognostic and predictive biomarkers for various diseases.</w:t>
            </w:r>
          </w:p>
        </w:tc>
      </w:tr>
    </w:tbl>
    <w:p w:rsidR="00AD0438" w:rsidRDefault="00AD0438" w:rsidP="00AD0438"/>
    <w:sectPr w:rsidR="00AD0438" w:rsidSect="00AD0438">
      <w:pgSz w:w="12240" w:h="15840"/>
      <w:pgMar w:top="81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E417A2"/>
    <w:multiLevelType w:val="multilevel"/>
    <w:tmpl w:val="D26AD6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464E4B"/>
    <w:multiLevelType w:val="hybridMultilevel"/>
    <w:tmpl w:val="C4DCD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B87EF4"/>
    <w:multiLevelType w:val="hybridMultilevel"/>
    <w:tmpl w:val="4A564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C4C"/>
    <w:rsid w:val="001837C7"/>
    <w:rsid w:val="002008C1"/>
    <w:rsid w:val="00300C92"/>
    <w:rsid w:val="003249DE"/>
    <w:rsid w:val="003E617B"/>
    <w:rsid w:val="004227FC"/>
    <w:rsid w:val="004319CC"/>
    <w:rsid w:val="00527141"/>
    <w:rsid w:val="005F50AE"/>
    <w:rsid w:val="0063006C"/>
    <w:rsid w:val="006D2150"/>
    <w:rsid w:val="006F5CC7"/>
    <w:rsid w:val="00713DBC"/>
    <w:rsid w:val="00734C16"/>
    <w:rsid w:val="007652B1"/>
    <w:rsid w:val="007746DC"/>
    <w:rsid w:val="00873826"/>
    <w:rsid w:val="008C387C"/>
    <w:rsid w:val="00A627B6"/>
    <w:rsid w:val="00A72D7C"/>
    <w:rsid w:val="00A73EA6"/>
    <w:rsid w:val="00AD0438"/>
    <w:rsid w:val="00B12DCA"/>
    <w:rsid w:val="00B43C56"/>
    <w:rsid w:val="00BB7B21"/>
    <w:rsid w:val="00C139B9"/>
    <w:rsid w:val="00DF7C4C"/>
    <w:rsid w:val="00E06358"/>
    <w:rsid w:val="00E26967"/>
    <w:rsid w:val="00F41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FBB0C6-53FE-4DE9-A189-15C10D51B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F7C4C"/>
  </w:style>
  <w:style w:type="table" w:styleId="TableGrid">
    <w:name w:val="Table Grid"/>
    <w:basedOn w:val="TableNormal"/>
    <w:uiPriority w:val="59"/>
    <w:rsid w:val="00AD04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0438"/>
    <w:pPr>
      <w:ind w:left="720"/>
      <w:contextualSpacing/>
    </w:pPr>
  </w:style>
  <w:style w:type="paragraph" w:styleId="NormalWeb">
    <w:name w:val="Normal (Web)"/>
    <w:basedOn w:val="Normal"/>
    <w:uiPriority w:val="99"/>
    <w:semiHidden/>
    <w:unhideWhenUsed/>
    <w:rsid w:val="00AD043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D0438"/>
    <w:rPr>
      <w:color w:val="0000FF"/>
      <w:u w:val="single"/>
    </w:rPr>
  </w:style>
  <w:style w:type="character" w:styleId="Strong">
    <w:name w:val="Strong"/>
    <w:basedOn w:val="DefaultParagraphFont"/>
    <w:uiPriority w:val="22"/>
    <w:qFormat/>
    <w:rsid w:val="00AD04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111505">
      <w:bodyDiv w:val="1"/>
      <w:marLeft w:val="0"/>
      <w:marRight w:val="0"/>
      <w:marTop w:val="0"/>
      <w:marBottom w:val="0"/>
      <w:divBdr>
        <w:top w:val="none" w:sz="0" w:space="0" w:color="auto"/>
        <w:left w:val="none" w:sz="0" w:space="0" w:color="auto"/>
        <w:bottom w:val="none" w:sz="0" w:space="0" w:color="auto"/>
        <w:right w:val="none" w:sz="0" w:space="0" w:color="auto"/>
      </w:divBdr>
    </w:div>
    <w:div w:id="852304300">
      <w:bodyDiv w:val="1"/>
      <w:marLeft w:val="0"/>
      <w:marRight w:val="0"/>
      <w:marTop w:val="0"/>
      <w:marBottom w:val="0"/>
      <w:divBdr>
        <w:top w:val="none" w:sz="0" w:space="0" w:color="auto"/>
        <w:left w:val="none" w:sz="0" w:space="0" w:color="auto"/>
        <w:bottom w:val="none" w:sz="0" w:space="0" w:color="auto"/>
        <w:right w:val="none" w:sz="0" w:space="0" w:color="auto"/>
      </w:divBdr>
    </w:div>
    <w:div w:id="1266962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6E9AA-66DD-4473-B1F9-EDF3BC332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507</Words>
  <Characters>2895</Characters>
  <Application>Microsoft Office Word</Application>
  <DocSecurity>0</DocSecurity>
  <Lines>24</Lines>
  <Paragraphs>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Luminex Corporation</Company>
  <LinksUpToDate>false</LinksUpToDate>
  <CharactersWithSpaces>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 Sulter</dc:creator>
  <cp:lastModifiedBy>Marcha Van Der Steen</cp:lastModifiedBy>
  <cp:revision>2</cp:revision>
  <cp:lastPrinted>2016-03-24T15:23:00Z</cp:lastPrinted>
  <dcterms:created xsi:type="dcterms:W3CDTF">2018-10-23T11:52:00Z</dcterms:created>
  <dcterms:modified xsi:type="dcterms:W3CDTF">2018-10-23T11:52:00Z</dcterms:modified>
</cp:coreProperties>
</file>