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3E" w:rsidRPr="00B30782" w:rsidRDefault="00CC623E" w:rsidP="00CC623E">
      <w:pPr>
        <w:rPr>
          <w:rFonts w:ascii="Verdana" w:hAnsi="Verdana"/>
          <w:b/>
          <w:sz w:val="24"/>
        </w:rPr>
      </w:pPr>
      <w:bookmarkStart w:id="0" w:name="_GoBack"/>
      <w:bookmarkEnd w:id="0"/>
      <w:r w:rsidRPr="00B30782">
        <w:rPr>
          <w:rFonts w:ascii="Verdana" w:hAnsi="Verdana"/>
          <w:b/>
          <w:sz w:val="24"/>
        </w:rPr>
        <w:t>Exploiting Luminex assays in the Discovery of Nanobodies</w:t>
      </w:r>
      <w:r w:rsidRPr="00B30782">
        <w:rPr>
          <w:rFonts w:ascii="Verdana" w:hAnsi="Verdana"/>
          <w:b/>
          <w:sz w:val="24"/>
          <w:vertAlign w:val="superscript"/>
        </w:rPr>
        <w:t>®</w:t>
      </w:r>
      <w:r w:rsidRPr="00B30782">
        <w:rPr>
          <w:rFonts w:ascii="Verdana" w:hAnsi="Verdana"/>
          <w:b/>
          <w:sz w:val="24"/>
        </w:rPr>
        <w:t xml:space="preserve"> at </w:t>
      </w:r>
      <w:proofErr w:type="spellStart"/>
      <w:r w:rsidRPr="00B30782">
        <w:rPr>
          <w:rFonts w:ascii="Verdana" w:hAnsi="Verdana"/>
          <w:b/>
          <w:sz w:val="24"/>
        </w:rPr>
        <w:t>Ablynx</w:t>
      </w:r>
      <w:proofErr w:type="spellEnd"/>
      <w:r w:rsidRPr="00B30782">
        <w:rPr>
          <w:rFonts w:ascii="Verdana" w:hAnsi="Verdana"/>
          <w:b/>
          <w:sz w:val="24"/>
        </w:rPr>
        <w:t>/Sanofi</w:t>
      </w:r>
    </w:p>
    <w:p w:rsidR="00CC623E" w:rsidRDefault="00CC623E" w:rsidP="00CC623E">
      <w:pPr>
        <w:rPr>
          <w:rFonts w:ascii="Verdana" w:hAnsi="Verdana"/>
          <w:position w:val="-2"/>
          <w:sz w:val="20"/>
          <w:vertAlign w:val="superscript"/>
          <w:lang w:val="nl-BE"/>
        </w:rPr>
      </w:pPr>
      <w:r>
        <w:rPr>
          <w:rFonts w:ascii="Verdana" w:hAnsi="Verdana"/>
          <w:sz w:val="20"/>
          <w:lang w:val="nl-BE"/>
        </w:rPr>
        <w:t>Marjolijn Bauwens</w:t>
      </w:r>
      <w:r>
        <w:rPr>
          <w:rFonts w:ascii="Verdana" w:hAnsi="Verdana"/>
          <w:position w:val="-2"/>
          <w:sz w:val="20"/>
          <w:vertAlign w:val="superscript"/>
          <w:lang w:val="nl-BE"/>
        </w:rPr>
        <w:t>1</w:t>
      </w:r>
      <w:r w:rsidR="00AB64AF">
        <w:rPr>
          <w:rFonts w:ascii="Verdana" w:hAnsi="Verdana"/>
          <w:position w:val="-2"/>
          <w:sz w:val="20"/>
          <w:vertAlign w:val="superscript"/>
          <w:lang w:val="nl-BE"/>
        </w:rPr>
        <w:t>*</w:t>
      </w:r>
      <w:r>
        <w:rPr>
          <w:rFonts w:ascii="Verdana" w:hAnsi="Verdana"/>
          <w:sz w:val="20"/>
          <w:lang w:val="nl-BE"/>
        </w:rPr>
        <w:t>, Jordi Vandewalle</w:t>
      </w:r>
      <w:r>
        <w:rPr>
          <w:rFonts w:ascii="Verdana" w:hAnsi="Verdana"/>
          <w:position w:val="-2"/>
          <w:sz w:val="20"/>
          <w:vertAlign w:val="superscript"/>
          <w:lang w:val="nl-BE"/>
        </w:rPr>
        <w:t>1</w:t>
      </w:r>
      <w:r>
        <w:rPr>
          <w:rFonts w:ascii="Verdana" w:hAnsi="Verdana"/>
          <w:sz w:val="20"/>
          <w:lang w:val="nl-BE"/>
        </w:rPr>
        <w:t xml:space="preserve">, </w:t>
      </w:r>
      <w:r w:rsidRPr="00AB64AF">
        <w:rPr>
          <w:rFonts w:ascii="Verdana" w:hAnsi="Verdana"/>
          <w:sz w:val="20"/>
          <w:lang w:val="nl-BE"/>
        </w:rPr>
        <w:t>Björn Niebel</w:t>
      </w:r>
      <w:r w:rsidR="00AB64AF">
        <w:rPr>
          <w:rFonts w:ascii="Verdana" w:hAnsi="Verdana"/>
          <w:position w:val="-2"/>
          <w:sz w:val="20"/>
          <w:vertAlign w:val="superscript"/>
          <w:lang w:val="nl-BE"/>
        </w:rPr>
        <w:t>1</w:t>
      </w:r>
    </w:p>
    <w:p w:rsidR="00CC623E" w:rsidRDefault="00CC623E" w:rsidP="00CC623E">
      <w:pPr>
        <w:spacing w:after="0"/>
        <w:rPr>
          <w:rFonts w:ascii="Verdana" w:hAnsi="Verdana"/>
          <w:sz w:val="20"/>
          <w:lang w:val="nl-BE"/>
        </w:rPr>
      </w:pPr>
      <w:r>
        <w:rPr>
          <w:rFonts w:ascii="Verdana" w:hAnsi="Verdana"/>
          <w:sz w:val="20"/>
          <w:lang w:val="nl-BE"/>
        </w:rPr>
        <w:t xml:space="preserve">1 </w:t>
      </w:r>
      <w:proofErr w:type="spellStart"/>
      <w:r>
        <w:rPr>
          <w:rFonts w:ascii="Verdana" w:hAnsi="Verdana"/>
          <w:sz w:val="20"/>
          <w:lang w:val="nl-BE"/>
        </w:rPr>
        <w:t>Ablynx</w:t>
      </w:r>
      <w:proofErr w:type="spellEnd"/>
      <w:r>
        <w:rPr>
          <w:rFonts w:ascii="Verdana" w:hAnsi="Verdana"/>
          <w:sz w:val="20"/>
          <w:lang w:val="nl-BE"/>
        </w:rPr>
        <w:t>/</w:t>
      </w:r>
      <w:proofErr w:type="spellStart"/>
      <w:r>
        <w:rPr>
          <w:rFonts w:ascii="Verdana" w:hAnsi="Verdana"/>
          <w:sz w:val="20"/>
          <w:lang w:val="nl-BE"/>
        </w:rPr>
        <w:t>Sanofi</w:t>
      </w:r>
      <w:proofErr w:type="spellEnd"/>
      <w:r>
        <w:rPr>
          <w:rFonts w:ascii="Verdana" w:hAnsi="Verdana"/>
          <w:sz w:val="20"/>
          <w:lang w:val="nl-BE"/>
        </w:rPr>
        <w:t xml:space="preserve">, Technologiepark 21, 9052 </w:t>
      </w:r>
      <w:proofErr w:type="spellStart"/>
      <w:r>
        <w:rPr>
          <w:rFonts w:ascii="Verdana" w:hAnsi="Verdana"/>
          <w:sz w:val="20"/>
          <w:lang w:val="nl-BE"/>
        </w:rPr>
        <w:t>Zwijnaarde</w:t>
      </w:r>
      <w:proofErr w:type="spellEnd"/>
      <w:r>
        <w:rPr>
          <w:rFonts w:ascii="Verdana" w:hAnsi="Verdana"/>
          <w:sz w:val="20"/>
          <w:lang w:val="nl-BE"/>
        </w:rPr>
        <w:t>, Belgium</w:t>
      </w:r>
    </w:p>
    <w:p w:rsidR="00CC623E" w:rsidRDefault="00AB64AF" w:rsidP="00CC623E">
      <w:pPr>
        <w:spacing w:after="0"/>
        <w:rPr>
          <w:rFonts w:ascii="Verdana" w:hAnsi="Verdana"/>
          <w:sz w:val="20"/>
          <w:lang w:val="nl-BE"/>
        </w:rPr>
      </w:pPr>
      <w:r>
        <w:rPr>
          <w:rFonts w:ascii="Verdana" w:hAnsi="Verdana"/>
          <w:bCs/>
          <w:sz w:val="20"/>
          <w:lang w:val="nl-BE"/>
        </w:rPr>
        <w:t>*</w:t>
      </w:r>
      <w:r w:rsidR="00CC623E">
        <w:rPr>
          <w:rFonts w:ascii="Verdana" w:hAnsi="Verdana"/>
          <w:sz w:val="20"/>
          <w:lang w:val="nl-BE"/>
        </w:rPr>
        <w:t xml:space="preserve"> </w:t>
      </w:r>
      <w:r>
        <w:rPr>
          <w:rFonts w:ascii="Verdana" w:hAnsi="Verdana"/>
          <w:sz w:val="20"/>
          <w:lang w:val="nl-BE"/>
        </w:rPr>
        <w:t>Speaker</w:t>
      </w:r>
    </w:p>
    <w:p w:rsidR="00CC623E" w:rsidRPr="009A35CA" w:rsidRDefault="00CC623E" w:rsidP="00CC623E">
      <w:pPr>
        <w:rPr>
          <w:rFonts w:ascii="Verdana" w:hAnsi="Verdana"/>
          <w:lang w:val="nl-BE"/>
        </w:rPr>
      </w:pPr>
    </w:p>
    <w:p w:rsidR="00CC623E" w:rsidRDefault="00CC623E" w:rsidP="00CC623E">
      <w:pPr>
        <w:rPr>
          <w:rFonts w:ascii="Verdana" w:hAnsi="Verdana"/>
        </w:rPr>
      </w:pPr>
      <w:r>
        <w:rPr>
          <w:rFonts w:ascii="Verdana" w:hAnsi="Verdana"/>
        </w:rPr>
        <w:t>1) Background and aim:</w:t>
      </w:r>
    </w:p>
    <w:p w:rsidR="00CC623E" w:rsidRPr="00B30782" w:rsidRDefault="00CC623E" w:rsidP="00B30782">
      <w:pPr>
        <w:spacing w:line="240" w:lineRule="auto"/>
        <w:rPr>
          <w:rFonts w:ascii="Verdana" w:hAnsi="Verdana"/>
          <w:sz w:val="20"/>
        </w:rPr>
      </w:pPr>
      <w:proofErr w:type="spellStart"/>
      <w:r w:rsidRPr="00B30782">
        <w:rPr>
          <w:rFonts w:ascii="Verdana" w:hAnsi="Verdana"/>
          <w:sz w:val="20"/>
        </w:rPr>
        <w:t>Ablynx</w:t>
      </w:r>
      <w:proofErr w:type="spellEnd"/>
      <w:r w:rsidRPr="00B30782">
        <w:rPr>
          <w:rFonts w:ascii="Verdana" w:hAnsi="Verdana"/>
          <w:sz w:val="20"/>
        </w:rPr>
        <w:t>/Sanofi is dedicated to the development of therapeutic camelid-derived Nanobodies. Many Discovery programs run in parallel</w:t>
      </w:r>
      <w:r w:rsidR="00A07147">
        <w:rPr>
          <w:rFonts w:ascii="Verdana" w:hAnsi="Verdana"/>
          <w:sz w:val="20"/>
        </w:rPr>
        <w:t>,</w:t>
      </w:r>
      <w:r w:rsidRPr="00B30782">
        <w:rPr>
          <w:rFonts w:ascii="Verdana" w:hAnsi="Verdana"/>
          <w:sz w:val="20"/>
        </w:rPr>
        <w:t xml:space="preserve"> thereby necessitating high-throughput screening capacities to allow a timed characterization of promising lead molecules. With an ever increasing need to screen faster and </w:t>
      </w:r>
      <w:r w:rsidR="00E123DE">
        <w:rPr>
          <w:rFonts w:ascii="Verdana" w:hAnsi="Verdana"/>
          <w:sz w:val="20"/>
        </w:rPr>
        <w:t>more efficiently</w:t>
      </w:r>
      <w:r w:rsidRPr="00B30782">
        <w:rPr>
          <w:rFonts w:ascii="Verdana" w:hAnsi="Verdana"/>
          <w:sz w:val="20"/>
        </w:rPr>
        <w:t xml:space="preserve">, automated Luminex assays are being developed to propel </w:t>
      </w:r>
      <w:r w:rsidR="00E123DE">
        <w:rPr>
          <w:rFonts w:ascii="Verdana" w:hAnsi="Verdana"/>
          <w:sz w:val="20"/>
        </w:rPr>
        <w:t xml:space="preserve">Nanobody </w:t>
      </w:r>
      <w:r w:rsidRPr="00B30782">
        <w:rPr>
          <w:rFonts w:ascii="Verdana" w:hAnsi="Verdana"/>
          <w:sz w:val="20"/>
        </w:rPr>
        <w:t>Discovery.</w:t>
      </w:r>
    </w:p>
    <w:p w:rsidR="00B30782" w:rsidRDefault="00B30782" w:rsidP="00CC623E">
      <w:pPr>
        <w:rPr>
          <w:rFonts w:ascii="Verdana" w:hAnsi="Verdana"/>
        </w:rPr>
      </w:pPr>
      <w:r>
        <w:rPr>
          <w:rFonts w:ascii="Verdana" w:hAnsi="Verdana"/>
        </w:rPr>
        <w:t>2) Methods:</w:t>
      </w:r>
    </w:p>
    <w:p w:rsidR="00CC623E" w:rsidRDefault="00CC623E" w:rsidP="00B30782">
      <w:pPr>
        <w:spacing w:after="0" w:line="240" w:lineRule="auto"/>
        <w:rPr>
          <w:rFonts w:ascii="Verdana" w:hAnsi="Verdana"/>
          <w:sz w:val="20"/>
        </w:rPr>
      </w:pPr>
      <w:r w:rsidRPr="00B30782">
        <w:rPr>
          <w:rFonts w:ascii="Verdana" w:hAnsi="Verdana"/>
          <w:sz w:val="20"/>
        </w:rPr>
        <w:t>The focus of the ongoing implementation of the Luminex assay platform has been automation and throughput in 384-well format. We started off to set up automation routines that would faci</w:t>
      </w:r>
      <w:r w:rsidR="004F5183">
        <w:rPr>
          <w:rFonts w:ascii="Verdana" w:hAnsi="Verdana"/>
          <w:sz w:val="20"/>
        </w:rPr>
        <w:t>litate/speed up the daily use</w:t>
      </w:r>
      <w:r w:rsidR="00C77F06">
        <w:rPr>
          <w:rFonts w:ascii="Verdana" w:hAnsi="Verdana"/>
          <w:sz w:val="20"/>
        </w:rPr>
        <w:t>:</w:t>
      </w:r>
      <w:r w:rsidR="004F5183">
        <w:rPr>
          <w:rFonts w:ascii="Verdana" w:hAnsi="Verdana"/>
          <w:sz w:val="20"/>
        </w:rPr>
        <w:t xml:space="preserve"> </w:t>
      </w:r>
      <w:r w:rsidR="00C77F06">
        <w:rPr>
          <w:rFonts w:ascii="Verdana" w:hAnsi="Verdana"/>
          <w:sz w:val="20"/>
        </w:rPr>
        <w:t>a</w:t>
      </w:r>
      <w:r w:rsidRPr="00B30782">
        <w:rPr>
          <w:rFonts w:ascii="Verdana" w:hAnsi="Verdana"/>
          <w:sz w:val="20"/>
        </w:rPr>
        <w:t xml:space="preserve">) </w:t>
      </w:r>
      <w:r w:rsidR="00E123DE">
        <w:rPr>
          <w:rFonts w:ascii="Verdana" w:hAnsi="Verdana"/>
          <w:sz w:val="20"/>
        </w:rPr>
        <w:t>taking advantage of</w:t>
      </w:r>
      <w:r w:rsidRPr="00B30782">
        <w:rPr>
          <w:rFonts w:ascii="Verdana" w:hAnsi="Verdana"/>
          <w:sz w:val="20"/>
        </w:rPr>
        <w:t xml:space="preserve"> the </w:t>
      </w:r>
      <w:proofErr w:type="spellStart"/>
      <w:r w:rsidRPr="00B30782">
        <w:rPr>
          <w:rFonts w:ascii="Verdana" w:hAnsi="Verdana"/>
          <w:sz w:val="20"/>
        </w:rPr>
        <w:t>KingFisher</w:t>
      </w:r>
      <w:proofErr w:type="spellEnd"/>
      <w:r w:rsidRPr="00B30782">
        <w:rPr>
          <w:rFonts w:ascii="Verdana" w:hAnsi="Verdana"/>
          <w:sz w:val="20"/>
        </w:rPr>
        <w:t xml:space="preserve"> Plex instrument</w:t>
      </w:r>
      <w:r w:rsidR="00F23BC4" w:rsidRPr="00B30782">
        <w:rPr>
          <w:rFonts w:ascii="Verdana" w:hAnsi="Verdana"/>
          <w:sz w:val="20"/>
        </w:rPr>
        <w:t xml:space="preserve"> from </w:t>
      </w:r>
      <w:proofErr w:type="spellStart"/>
      <w:r w:rsidR="00F23BC4" w:rsidRPr="00B30782">
        <w:rPr>
          <w:rFonts w:ascii="Verdana" w:hAnsi="Verdana"/>
          <w:sz w:val="20"/>
        </w:rPr>
        <w:t>ThermoFisher</w:t>
      </w:r>
      <w:proofErr w:type="spellEnd"/>
      <w:r w:rsidR="00F23BC4" w:rsidRPr="00B30782">
        <w:rPr>
          <w:rFonts w:ascii="Verdana" w:hAnsi="Verdana"/>
          <w:sz w:val="20"/>
        </w:rPr>
        <w:t xml:space="preserve"> Scientific</w:t>
      </w:r>
      <w:r w:rsidRPr="00B30782">
        <w:rPr>
          <w:rFonts w:ascii="Verdana" w:hAnsi="Verdana"/>
          <w:sz w:val="20"/>
        </w:rPr>
        <w:t xml:space="preserve">, we realized an automated </w:t>
      </w:r>
      <w:r w:rsidR="00E123DE">
        <w:rPr>
          <w:rFonts w:ascii="Verdana" w:hAnsi="Verdana"/>
          <w:sz w:val="20"/>
        </w:rPr>
        <w:t>functionalization</w:t>
      </w:r>
      <w:r w:rsidRPr="00B30782">
        <w:rPr>
          <w:rFonts w:ascii="Verdana" w:hAnsi="Verdana"/>
          <w:sz w:val="20"/>
        </w:rPr>
        <w:t xml:space="preserve"> </w:t>
      </w:r>
      <w:r w:rsidR="005C7DAD">
        <w:rPr>
          <w:rFonts w:ascii="Verdana" w:hAnsi="Verdana"/>
          <w:sz w:val="20"/>
        </w:rPr>
        <w:t xml:space="preserve">of </w:t>
      </w:r>
      <w:r w:rsidRPr="00B30782">
        <w:rPr>
          <w:rFonts w:ascii="Verdana" w:hAnsi="Verdana"/>
          <w:sz w:val="20"/>
        </w:rPr>
        <w:t>up to 96 different bead</w:t>
      </w:r>
      <w:r w:rsidR="004F5183">
        <w:rPr>
          <w:rFonts w:ascii="Verdana" w:hAnsi="Verdana"/>
          <w:sz w:val="20"/>
        </w:rPr>
        <w:t xml:space="preserve"> regions in one unattended run</w:t>
      </w:r>
      <w:r w:rsidR="00C77F06">
        <w:rPr>
          <w:rFonts w:ascii="Verdana" w:hAnsi="Verdana"/>
          <w:sz w:val="20"/>
        </w:rPr>
        <w:t>,</w:t>
      </w:r>
      <w:r w:rsidR="004F5183">
        <w:rPr>
          <w:rFonts w:ascii="Verdana" w:hAnsi="Verdana"/>
          <w:sz w:val="20"/>
        </w:rPr>
        <w:t xml:space="preserve"> </w:t>
      </w:r>
      <w:r w:rsidR="00C77F06">
        <w:rPr>
          <w:rFonts w:ascii="Verdana" w:hAnsi="Verdana"/>
          <w:sz w:val="20"/>
        </w:rPr>
        <w:t>b</w:t>
      </w:r>
      <w:r w:rsidRPr="00B30782">
        <w:rPr>
          <w:rFonts w:ascii="Verdana" w:hAnsi="Verdana"/>
          <w:sz w:val="20"/>
        </w:rPr>
        <w:t>) counting of beads has been established usin</w:t>
      </w:r>
      <w:r w:rsidR="004F5183">
        <w:rPr>
          <w:rFonts w:ascii="Verdana" w:hAnsi="Verdana"/>
          <w:sz w:val="20"/>
        </w:rPr>
        <w:t>g the Luna II cell counter</w:t>
      </w:r>
      <w:r w:rsidR="00C77F06">
        <w:rPr>
          <w:rFonts w:ascii="Verdana" w:hAnsi="Verdana"/>
          <w:sz w:val="20"/>
        </w:rPr>
        <w:t>,</w:t>
      </w:r>
      <w:r w:rsidR="004F5183">
        <w:rPr>
          <w:rFonts w:ascii="Verdana" w:hAnsi="Verdana"/>
          <w:sz w:val="20"/>
        </w:rPr>
        <w:t xml:space="preserve"> and </w:t>
      </w:r>
      <w:r w:rsidR="00C77F06">
        <w:rPr>
          <w:rFonts w:ascii="Verdana" w:hAnsi="Verdana"/>
          <w:sz w:val="20"/>
        </w:rPr>
        <w:t>c</w:t>
      </w:r>
      <w:r w:rsidRPr="00B30782">
        <w:rPr>
          <w:rFonts w:ascii="Verdana" w:hAnsi="Verdana"/>
          <w:sz w:val="20"/>
        </w:rPr>
        <w:t>) high recovery 384-w</w:t>
      </w:r>
      <w:r w:rsidR="00C77F06">
        <w:rPr>
          <w:rFonts w:ascii="Verdana" w:hAnsi="Verdana"/>
          <w:sz w:val="20"/>
        </w:rPr>
        <w:t xml:space="preserve">ell plate washing protocols are </w:t>
      </w:r>
      <w:r w:rsidRPr="00B30782">
        <w:rPr>
          <w:rFonts w:ascii="Verdana" w:hAnsi="Verdana"/>
          <w:sz w:val="20"/>
        </w:rPr>
        <w:t>in place on the Aquamax4000 device. Further, to leverage the Luminex platform in the Nanobody Discovery process, binding and competition assays have been developed that are currently assessed to screen for immune responses and (off)-target binding. In addition, commercial kits to measure cytokine panels were evaluated.</w:t>
      </w:r>
    </w:p>
    <w:p w:rsidR="00B30782" w:rsidRPr="00B30782" w:rsidRDefault="00B30782" w:rsidP="00B30782">
      <w:pPr>
        <w:spacing w:after="0" w:line="240" w:lineRule="auto"/>
        <w:rPr>
          <w:rFonts w:ascii="Verdana" w:hAnsi="Verdana"/>
        </w:rPr>
      </w:pPr>
    </w:p>
    <w:p w:rsidR="00CC623E" w:rsidRDefault="00CC623E" w:rsidP="00CC623E">
      <w:pPr>
        <w:rPr>
          <w:rFonts w:ascii="Verdana" w:hAnsi="Verdana"/>
        </w:rPr>
      </w:pPr>
      <w:r>
        <w:rPr>
          <w:rFonts w:ascii="Verdana" w:hAnsi="Verdana"/>
        </w:rPr>
        <w:t>3) Results:</w:t>
      </w:r>
    </w:p>
    <w:p w:rsidR="00CC623E" w:rsidRPr="00B30782" w:rsidRDefault="00F23BC4" w:rsidP="00B30782">
      <w:pPr>
        <w:spacing w:line="240" w:lineRule="auto"/>
        <w:rPr>
          <w:rFonts w:ascii="Verdana" w:hAnsi="Verdana"/>
          <w:sz w:val="20"/>
        </w:rPr>
      </w:pPr>
      <w:proofErr w:type="spellStart"/>
      <w:r w:rsidRPr="00B30782">
        <w:rPr>
          <w:rFonts w:ascii="Verdana" w:hAnsi="Verdana"/>
          <w:sz w:val="20"/>
        </w:rPr>
        <w:t>KingFisher</w:t>
      </w:r>
      <w:proofErr w:type="spellEnd"/>
      <w:r w:rsidRPr="00B30782">
        <w:rPr>
          <w:rFonts w:ascii="Verdana" w:hAnsi="Verdana"/>
          <w:sz w:val="20"/>
        </w:rPr>
        <w:t xml:space="preserve"> Plex-automated coupling of up to 2 million </w:t>
      </w:r>
      <w:proofErr w:type="spellStart"/>
      <w:r w:rsidRPr="00B30782">
        <w:rPr>
          <w:rFonts w:ascii="Verdana" w:hAnsi="Verdana"/>
          <w:sz w:val="20"/>
        </w:rPr>
        <w:t>MagPlex</w:t>
      </w:r>
      <w:proofErr w:type="spellEnd"/>
      <w:r w:rsidRPr="00B30782">
        <w:rPr>
          <w:rFonts w:ascii="Verdana" w:hAnsi="Verdana"/>
          <w:sz w:val="20"/>
        </w:rPr>
        <w:t xml:space="preserve"> beads</w:t>
      </w:r>
      <w:r w:rsidR="00AB64AF">
        <w:rPr>
          <w:rFonts w:ascii="Verdana" w:hAnsi="Verdana"/>
          <w:sz w:val="20"/>
        </w:rPr>
        <w:t>/batch</w:t>
      </w:r>
      <w:r w:rsidRPr="00B30782">
        <w:rPr>
          <w:rFonts w:ascii="Verdana" w:hAnsi="Verdana"/>
          <w:sz w:val="20"/>
        </w:rPr>
        <w:t xml:space="preserve"> using EDC/NHS chemistry yielded bead recoveries between 75 and 95 %. These were reliably determined with the Luna II cell counting device in merely 10 s per bead batch.</w:t>
      </w:r>
      <w:r w:rsidR="004D2FBB" w:rsidRPr="00B30782">
        <w:rPr>
          <w:rFonts w:ascii="Verdana" w:hAnsi="Verdana"/>
          <w:sz w:val="20"/>
        </w:rPr>
        <w:t xml:space="preserve"> </w:t>
      </w:r>
      <w:r w:rsidR="00244152" w:rsidRPr="00B30782">
        <w:rPr>
          <w:rFonts w:ascii="Verdana" w:hAnsi="Verdana"/>
          <w:sz w:val="20"/>
        </w:rPr>
        <w:t xml:space="preserve">384-well microplate washing protocols were optimized for efficient washing steps of </w:t>
      </w:r>
      <w:proofErr w:type="spellStart"/>
      <w:r w:rsidR="00244152" w:rsidRPr="00B30782">
        <w:rPr>
          <w:rFonts w:ascii="Verdana" w:hAnsi="Verdana"/>
          <w:sz w:val="20"/>
        </w:rPr>
        <w:t>MagPlex</w:t>
      </w:r>
      <w:proofErr w:type="spellEnd"/>
      <w:r w:rsidR="00244152" w:rsidRPr="00B30782">
        <w:rPr>
          <w:rFonts w:ascii="Verdana" w:hAnsi="Verdana"/>
          <w:sz w:val="20"/>
        </w:rPr>
        <w:t xml:space="preserve"> beads. We found that at least 2000 beads/well are necessary </w:t>
      </w:r>
      <w:r w:rsidR="00FE15FF" w:rsidRPr="00B30782">
        <w:rPr>
          <w:rFonts w:ascii="Verdana" w:hAnsi="Verdana"/>
          <w:sz w:val="20"/>
        </w:rPr>
        <w:t xml:space="preserve">for a robust assay read-out due </w:t>
      </w:r>
      <w:r w:rsidR="00244152" w:rsidRPr="00B30782">
        <w:rPr>
          <w:rFonts w:ascii="Verdana" w:hAnsi="Verdana"/>
          <w:sz w:val="20"/>
        </w:rPr>
        <w:t xml:space="preserve">to </w:t>
      </w:r>
      <w:r w:rsidR="00FE15FF" w:rsidRPr="00B30782">
        <w:rPr>
          <w:rFonts w:ascii="Verdana" w:hAnsi="Verdana"/>
          <w:sz w:val="20"/>
        </w:rPr>
        <w:t>an inevitable loss of beads during washing. Immune titer and Nanobody binding assays have been established to assess both target and off-target binding characteristics. For typical screening campaign</w:t>
      </w:r>
      <w:r w:rsidR="00B30782" w:rsidRPr="00B30782">
        <w:rPr>
          <w:rFonts w:ascii="Verdana" w:hAnsi="Verdana"/>
          <w:sz w:val="20"/>
        </w:rPr>
        <w:t>s</w:t>
      </w:r>
      <w:r w:rsidR="00FE15FF" w:rsidRPr="00B30782">
        <w:rPr>
          <w:rFonts w:ascii="Verdana" w:hAnsi="Verdana"/>
          <w:sz w:val="20"/>
        </w:rPr>
        <w:t xml:space="preserve"> of &gt;</w:t>
      </w:r>
      <w:r w:rsidR="00B30782" w:rsidRPr="00B30782">
        <w:rPr>
          <w:rFonts w:ascii="Verdana" w:hAnsi="Verdana"/>
          <w:sz w:val="20"/>
        </w:rPr>
        <w:t xml:space="preserve"> 2000 Nanobodies per target, the throughput of </w:t>
      </w:r>
      <w:r w:rsidR="00FE15FF" w:rsidRPr="00B30782">
        <w:rPr>
          <w:rFonts w:ascii="Verdana" w:hAnsi="Verdana"/>
          <w:sz w:val="20"/>
        </w:rPr>
        <w:t xml:space="preserve">traditional ELISA </w:t>
      </w:r>
      <w:r w:rsidR="00B30782" w:rsidRPr="00B30782">
        <w:rPr>
          <w:rFonts w:ascii="Verdana" w:hAnsi="Verdana"/>
          <w:sz w:val="20"/>
        </w:rPr>
        <w:t>assays</w:t>
      </w:r>
      <w:r w:rsidR="00FE15FF" w:rsidRPr="00B30782">
        <w:rPr>
          <w:rFonts w:ascii="Verdana" w:hAnsi="Verdana"/>
          <w:sz w:val="20"/>
        </w:rPr>
        <w:t xml:space="preserve"> </w:t>
      </w:r>
      <w:r w:rsidR="00B30782" w:rsidRPr="00B30782">
        <w:rPr>
          <w:rFonts w:ascii="Verdana" w:hAnsi="Verdana"/>
          <w:sz w:val="20"/>
        </w:rPr>
        <w:t xml:space="preserve">was </w:t>
      </w:r>
      <w:r w:rsidR="00FE15FF" w:rsidRPr="00B30782">
        <w:rPr>
          <w:rFonts w:ascii="Verdana" w:hAnsi="Verdana"/>
          <w:sz w:val="20"/>
        </w:rPr>
        <w:t xml:space="preserve">found </w:t>
      </w:r>
      <w:r w:rsidR="00B30782" w:rsidRPr="00B30782">
        <w:rPr>
          <w:rFonts w:ascii="Verdana" w:hAnsi="Verdana"/>
          <w:sz w:val="20"/>
        </w:rPr>
        <w:t>inf</w:t>
      </w:r>
      <w:r w:rsidR="00FE15FF" w:rsidRPr="00B30782">
        <w:rPr>
          <w:rFonts w:ascii="Verdana" w:hAnsi="Verdana"/>
          <w:sz w:val="20"/>
        </w:rPr>
        <w:t xml:space="preserve">erior </w:t>
      </w:r>
      <w:r w:rsidR="00AB64AF">
        <w:rPr>
          <w:rFonts w:ascii="Verdana" w:hAnsi="Verdana"/>
          <w:sz w:val="20"/>
        </w:rPr>
        <w:t xml:space="preserve">to </w:t>
      </w:r>
      <w:r w:rsidR="00B30782" w:rsidRPr="00B30782">
        <w:rPr>
          <w:rFonts w:ascii="Verdana" w:hAnsi="Verdana"/>
          <w:sz w:val="20"/>
        </w:rPr>
        <w:t>a</w:t>
      </w:r>
      <w:r w:rsidR="00FE15FF" w:rsidRPr="00B30782">
        <w:rPr>
          <w:rFonts w:ascii="Verdana" w:hAnsi="Verdana"/>
          <w:sz w:val="20"/>
        </w:rPr>
        <w:t xml:space="preserve"> 5-plex Luminex assay. The increased dynamic range of Luminex sh</w:t>
      </w:r>
      <w:r w:rsidR="00FB72F0">
        <w:rPr>
          <w:rFonts w:ascii="Verdana" w:hAnsi="Verdana"/>
          <w:sz w:val="20"/>
        </w:rPr>
        <w:t>ould allow us to identify high affine Nanobodies early</w:t>
      </w:r>
      <w:r w:rsidR="00FE15FF" w:rsidRPr="00B30782">
        <w:rPr>
          <w:rFonts w:ascii="Verdana" w:hAnsi="Verdana"/>
          <w:sz w:val="20"/>
        </w:rPr>
        <w:t xml:space="preserve"> in the screening cascade.</w:t>
      </w:r>
      <w:r w:rsidR="00B30782" w:rsidRPr="00B30782">
        <w:rPr>
          <w:rFonts w:ascii="Verdana" w:hAnsi="Verdana"/>
          <w:sz w:val="20"/>
        </w:rPr>
        <w:t xml:space="preserve"> Lastly, we successfully te</w:t>
      </w:r>
      <w:r w:rsidR="00B30782">
        <w:rPr>
          <w:rFonts w:ascii="Verdana" w:hAnsi="Verdana"/>
          <w:sz w:val="20"/>
        </w:rPr>
        <w:t>sted a 3-plex competition assay</w:t>
      </w:r>
      <w:r w:rsidR="00B30782" w:rsidRPr="00B30782">
        <w:rPr>
          <w:rFonts w:ascii="Verdana" w:hAnsi="Verdana"/>
          <w:sz w:val="20"/>
        </w:rPr>
        <w:t xml:space="preserve"> in which </w:t>
      </w:r>
      <w:r w:rsidR="00C77F06">
        <w:rPr>
          <w:rFonts w:ascii="Verdana" w:hAnsi="Verdana"/>
          <w:sz w:val="20"/>
        </w:rPr>
        <w:t>different</w:t>
      </w:r>
      <w:r w:rsidR="00B30782" w:rsidRPr="00B30782">
        <w:rPr>
          <w:rFonts w:ascii="Verdana" w:hAnsi="Verdana"/>
          <w:sz w:val="20"/>
        </w:rPr>
        <w:t xml:space="preserve"> ligands </w:t>
      </w:r>
      <w:r w:rsidR="00B30782">
        <w:rPr>
          <w:rFonts w:ascii="Verdana" w:hAnsi="Verdana"/>
          <w:sz w:val="20"/>
        </w:rPr>
        <w:t>for</w:t>
      </w:r>
      <w:r w:rsidR="00B30782" w:rsidRPr="00B30782">
        <w:rPr>
          <w:rFonts w:ascii="Verdana" w:hAnsi="Verdana"/>
          <w:sz w:val="20"/>
        </w:rPr>
        <w:t xml:space="preserve"> 1 receptor were put on </w:t>
      </w:r>
      <w:proofErr w:type="spellStart"/>
      <w:r w:rsidR="00B30782" w:rsidRPr="00B30782">
        <w:rPr>
          <w:rFonts w:ascii="Verdana" w:hAnsi="Verdana"/>
          <w:sz w:val="20"/>
        </w:rPr>
        <w:t>MagPlex</w:t>
      </w:r>
      <w:proofErr w:type="spellEnd"/>
      <w:r w:rsidR="00B30782" w:rsidRPr="00B30782">
        <w:rPr>
          <w:rFonts w:ascii="Verdana" w:hAnsi="Verdana"/>
          <w:sz w:val="20"/>
        </w:rPr>
        <w:t xml:space="preserve"> beads and simultaneously tested for interference with Nanobody/receptor binding.</w:t>
      </w:r>
    </w:p>
    <w:p w:rsidR="00CC623E" w:rsidRDefault="00CC623E" w:rsidP="00CC623E">
      <w:pPr>
        <w:rPr>
          <w:rFonts w:ascii="Verdana" w:hAnsi="Verdana"/>
        </w:rPr>
      </w:pPr>
      <w:r>
        <w:rPr>
          <w:rFonts w:ascii="Verdana" w:hAnsi="Verdana"/>
        </w:rPr>
        <w:t>4) Conclusion:</w:t>
      </w:r>
    </w:p>
    <w:p w:rsidR="00CC623E" w:rsidRPr="00AB64AF" w:rsidRDefault="00B30782" w:rsidP="00ED4C91">
      <w:pPr>
        <w:spacing w:line="240" w:lineRule="auto"/>
        <w:rPr>
          <w:rFonts w:ascii="Verdana" w:hAnsi="Verdana"/>
          <w:sz w:val="20"/>
        </w:rPr>
      </w:pPr>
      <w:r w:rsidRPr="00AB64AF">
        <w:rPr>
          <w:rFonts w:ascii="Verdana" w:hAnsi="Verdana"/>
          <w:sz w:val="20"/>
        </w:rPr>
        <w:t xml:space="preserve">Luminex assays offer a variety of </w:t>
      </w:r>
      <w:r w:rsidR="00ED4C91" w:rsidRPr="00AB64AF">
        <w:rPr>
          <w:rFonts w:ascii="Verdana" w:hAnsi="Verdana"/>
          <w:sz w:val="20"/>
        </w:rPr>
        <w:t xml:space="preserve">possibilities to set up Nanobody screening and characterization assays at </w:t>
      </w:r>
      <w:proofErr w:type="spellStart"/>
      <w:r w:rsidR="00ED4C91" w:rsidRPr="00AB64AF">
        <w:rPr>
          <w:rFonts w:ascii="Verdana" w:hAnsi="Verdana"/>
          <w:sz w:val="20"/>
        </w:rPr>
        <w:t>Ablynx</w:t>
      </w:r>
      <w:proofErr w:type="spellEnd"/>
      <w:r w:rsidR="00ED4C91" w:rsidRPr="00AB64AF">
        <w:rPr>
          <w:rFonts w:ascii="Verdana" w:hAnsi="Verdana"/>
          <w:sz w:val="20"/>
        </w:rPr>
        <w:t xml:space="preserve">/Sanofi. They allow more information to be queried during the Discovery phase of promising Nanobody leads and thereby saving hands-on time if multiplexing is exploited. The availably of commercial kits allows us to select quicker appropriate read-outs in e.g. cellular assays. The current optimization efforts concentrate on streamlining bead </w:t>
      </w:r>
      <w:r w:rsidR="008B162D" w:rsidRPr="00AB64AF">
        <w:rPr>
          <w:rFonts w:ascii="Verdana" w:hAnsi="Verdana"/>
          <w:sz w:val="20"/>
        </w:rPr>
        <w:t>conjugations.</w:t>
      </w:r>
    </w:p>
    <w:sectPr w:rsidR="00CC623E" w:rsidRPr="00AB64AF" w:rsidSect="009D6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ic Roman">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3E"/>
    <w:rsid w:val="00063E39"/>
    <w:rsid w:val="000732FE"/>
    <w:rsid w:val="0007537A"/>
    <w:rsid w:val="001B0E0B"/>
    <w:rsid w:val="00201ECE"/>
    <w:rsid w:val="00205836"/>
    <w:rsid w:val="00244152"/>
    <w:rsid w:val="002C6DF6"/>
    <w:rsid w:val="0030529C"/>
    <w:rsid w:val="00415ADF"/>
    <w:rsid w:val="0043581E"/>
    <w:rsid w:val="004D2FBB"/>
    <w:rsid w:val="004F5183"/>
    <w:rsid w:val="0059732F"/>
    <w:rsid w:val="005C6133"/>
    <w:rsid w:val="005C7DAD"/>
    <w:rsid w:val="005F5DB6"/>
    <w:rsid w:val="006D717A"/>
    <w:rsid w:val="007809F4"/>
    <w:rsid w:val="0079242F"/>
    <w:rsid w:val="00826BC9"/>
    <w:rsid w:val="00844BC2"/>
    <w:rsid w:val="008B162D"/>
    <w:rsid w:val="0090395E"/>
    <w:rsid w:val="009065DD"/>
    <w:rsid w:val="0094688C"/>
    <w:rsid w:val="009856C2"/>
    <w:rsid w:val="009D3599"/>
    <w:rsid w:val="009D6089"/>
    <w:rsid w:val="009E1444"/>
    <w:rsid w:val="00A07147"/>
    <w:rsid w:val="00A736A2"/>
    <w:rsid w:val="00AA0120"/>
    <w:rsid w:val="00AB64AF"/>
    <w:rsid w:val="00B30782"/>
    <w:rsid w:val="00B742D6"/>
    <w:rsid w:val="00C11567"/>
    <w:rsid w:val="00C4361B"/>
    <w:rsid w:val="00C73990"/>
    <w:rsid w:val="00C77F06"/>
    <w:rsid w:val="00CC623E"/>
    <w:rsid w:val="00D14E8A"/>
    <w:rsid w:val="00D57DD9"/>
    <w:rsid w:val="00E123DE"/>
    <w:rsid w:val="00EB0C55"/>
    <w:rsid w:val="00ED4C91"/>
    <w:rsid w:val="00EE5247"/>
    <w:rsid w:val="00F23BC4"/>
    <w:rsid w:val="00F84710"/>
    <w:rsid w:val="00F94999"/>
    <w:rsid w:val="00FB72F0"/>
    <w:rsid w:val="00FE15FF"/>
  </w:rsids>
  <m:mathPr>
    <m:mathFont m:val="Cambria Math"/>
    <m:brkBin m:val="before"/>
    <m:brkBinSub m:val="--"/>
    <m:smallFrac m:val="0"/>
    <m:dispDef/>
    <m:lMargin m:val="0"/>
    <m:rMargin m:val="0"/>
    <m:defJc m:val="centerGroup"/>
    <m:wrapIndent m:val="1440"/>
    <m:intLim m:val="subSup"/>
    <m:naryLim m:val="undOvr"/>
  </m:mathPr>
  <w:themeFontLang w:val="nl-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9F2-8435-445B-B908-2828BD4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23E"/>
    <w:pPr>
      <w:spacing w:after="200" w:line="276" w:lineRule="auto"/>
    </w:pPr>
    <w:rPr>
      <w:rFonts w:ascii="Calibri" w:eastAsia="Calibri" w:hAnsi="Calibri" w:cs="Basic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83"/>
    <w:rPr>
      <w:rFonts w:ascii="Segoe UI" w:eastAsia="Calibr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Niebel</dc:creator>
  <cp:keywords/>
  <dc:description/>
  <cp:lastModifiedBy>Bjoern Niebel</cp:lastModifiedBy>
  <cp:revision>2</cp:revision>
  <cp:lastPrinted>2018-10-12T12:07:00Z</cp:lastPrinted>
  <dcterms:created xsi:type="dcterms:W3CDTF">2018-10-12T12:48:00Z</dcterms:created>
  <dcterms:modified xsi:type="dcterms:W3CDTF">2018-10-12T12:48:00Z</dcterms:modified>
</cp:coreProperties>
</file>