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B1" w:rsidRPr="00EF40B1" w:rsidRDefault="00EF40B1" w:rsidP="00EF40B1">
      <w:pPr>
        <w:jc w:val="center"/>
        <w:rPr>
          <w:rFonts w:asciiTheme="minorHAnsi" w:hAnsiTheme="minorHAnsi"/>
          <w:b/>
          <w:sz w:val="32"/>
          <w:szCs w:val="32"/>
        </w:rPr>
      </w:pPr>
      <w:r w:rsidRPr="00EF40B1">
        <w:rPr>
          <w:rFonts w:asciiTheme="minorHAnsi" w:hAnsiTheme="minorHAnsi"/>
          <w:b/>
          <w:sz w:val="32"/>
          <w:szCs w:val="32"/>
        </w:rPr>
        <w:t>California Training Requirements Compliance Guide</w:t>
      </w:r>
    </w:p>
    <w:p w:rsidR="00EF40B1" w:rsidRDefault="00EF40B1" w:rsidP="00EF40B1">
      <w:pPr>
        <w:jc w:val="center"/>
        <w:rPr>
          <w:rFonts w:asciiTheme="minorHAnsi" w:hAnsiTheme="minorHAnsi"/>
          <w:b/>
        </w:rPr>
      </w:pPr>
    </w:p>
    <w:p w:rsidR="00EF40B1" w:rsidRPr="00EF40B1" w:rsidRDefault="00EF40B1" w:rsidP="00EF40B1">
      <w:pPr>
        <w:jc w:val="center"/>
        <w:rPr>
          <w:rFonts w:asciiTheme="minorHAnsi" w:hAnsiTheme="minorHAnsi"/>
          <w:b/>
        </w:rPr>
      </w:pPr>
      <w:r w:rsidRPr="00EF40B1">
        <w:rPr>
          <w:rFonts w:asciiTheme="minorHAnsi" w:hAnsiTheme="minorHAnsi"/>
          <w:b/>
        </w:rPr>
        <w:t>VOLUME I</w:t>
      </w:r>
    </w:p>
    <w:p w:rsidR="00EF40B1" w:rsidRPr="00EF40B1" w:rsidRDefault="00EF40B1" w:rsidP="00EF40B1">
      <w:pPr>
        <w:rPr>
          <w:rFonts w:asciiTheme="minorHAnsi" w:hAnsiTheme="minorHAnsi"/>
          <w:b/>
        </w:rPr>
      </w:pPr>
    </w:p>
    <w:p w:rsidR="00EF40B1" w:rsidRPr="00EF40B1" w:rsidRDefault="00EF40B1" w:rsidP="00EF40B1">
      <w:pPr>
        <w:rPr>
          <w:rFonts w:asciiTheme="minorHAnsi" w:hAnsiTheme="minorHAnsi"/>
        </w:rPr>
      </w:pPr>
      <w:r w:rsidRPr="00EF40B1">
        <w:rPr>
          <w:rFonts w:asciiTheme="minorHAnsi" w:hAnsiTheme="minorHAnsi"/>
          <w:b/>
        </w:rPr>
        <w:t xml:space="preserve">OVERVIEW TO </w:t>
      </w:r>
      <w:smartTag w:uri="urn:schemas-microsoft-com:office:smarttags" w:element="State">
        <w:smartTag w:uri="urn:schemas-microsoft-com:office:smarttags" w:element="place">
          <w:r w:rsidRPr="00EF40B1">
            <w:rPr>
              <w:rFonts w:asciiTheme="minorHAnsi" w:hAnsiTheme="minorHAnsi"/>
              <w:b/>
              <w:i/>
            </w:rPr>
            <w:t>CALIFORNIA</w:t>
          </w:r>
        </w:smartTag>
      </w:smartTag>
      <w:r w:rsidRPr="00EF40B1">
        <w:rPr>
          <w:rFonts w:asciiTheme="minorHAnsi" w:hAnsiTheme="minorHAnsi"/>
          <w:b/>
          <w:i/>
        </w:rPr>
        <w:t xml:space="preserve"> GUIDE </w:t>
      </w:r>
      <w:r w:rsidRPr="00EF40B1">
        <w:rPr>
          <w:rFonts w:asciiTheme="minorHAnsi" w:hAnsiTheme="minorHAnsi"/>
          <w:b/>
        </w:rPr>
        <w:t>USE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</w:rPr>
        <w:t xml:space="preserve">Chapter 1: Introduction 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Difficulties Encountered in Compliance with Training Regulations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How Do I Match California Regulations with Federal Programs?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Where Are the Training Requirements in the Regulations?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How Do I Avoid Covering the Same Material Over and Over Again?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How Do I Identify Roles and Responsibilities?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Developing a Training System That Works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Summary</w:t>
      </w:r>
    </w:p>
    <w:p w:rsidR="00EF40B1" w:rsidRPr="00EF40B1" w:rsidRDefault="00EF40B1" w:rsidP="00EF40B1">
      <w:pPr>
        <w:rPr>
          <w:rFonts w:asciiTheme="minorHAnsi" w:hAnsiTheme="minorHAnsi"/>
        </w:rPr>
      </w:pPr>
      <w:r w:rsidRPr="00EF40B1">
        <w:rPr>
          <w:rFonts w:asciiTheme="minorHAnsi" w:hAnsiTheme="minorHAnsi"/>
        </w:rPr>
        <w:tab/>
        <w:t xml:space="preserve">Appendices </w:t>
      </w:r>
      <w:r w:rsidRPr="00EF40B1">
        <w:rPr>
          <w:rFonts w:asciiTheme="minorHAnsi" w:hAnsiTheme="minorHAnsi"/>
          <w:i/>
        </w:rPr>
        <w:t>(see page ii for list)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</w:rPr>
        <w:t xml:space="preserve">Chapter 2: How to Use This Guide 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Regulatory Training Text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Finding What You Need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 Note on Federalism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Summary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</w:rPr>
        <w:t xml:space="preserve">Chapter 3: Practical Application of the Training Text 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The Case of Bob Smith and the Second Chance Motor Company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How Bob Got Started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What Bob Learned About Identifying Training Requirements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Summary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</w:rPr>
        <w:t xml:space="preserve">Chapter 4: Systematic Approach to Training Program Development 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How Bob Developed Second Chance’s Training Program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Analysis Phase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Design Phase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Development Phase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Implementation Phase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Evaluation Phase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Documentation and Recordkeeping</w:t>
      </w:r>
    </w:p>
    <w:p w:rsidR="00EF40B1" w:rsidRPr="00EF40B1" w:rsidRDefault="00EF40B1" w:rsidP="00EF40B1">
      <w:pPr>
        <w:pStyle w:val="TOC2"/>
        <w:rPr>
          <w:rFonts w:asciiTheme="minorHAnsi" w:hAnsiTheme="minorHAnsi"/>
        </w:rPr>
      </w:pPr>
      <w:r w:rsidRPr="00EF40B1">
        <w:rPr>
          <w:rFonts w:asciiTheme="minorHAnsi" w:hAnsiTheme="minorHAnsi"/>
        </w:rPr>
        <w:t>Summary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</w:rPr>
        <w:br w:type="page"/>
      </w:r>
      <w:r w:rsidRPr="00EF40B1">
        <w:rPr>
          <w:rFonts w:asciiTheme="minorHAnsi" w:hAnsiTheme="minorHAnsi"/>
        </w:rPr>
        <w:lastRenderedPageBreak/>
        <w:t>LIST OF APPENDICES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Appendix 1-A:California Environmental Protection Agency (Cal/EPA)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Appendix 1-B: DTSC Regional Offices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Appendix 1-C: Cal/OSHA (DOSH)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Appendix 1-D: Cal/OSHA Consultation Service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Appendix 1-E: SWRCB and RWQCB Offices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Appendix 1-F: California Air Resources Board (ARB)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Appendix 1-G: California Local Air Pollution Control Districts (APCD)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  <w:caps/>
        </w:rPr>
        <w:t>List of Figures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1: Federal Regulatory Programs Significantly Modified in California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2: Overlap in Regulatory Training Requirements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3: Regulatory Training Requirements by Subject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4: Systematic Approach to Training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5: Training Needs Analysis Matrix (and template)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6: Critical Job Function Analysis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7: Training Modules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8: Course Design Plan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9: Lesson Plan (and template)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10: Qualifications Checklist (and template)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11: Training Record Form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Figure 12: Systematic Approach to Environment, Health, and Safety Training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  <w:caps/>
        </w:rPr>
        <w:t>IndICes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A/B: Glossary and Key Word Index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B: Index of Key Words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(Tab C is reserved for issuance at a future date)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D: Regulation Index</w:t>
      </w:r>
    </w:p>
    <w:p w:rsidR="00EF40B1" w:rsidRPr="00EF40B1" w:rsidRDefault="00EF40B1" w:rsidP="00EF40B1">
      <w:pPr>
        <w:pStyle w:val="TOC1"/>
        <w:rPr>
          <w:rFonts w:asciiTheme="minorHAnsi" w:hAnsiTheme="minorHAnsi"/>
        </w:rPr>
      </w:pPr>
      <w:r w:rsidRPr="00EF40B1">
        <w:rPr>
          <w:rFonts w:asciiTheme="minorHAnsi" w:hAnsiTheme="minorHAnsi"/>
          <w:caps/>
        </w:rPr>
        <w:t>regulatory training text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F: Hazard Communication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G: Emergency Response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H: Hazardous Waste Management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I: Transportation of Hazardous Materials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J: Wastewater</w:t>
      </w:r>
    </w:p>
    <w:p w:rsidR="00EF40B1" w:rsidRPr="00EF40B1" w:rsidRDefault="00EF40B1" w:rsidP="00EF40B1">
      <w:pPr>
        <w:spacing w:before="200"/>
        <w:jc w:val="center"/>
        <w:rPr>
          <w:rFonts w:asciiTheme="minorHAnsi" w:hAnsiTheme="minorHAnsi"/>
          <w:b/>
          <w:bCs/>
        </w:rPr>
      </w:pPr>
      <w:r w:rsidRPr="00EF40B1">
        <w:rPr>
          <w:rFonts w:asciiTheme="minorHAnsi" w:hAnsiTheme="minorHAnsi"/>
          <w:b/>
          <w:bCs/>
        </w:rPr>
        <w:t>VOLUME II</w:t>
      </w:r>
    </w:p>
    <w:p w:rsidR="00EF40B1" w:rsidRPr="00EF40B1" w:rsidRDefault="00EF40B1" w:rsidP="00EF40B1">
      <w:pPr>
        <w:pStyle w:val="TOC1"/>
        <w:spacing w:before="120"/>
        <w:rPr>
          <w:rFonts w:asciiTheme="minorHAnsi" w:hAnsiTheme="minorHAnsi"/>
        </w:rPr>
      </w:pPr>
      <w:r w:rsidRPr="00EF40B1">
        <w:rPr>
          <w:rFonts w:asciiTheme="minorHAnsi" w:hAnsiTheme="minorHAnsi"/>
          <w:caps/>
        </w:rPr>
        <w:t>Regulatory Training Text</w:t>
      </w:r>
      <w:r w:rsidRPr="00EF40B1">
        <w:rPr>
          <w:rFonts w:asciiTheme="minorHAnsi" w:hAnsiTheme="minorHAnsi"/>
        </w:rPr>
        <w:t xml:space="preserve"> (continued)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K: Air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L: OSHA Equipment, Hazard, and Facility-Specific Training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M: Chemical-Specific Industrial Hygiene (Hazmat)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N: Toxic Substances Control Act (TSCA)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lastRenderedPageBreak/>
        <w:t>Tab O: Pesticides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P: Construction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Q: Marine Activities (Resources Website)</w:t>
      </w:r>
    </w:p>
    <w:p w:rsidR="00EF40B1" w:rsidRPr="00EF40B1" w:rsidRDefault="00EF40B1" w:rsidP="00EF40B1">
      <w:pPr>
        <w:pStyle w:val="TOC2"/>
        <w:ind w:left="0"/>
        <w:rPr>
          <w:rFonts w:asciiTheme="minorHAnsi" w:hAnsiTheme="minorHAnsi"/>
        </w:rPr>
      </w:pPr>
      <w:r w:rsidRPr="00EF40B1">
        <w:rPr>
          <w:rFonts w:asciiTheme="minorHAnsi" w:hAnsiTheme="minorHAnsi"/>
        </w:rPr>
        <w:t>Tab R: Miscellaneous  (Reserved)</w:t>
      </w:r>
      <w:bookmarkStart w:id="0" w:name="_GoBack"/>
      <w:bookmarkEnd w:id="0"/>
    </w:p>
    <w:p w:rsidR="00385BE1" w:rsidRPr="00EF40B1" w:rsidRDefault="00385BE1" w:rsidP="00EF40B1">
      <w:pPr>
        <w:rPr>
          <w:rFonts w:asciiTheme="minorHAnsi" w:hAnsiTheme="minorHAnsi"/>
        </w:rPr>
      </w:pPr>
    </w:p>
    <w:sectPr w:rsidR="00385BE1" w:rsidRPr="00EF40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4F" w:rsidRDefault="0035694F" w:rsidP="0035694F">
      <w:r>
        <w:separator/>
      </w:r>
    </w:p>
  </w:endnote>
  <w:endnote w:type="continuationSeparator" w:id="0">
    <w:p w:rsidR="0035694F" w:rsidRDefault="0035694F" w:rsidP="003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4F" w:rsidRDefault="0035694F" w:rsidP="0035694F">
      <w:r>
        <w:separator/>
      </w:r>
    </w:p>
  </w:footnote>
  <w:footnote w:type="continuationSeparator" w:id="0">
    <w:p w:rsidR="0035694F" w:rsidRDefault="0035694F" w:rsidP="0035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4F" w:rsidRDefault="0035694F" w:rsidP="0035694F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94F" w:rsidRDefault="00356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F"/>
    <w:rsid w:val="0035694F"/>
    <w:rsid w:val="00385BE1"/>
    <w:rsid w:val="00415A63"/>
    <w:rsid w:val="00454CB2"/>
    <w:rsid w:val="004F6148"/>
    <w:rsid w:val="006A049F"/>
    <w:rsid w:val="007031D1"/>
    <w:rsid w:val="0076681D"/>
    <w:rsid w:val="007A2403"/>
    <w:rsid w:val="007A2FEC"/>
    <w:rsid w:val="008A44DE"/>
    <w:rsid w:val="008D0CA3"/>
    <w:rsid w:val="00AC7D07"/>
    <w:rsid w:val="00B52918"/>
    <w:rsid w:val="00BA54AC"/>
    <w:rsid w:val="00C23446"/>
    <w:rsid w:val="00C8124F"/>
    <w:rsid w:val="00DA5CB1"/>
    <w:rsid w:val="00EA39B3"/>
    <w:rsid w:val="00E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customStyle="1" w:styleId="TOC11">
    <w:name w:val="TOC 11"/>
    <w:aliases w:val="t1,toc 1"/>
    <w:rsid w:val="007031D1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1">
    <w:name w:val="TOC 21"/>
    <w:aliases w:val="t2,toc 2"/>
    <w:rsid w:val="007031D1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1">
    <w:name w:val="Title1"/>
    <w:aliases w:val="t,tl,title"/>
    <w:rsid w:val="007031D1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styleId="TOC1">
    <w:name w:val="toc 1"/>
    <w:basedOn w:val="Normal"/>
    <w:next w:val="Normal"/>
    <w:semiHidden/>
    <w:rsid w:val="00EF40B1"/>
    <w:pPr>
      <w:tabs>
        <w:tab w:val="right" w:leader="dot" w:pos="9360"/>
      </w:tabs>
      <w:spacing w:before="240"/>
    </w:pPr>
    <w:rPr>
      <w:b/>
    </w:rPr>
  </w:style>
  <w:style w:type="paragraph" w:styleId="TOC2">
    <w:name w:val="toc 2"/>
    <w:basedOn w:val="Normal"/>
    <w:next w:val="Normal"/>
    <w:semiHidden/>
    <w:rsid w:val="00EF40B1"/>
    <w:pPr>
      <w:tabs>
        <w:tab w:val="right" w:leader="dot" w:pos="9360"/>
      </w:tabs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customStyle="1" w:styleId="TOC11">
    <w:name w:val="TOC 11"/>
    <w:aliases w:val="t1,toc 1"/>
    <w:rsid w:val="007031D1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1">
    <w:name w:val="TOC 21"/>
    <w:aliases w:val="t2,toc 2"/>
    <w:rsid w:val="007031D1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1">
    <w:name w:val="Title1"/>
    <w:aliases w:val="t,tl,title"/>
    <w:rsid w:val="007031D1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styleId="TOC1">
    <w:name w:val="toc 1"/>
    <w:basedOn w:val="Normal"/>
    <w:next w:val="Normal"/>
    <w:semiHidden/>
    <w:rsid w:val="00EF40B1"/>
    <w:pPr>
      <w:tabs>
        <w:tab w:val="right" w:leader="dot" w:pos="9360"/>
      </w:tabs>
      <w:spacing w:before="240"/>
    </w:pPr>
    <w:rPr>
      <w:b/>
    </w:rPr>
  </w:style>
  <w:style w:type="paragraph" w:styleId="TOC2">
    <w:name w:val="toc 2"/>
    <w:basedOn w:val="Normal"/>
    <w:next w:val="Normal"/>
    <w:semiHidden/>
    <w:rsid w:val="00EF40B1"/>
    <w:pPr>
      <w:tabs>
        <w:tab w:val="right" w:leader="dot" w:pos="9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i-worx</cp:lastModifiedBy>
  <cp:revision>3</cp:revision>
  <dcterms:created xsi:type="dcterms:W3CDTF">2019-07-25T20:34:00Z</dcterms:created>
  <dcterms:modified xsi:type="dcterms:W3CDTF">2019-07-25T20:38:00Z</dcterms:modified>
</cp:coreProperties>
</file>