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3B" w:rsidRDefault="00A3128A" w:rsidP="00F8773B">
      <w:pPr>
        <w:spacing w:line="240" w:lineRule="auto"/>
        <w:jc w:val="center"/>
        <w:rPr>
          <w:rFonts w:ascii="Arial" w:eastAsia="Times New Roman" w:hAnsi="Arial" w:cs="Arial"/>
          <w:color w:val="FF6600"/>
          <w:sz w:val="28"/>
          <w:szCs w:val="28"/>
          <w:shd w:val="clear" w:color="auto" w:fill="FFFFFF"/>
          <w:lang w:eastAsia="fr-FR"/>
        </w:rPr>
      </w:pPr>
      <w:r>
        <w:rPr>
          <w:rFonts w:ascii="Arial" w:eastAsia="Times New Roman" w:hAnsi="Arial" w:cs="Arial"/>
          <w:noProof/>
          <w:color w:val="FF6600"/>
          <w:sz w:val="28"/>
          <w:szCs w:val="28"/>
          <w:shd w:val="clear" w:color="auto" w:fill="FFFFFF"/>
          <w:lang w:eastAsia="fr-FR"/>
        </w:rPr>
        <w:drawing>
          <wp:anchor distT="0" distB="0" distL="114300" distR="114300" simplePos="0" relativeHeight="251658240" behindDoc="0" locked="0" layoutInCell="1" allowOverlap="1">
            <wp:simplePos x="0" y="0"/>
            <wp:positionH relativeFrom="margin">
              <wp:align>left</wp:align>
            </wp:positionH>
            <wp:positionV relativeFrom="margin">
              <wp:posOffset>-48895</wp:posOffset>
            </wp:positionV>
            <wp:extent cx="1365885" cy="46736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ucca-H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885" cy="467360"/>
                    </a:xfrm>
                    <a:prstGeom prst="rect">
                      <a:avLst/>
                    </a:prstGeom>
                  </pic:spPr>
                </pic:pic>
              </a:graphicData>
            </a:graphic>
            <wp14:sizeRelH relativeFrom="margin">
              <wp14:pctWidth>0</wp14:pctWidth>
            </wp14:sizeRelH>
            <wp14:sizeRelV relativeFrom="margin">
              <wp14:pctHeight>0</wp14:pctHeight>
            </wp14:sizeRelV>
          </wp:anchor>
        </w:drawing>
      </w:r>
    </w:p>
    <w:p w:rsidR="00F8773B" w:rsidRPr="00D14AA7" w:rsidRDefault="00A3128A" w:rsidP="00A3128A">
      <w:pPr>
        <w:spacing w:line="240" w:lineRule="auto"/>
        <w:jc w:val="right"/>
        <w:rPr>
          <w:rFonts w:ascii="Source Sans Pro SemiBold" w:eastAsia="Times New Roman" w:hAnsi="Source Sans Pro SemiBold" w:cs="Arial"/>
          <w:sz w:val="24"/>
          <w:szCs w:val="28"/>
          <w:shd w:val="clear" w:color="auto" w:fill="FFFFFF"/>
          <w:lang w:eastAsia="fr-FR"/>
        </w:rPr>
      </w:pPr>
      <w:r w:rsidRPr="00D14AA7">
        <w:rPr>
          <w:rFonts w:ascii="Source Sans Pro SemiBold" w:eastAsia="Times New Roman" w:hAnsi="Source Sans Pro SemiBold" w:cs="Arial"/>
          <w:sz w:val="24"/>
          <w:szCs w:val="28"/>
          <w:shd w:val="clear" w:color="auto" w:fill="FFFFFF"/>
          <w:lang w:eastAsia="fr-FR"/>
        </w:rPr>
        <w:t>Communiqué de presse</w:t>
      </w:r>
    </w:p>
    <w:p w:rsidR="00A3128A" w:rsidRDefault="00A3128A" w:rsidP="00A3128A">
      <w:pPr>
        <w:spacing w:after="0" w:line="340" w:lineRule="exact"/>
        <w:jc w:val="center"/>
        <w:rPr>
          <w:rFonts w:ascii="Arial" w:eastAsia="Times New Roman" w:hAnsi="Arial" w:cs="Arial"/>
          <w:b/>
          <w:color w:val="FF6600"/>
          <w:sz w:val="36"/>
          <w:szCs w:val="28"/>
          <w:shd w:val="clear" w:color="auto" w:fill="FFFFFF"/>
          <w:lang w:eastAsia="fr-FR"/>
        </w:rPr>
      </w:pPr>
    </w:p>
    <w:p w:rsidR="00A3128A" w:rsidRDefault="00A3128A" w:rsidP="00A3128A">
      <w:pPr>
        <w:spacing w:after="0" w:line="340" w:lineRule="exact"/>
        <w:jc w:val="center"/>
        <w:rPr>
          <w:rFonts w:ascii="Arial" w:eastAsia="Times New Roman" w:hAnsi="Arial" w:cs="Arial"/>
          <w:b/>
          <w:color w:val="FF6600"/>
          <w:sz w:val="36"/>
          <w:szCs w:val="28"/>
          <w:shd w:val="clear" w:color="auto" w:fill="FFFFFF"/>
          <w:lang w:eastAsia="fr-FR"/>
        </w:rPr>
      </w:pPr>
    </w:p>
    <w:p w:rsidR="00F8773B" w:rsidRPr="00F8773B" w:rsidRDefault="00F8773B" w:rsidP="00A53323">
      <w:pPr>
        <w:spacing w:after="0" w:line="500" w:lineRule="exact"/>
        <w:jc w:val="center"/>
        <w:rPr>
          <w:rFonts w:ascii="Source Sans Pro" w:eastAsia="Times New Roman" w:hAnsi="Source Sans Pro" w:cs="Times New Roman"/>
          <w:b/>
          <w:color w:val="FF6600"/>
          <w:sz w:val="36"/>
          <w:szCs w:val="24"/>
          <w:lang w:eastAsia="fr-FR"/>
        </w:rPr>
      </w:pPr>
      <w:r w:rsidRPr="00F8773B">
        <w:rPr>
          <w:rFonts w:ascii="Source Sans Pro" w:eastAsia="Times New Roman" w:hAnsi="Source Sans Pro" w:cs="Arial"/>
          <w:b/>
          <w:color w:val="FF6600"/>
          <w:sz w:val="40"/>
          <w:szCs w:val="28"/>
          <w:shd w:val="clear" w:color="auto" w:fill="FFFFFF"/>
          <w:lang w:eastAsia="fr-FR"/>
        </w:rPr>
        <w:t>Loi Travail : 3 actions concrètes pour prévenir des</w:t>
      </w:r>
    </w:p>
    <w:p w:rsidR="00F8773B" w:rsidRPr="00F8773B" w:rsidRDefault="00F8773B" w:rsidP="00A53323">
      <w:pPr>
        <w:spacing w:after="0" w:line="500" w:lineRule="exact"/>
        <w:jc w:val="center"/>
        <w:rPr>
          <w:rFonts w:ascii="Source Sans Pro" w:eastAsia="Times New Roman" w:hAnsi="Source Sans Pro" w:cs="Times New Roman"/>
          <w:color w:val="FF6600"/>
          <w:sz w:val="36"/>
          <w:szCs w:val="24"/>
          <w:lang w:eastAsia="fr-FR"/>
        </w:rPr>
      </w:pPr>
      <w:proofErr w:type="gramStart"/>
      <w:r w:rsidRPr="00F8773B">
        <w:rPr>
          <w:rFonts w:ascii="Source Sans Pro" w:eastAsia="Times New Roman" w:hAnsi="Source Sans Pro" w:cs="Arial"/>
          <w:b/>
          <w:color w:val="FF6600"/>
          <w:sz w:val="40"/>
          <w:szCs w:val="28"/>
          <w:shd w:val="clear" w:color="auto" w:fill="FFFFFF"/>
          <w:lang w:eastAsia="fr-FR"/>
        </w:rPr>
        <w:t>risques</w:t>
      </w:r>
      <w:proofErr w:type="gramEnd"/>
      <w:r w:rsidRPr="00F8773B">
        <w:rPr>
          <w:rFonts w:ascii="Source Sans Pro" w:eastAsia="Times New Roman" w:hAnsi="Source Sans Pro" w:cs="Arial"/>
          <w:b/>
          <w:color w:val="FF6600"/>
          <w:sz w:val="40"/>
          <w:szCs w:val="28"/>
          <w:shd w:val="clear" w:color="auto" w:fill="FFFFFF"/>
          <w:lang w:eastAsia="fr-FR"/>
        </w:rPr>
        <w:t xml:space="preserve"> psycho-sociaux chez les cadres</w:t>
      </w:r>
    </w:p>
    <w:p w:rsidR="00F8773B" w:rsidRPr="00F8773B" w:rsidRDefault="00F8773B" w:rsidP="00F8773B">
      <w:pPr>
        <w:spacing w:after="0" w:line="240" w:lineRule="auto"/>
        <w:rPr>
          <w:rFonts w:ascii="Times New Roman" w:eastAsia="Times New Roman" w:hAnsi="Times New Roman" w:cs="Times New Roman"/>
          <w:sz w:val="24"/>
          <w:szCs w:val="24"/>
          <w:lang w:eastAsia="fr-FR"/>
        </w:rPr>
      </w:pPr>
    </w:p>
    <w:p w:rsidR="00F8773B" w:rsidRPr="00D14AA7" w:rsidRDefault="00F8773B" w:rsidP="00F8773B">
      <w:pPr>
        <w:spacing w:line="240" w:lineRule="auto"/>
        <w:jc w:val="center"/>
        <w:rPr>
          <w:rFonts w:ascii="Source Sans Pro SemiBold" w:eastAsia="Times New Roman" w:hAnsi="Source Sans Pro SemiBold" w:cs="Arial"/>
          <w:color w:val="494949"/>
          <w:szCs w:val="20"/>
          <w:shd w:val="clear" w:color="auto" w:fill="FFFFFF"/>
          <w:lang w:eastAsia="fr-FR"/>
        </w:rPr>
      </w:pPr>
      <w:r w:rsidRPr="00F8773B">
        <w:rPr>
          <w:rFonts w:ascii="Source Sans Pro SemiBold" w:eastAsia="Times New Roman" w:hAnsi="Source Sans Pro SemiBold" w:cs="Arial"/>
          <w:color w:val="494949"/>
          <w:szCs w:val="20"/>
          <w:shd w:val="clear" w:color="auto" w:fill="FFFFFF"/>
          <w:lang w:eastAsia="fr-FR"/>
        </w:rPr>
        <w:t xml:space="preserve">50% des cadres sont rémunérés sur la base d’un volume de jours annuels travaillés. </w:t>
      </w:r>
      <w:r w:rsidRPr="00F8773B">
        <w:rPr>
          <w:rFonts w:ascii="Source Sans Pro SemiBold" w:eastAsia="Times New Roman" w:hAnsi="Source Sans Pro SemiBold" w:cs="Arial"/>
          <w:color w:val="494949"/>
          <w:szCs w:val="20"/>
          <w:shd w:val="clear" w:color="auto" w:fill="FFFFFF"/>
          <w:lang w:eastAsia="fr-FR"/>
        </w:rPr>
        <w:br/>
        <w:t>Or, des abus liés à une surcharge de travail sont régulièrement constatés par les instances juridiques. Que préconise La loi Travail du 8 août 2016 en la matière ?</w:t>
      </w:r>
    </w:p>
    <w:p w:rsidR="00F8773B" w:rsidRPr="00F8773B" w:rsidRDefault="00F8773B" w:rsidP="00F8773B">
      <w:pPr>
        <w:spacing w:line="240" w:lineRule="auto"/>
        <w:jc w:val="center"/>
        <w:rPr>
          <w:rFonts w:ascii="Source Sans Pro" w:eastAsia="Times New Roman" w:hAnsi="Source Sans Pro" w:cs="Times New Roman"/>
          <w:sz w:val="24"/>
          <w:szCs w:val="24"/>
          <w:lang w:eastAsia="fr-FR"/>
        </w:rPr>
      </w:pPr>
      <w:bookmarkStart w:id="0" w:name="_GoBack"/>
      <w:bookmarkEnd w:id="0"/>
    </w:p>
    <w:p w:rsidR="00F8773B" w:rsidRPr="00F8773B" w:rsidRDefault="00F8773B" w:rsidP="00F8773B">
      <w:pPr>
        <w:spacing w:line="240" w:lineRule="auto"/>
        <w:rPr>
          <w:rFonts w:ascii="Source Sans Pro" w:eastAsia="Times New Roman" w:hAnsi="Source Sans Pro" w:cs="Times New Roman"/>
          <w:sz w:val="24"/>
          <w:szCs w:val="24"/>
          <w:lang w:eastAsia="fr-FR"/>
        </w:rPr>
      </w:pPr>
      <w:r w:rsidRPr="00F8773B">
        <w:rPr>
          <w:rFonts w:ascii="Source Sans Pro" w:eastAsia="Times New Roman" w:hAnsi="Source Sans Pro" w:cs="Arial"/>
          <w:b/>
          <w:bCs/>
          <w:color w:val="494949"/>
          <w:sz w:val="20"/>
          <w:szCs w:val="20"/>
          <w:shd w:val="clear" w:color="auto" w:fill="FFFFFF"/>
          <w:lang w:eastAsia="fr-FR"/>
        </w:rPr>
        <w:t xml:space="preserve">Paris, le </w:t>
      </w:r>
      <w:r w:rsidRPr="00D14AA7">
        <w:rPr>
          <w:rFonts w:ascii="Source Sans Pro" w:eastAsia="Times New Roman" w:hAnsi="Source Sans Pro" w:cs="Arial"/>
          <w:b/>
          <w:bCs/>
          <w:color w:val="494949"/>
          <w:sz w:val="20"/>
          <w:szCs w:val="20"/>
          <w:shd w:val="clear" w:color="auto" w:fill="FFFFFF"/>
          <w:lang w:eastAsia="fr-FR"/>
        </w:rPr>
        <w:t>3</w:t>
      </w:r>
      <w:r w:rsidRPr="00F8773B">
        <w:rPr>
          <w:rFonts w:ascii="Source Sans Pro" w:eastAsia="Times New Roman" w:hAnsi="Source Sans Pro" w:cs="Arial"/>
          <w:b/>
          <w:bCs/>
          <w:color w:val="494949"/>
          <w:sz w:val="20"/>
          <w:szCs w:val="20"/>
          <w:shd w:val="clear" w:color="auto" w:fill="FFFFFF"/>
          <w:lang w:eastAsia="fr-FR"/>
        </w:rPr>
        <w:t xml:space="preserve"> octobre 2017 </w:t>
      </w:r>
      <w:r w:rsidRPr="00F8773B">
        <w:rPr>
          <w:rFonts w:ascii="Source Sans Pro" w:eastAsia="Times New Roman" w:hAnsi="Source Sans Pro" w:cs="Arial"/>
          <w:color w:val="494949"/>
          <w:sz w:val="20"/>
          <w:szCs w:val="20"/>
          <w:shd w:val="clear" w:color="auto" w:fill="FFFFFF"/>
          <w:lang w:eastAsia="fr-FR"/>
        </w:rPr>
        <w:t xml:space="preserve">-  Lucca, éditeur SaaS de solutions RH, </w:t>
      </w:r>
      <w:r w:rsidRPr="00F8773B">
        <w:rPr>
          <w:rFonts w:ascii="Source Sans Pro" w:eastAsia="Times New Roman" w:hAnsi="Source Sans Pro" w:cs="Arial"/>
          <w:color w:val="222222"/>
          <w:sz w:val="20"/>
          <w:szCs w:val="20"/>
          <w:shd w:val="clear" w:color="auto" w:fill="FFFFFF"/>
          <w:lang w:eastAsia="fr-FR"/>
        </w:rPr>
        <w:t>s'est penché</w:t>
      </w:r>
      <w:r w:rsidRPr="00F8773B">
        <w:rPr>
          <w:rFonts w:ascii="Source Sans Pro" w:eastAsia="Times New Roman" w:hAnsi="Source Sans Pro" w:cs="Arial"/>
          <w:color w:val="494949"/>
          <w:sz w:val="20"/>
          <w:szCs w:val="20"/>
          <w:shd w:val="clear" w:color="auto" w:fill="FFFFFF"/>
          <w:lang w:eastAsia="fr-FR"/>
        </w:rPr>
        <w:t xml:space="preserve"> sur la question des risques psycho-sociaux des salariés au forfait jours et propose aux professionnels RH trois mesures nécessaires pour répondre aux obligations de la loi Travail.</w:t>
      </w:r>
    </w:p>
    <w:p w:rsidR="00F8773B" w:rsidRPr="00D14AA7" w:rsidRDefault="00F8773B" w:rsidP="00F8773B">
      <w:pPr>
        <w:spacing w:line="240" w:lineRule="auto"/>
        <w:rPr>
          <w:rFonts w:ascii="Source Sans Pro" w:eastAsia="Times New Roman" w:hAnsi="Source Sans Pro" w:cs="Arial"/>
          <w:color w:val="494949"/>
          <w:sz w:val="20"/>
          <w:szCs w:val="20"/>
          <w:shd w:val="clear" w:color="auto" w:fill="FFFFFF"/>
          <w:lang w:eastAsia="fr-FR"/>
        </w:rPr>
      </w:pPr>
      <w:r w:rsidRPr="00F8773B">
        <w:rPr>
          <w:rFonts w:ascii="Source Sans Pro" w:eastAsia="Times New Roman" w:hAnsi="Source Sans Pro" w:cs="Arial"/>
          <w:color w:val="494949"/>
          <w:sz w:val="20"/>
          <w:szCs w:val="20"/>
          <w:shd w:val="clear" w:color="auto" w:fill="FFFFFF"/>
          <w:lang w:eastAsia="fr-FR"/>
        </w:rPr>
        <w:t>Ce travail d’analyse, qui a fait l’objet d’un livre blanc, est synthétisé dans une infographie dont voici les principales conclusions.</w:t>
      </w:r>
    </w:p>
    <w:p w:rsidR="00F8773B" w:rsidRPr="00F8773B" w:rsidRDefault="00A3128A" w:rsidP="00F8773B">
      <w:pPr>
        <w:spacing w:after="0" w:line="240" w:lineRule="auto"/>
        <w:rPr>
          <w:rFonts w:ascii="Source Sans Pro" w:eastAsia="Times New Roman" w:hAnsi="Source Sans Pro" w:cs="Times New Roman"/>
          <w:sz w:val="24"/>
          <w:szCs w:val="24"/>
          <w:lang w:eastAsia="fr-FR"/>
        </w:rPr>
      </w:pPr>
      <w:r w:rsidRPr="00D14AA7">
        <w:rPr>
          <w:rFonts w:ascii="Source Sans Pro" w:eastAsia="Times New Roman" w:hAnsi="Source Sans Pro" w:cs="Arial"/>
          <w:color w:val="494949"/>
          <w:sz w:val="20"/>
          <w:szCs w:val="20"/>
          <w:lang w:eastAsia="fr-FR"/>
        </w:rPr>
        <w:br/>
      </w:r>
      <w:r w:rsidR="00F8773B" w:rsidRPr="00F8773B">
        <w:rPr>
          <w:rFonts w:ascii="Source Sans Pro" w:eastAsia="Times New Roman" w:hAnsi="Source Sans Pro" w:cs="Arial"/>
          <w:color w:val="494949"/>
          <w:sz w:val="20"/>
          <w:szCs w:val="20"/>
          <w:lang w:eastAsia="fr-FR"/>
        </w:rPr>
        <w:t>La loi Travail du 8 août 2016 rappelle que</w:t>
      </w:r>
      <w:r w:rsidR="00F8773B" w:rsidRPr="00F8773B">
        <w:rPr>
          <w:rFonts w:ascii="Source Sans Pro" w:eastAsia="Times New Roman" w:hAnsi="Source Sans Pro" w:cs="Arial"/>
          <w:b/>
          <w:bCs/>
          <w:color w:val="494949"/>
          <w:sz w:val="20"/>
          <w:szCs w:val="20"/>
          <w:lang w:eastAsia="fr-FR"/>
        </w:rPr>
        <w:t xml:space="preserve"> l’entreprise doit garantir le droit à la santé et au repos des salariés</w:t>
      </w:r>
      <w:r w:rsidR="00F8773B" w:rsidRPr="00F8773B">
        <w:rPr>
          <w:rFonts w:ascii="Source Sans Pro" w:eastAsia="Times New Roman" w:hAnsi="Source Sans Pro" w:cs="Arial"/>
          <w:color w:val="494949"/>
          <w:sz w:val="20"/>
          <w:szCs w:val="20"/>
          <w:lang w:eastAsia="fr-FR"/>
        </w:rPr>
        <w:t>. Or, de nombreuses conventions de forfait jours ont été annulées par la Cour de cassation au motif qu’elles ne respectent pas ce droit constitutionnel. Pour aider les services RH à se conformer à cette obligation légale, Lucca recommande de mettre en place les trois actions suivantes.</w:t>
      </w:r>
    </w:p>
    <w:p w:rsidR="00F8773B" w:rsidRPr="00D14AA7" w:rsidRDefault="00F8773B" w:rsidP="00F8773B">
      <w:pPr>
        <w:spacing w:after="0" w:line="240" w:lineRule="auto"/>
        <w:rPr>
          <w:rFonts w:ascii="Source Sans Pro" w:eastAsia="Times New Roman" w:hAnsi="Source Sans Pro" w:cs="Arial"/>
          <w:b/>
          <w:bCs/>
          <w:color w:val="000000"/>
          <w:sz w:val="20"/>
          <w:szCs w:val="20"/>
          <w:lang w:eastAsia="fr-FR"/>
        </w:rPr>
      </w:pPr>
    </w:p>
    <w:p w:rsidR="00F8773B" w:rsidRPr="00D14AA7" w:rsidRDefault="00F8773B" w:rsidP="00F8773B">
      <w:pPr>
        <w:pStyle w:val="Paragraphedeliste"/>
        <w:numPr>
          <w:ilvl w:val="0"/>
          <w:numId w:val="2"/>
        </w:numPr>
        <w:spacing w:after="0" w:line="240" w:lineRule="auto"/>
        <w:rPr>
          <w:rFonts w:ascii="Source Sans Pro" w:eastAsia="Times New Roman" w:hAnsi="Source Sans Pro" w:cs="Times New Roman"/>
          <w:sz w:val="24"/>
          <w:szCs w:val="24"/>
          <w:lang w:eastAsia="fr-FR"/>
        </w:rPr>
      </w:pPr>
      <w:r w:rsidRPr="00D14AA7">
        <w:rPr>
          <w:rFonts w:ascii="Source Sans Pro" w:eastAsia="Times New Roman" w:hAnsi="Source Sans Pro" w:cs="Arial"/>
          <w:b/>
          <w:bCs/>
          <w:color w:val="000000"/>
          <w:sz w:val="20"/>
          <w:szCs w:val="20"/>
          <w:lang w:eastAsia="fr-FR"/>
        </w:rPr>
        <w:t>Instaurer un entretien dédié au forfait jours</w:t>
      </w:r>
    </w:p>
    <w:p w:rsidR="00F8773B" w:rsidRPr="00F8773B" w:rsidRDefault="00F8773B" w:rsidP="00F8773B">
      <w:pPr>
        <w:spacing w:line="240" w:lineRule="auto"/>
        <w:rPr>
          <w:rFonts w:ascii="Source Sans Pro" w:eastAsia="Times New Roman" w:hAnsi="Source Sans Pro" w:cs="Times New Roman"/>
          <w:sz w:val="24"/>
          <w:szCs w:val="24"/>
          <w:lang w:eastAsia="fr-FR"/>
        </w:rPr>
      </w:pPr>
      <w:r w:rsidRPr="00F8773B">
        <w:rPr>
          <w:rFonts w:ascii="Source Sans Pro" w:eastAsia="Times New Roman" w:hAnsi="Source Sans Pro" w:cs="Arial"/>
          <w:color w:val="494949"/>
          <w:sz w:val="20"/>
          <w:szCs w:val="20"/>
          <w:shd w:val="clear" w:color="auto" w:fill="FFFFFF"/>
          <w:lang w:eastAsia="fr-FR"/>
        </w:rPr>
        <w:t>Un entretien annuel en tête à tête permet de détecter une éventuelle surcharge de travail. Distinct de l’entretien d’évaluation, celui-ci doit porter sur l’organisation du travail, l’équilibre vie professionnelle/vie personnelle et l’adéquation entre la rémunération et les missions confiées.</w:t>
      </w:r>
    </w:p>
    <w:p w:rsidR="00F8773B" w:rsidRPr="00D14AA7" w:rsidRDefault="00F8773B" w:rsidP="00F8773B">
      <w:pPr>
        <w:pStyle w:val="Paragraphedeliste"/>
        <w:numPr>
          <w:ilvl w:val="0"/>
          <w:numId w:val="2"/>
        </w:numPr>
        <w:spacing w:after="0" w:line="240" w:lineRule="auto"/>
        <w:rPr>
          <w:rFonts w:ascii="Source Sans Pro" w:eastAsia="Times New Roman" w:hAnsi="Source Sans Pro" w:cs="Times New Roman"/>
          <w:sz w:val="24"/>
          <w:szCs w:val="24"/>
          <w:lang w:eastAsia="fr-FR"/>
        </w:rPr>
      </w:pPr>
      <w:r w:rsidRPr="00D14AA7">
        <w:rPr>
          <w:rFonts w:ascii="Source Sans Pro" w:eastAsia="Times New Roman" w:hAnsi="Source Sans Pro" w:cs="Arial"/>
          <w:b/>
          <w:bCs/>
          <w:color w:val="000000"/>
          <w:sz w:val="20"/>
          <w:szCs w:val="20"/>
          <w:lang w:eastAsia="fr-FR"/>
        </w:rPr>
        <w:t>Définir les modalités du droit à la déconnexion</w:t>
      </w:r>
    </w:p>
    <w:p w:rsidR="00F8773B" w:rsidRPr="00F8773B" w:rsidRDefault="00F8773B" w:rsidP="00F8773B">
      <w:pPr>
        <w:spacing w:line="240" w:lineRule="auto"/>
        <w:rPr>
          <w:rFonts w:ascii="Source Sans Pro" w:eastAsia="Times New Roman" w:hAnsi="Source Sans Pro" w:cs="Times New Roman"/>
          <w:sz w:val="24"/>
          <w:szCs w:val="24"/>
          <w:lang w:eastAsia="fr-FR"/>
        </w:rPr>
      </w:pPr>
      <w:r w:rsidRPr="00F8773B">
        <w:rPr>
          <w:rFonts w:ascii="Source Sans Pro" w:eastAsia="Times New Roman" w:hAnsi="Source Sans Pro" w:cs="Arial"/>
          <w:color w:val="494949"/>
          <w:sz w:val="20"/>
          <w:szCs w:val="20"/>
          <w:shd w:val="clear" w:color="auto" w:fill="FFFFFF"/>
          <w:lang w:eastAsia="fr-FR"/>
        </w:rPr>
        <w:t>Même si l’entreprise ne peut pas toujours être tenue pour responsable de la surconsommation des outils numériques, elle doit engager un dialogue sur le sujet du droit à la déconnexion. Les règles définies font l’objet d’une charte ou d’un accord, lorsqu’elles sont fixées dans le cadre des négociations obligatoires. Une campagne de sensibilisation à l’hyper-connexion est également à organiser à destination des cadres et des managers.</w:t>
      </w:r>
    </w:p>
    <w:p w:rsidR="00F8773B" w:rsidRPr="00D14AA7" w:rsidRDefault="00F8773B" w:rsidP="00F8773B">
      <w:pPr>
        <w:pStyle w:val="Paragraphedeliste"/>
        <w:numPr>
          <w:ilvl w:val="0"/>
          <w:numId w:val="2"/>
        </w:numPr>
        <w:spacing w:after="0" w:line="240" w:lineRule="auto"/>
        <w:rPr>
          <w:rFonts w:ascii="Source Sans Pro" w:eastAsia="Times New Roman" w:hAnsi="Source Sans Pro" w:cs="Times New Roman"/>
          <w:sz w:val="24"/>
          <w:szCs w:val="24"/>
          <w:lang w:eastAsia="fr-FR"/>
        </w:rPr>
      </w:pPr>
      <w:r w:rsidRPr="00D14AA7">
        <w:rPr>
          <w:rFonts w:ascii="Source Sans Pro" w:eastAsia="Times New Roman" w:hAnsi="Source Sans Pro" w:cs="Arial"/>
          <w:b/>
          <w:bCs/>
          <w:color w:val="000000"/>
          <w:sz w:val="20"/>
          <w:szCs w:val="20"/>
          <w:lang w:eastAsia="fr-FR"/>
        </w:rPr>
        <w:t>Décompter les journées travaillées</w:t>
      </w:r>
    </w:p>
    <w:p w:rsidR="00F8773B" w:rsidRPr="00F8773B" w:rsidRDefault="00F8773B" w:rsidP="00F8773B">
      <w:pPr>
        <w:spacing w:line="240" w:lineRule="auto"/>
        <w:rPr>
          <w:rFonts w:ascii="Source Sans Pro" w:eastAsia="Times New Roman" w:hAnsi="Source Sans Pro" w:cs="Times New Roman"/>
          <w:sz w:val="24"/>
          <w:szCs w:val="24"/>
          <w:lang w:eastAsia="fr-FR"/>
        </w:rPr>
      </w:pPr>
      <w:r w:rsidRPr="00F8773B">
        <w:rPr>
          <w:rFonts w:ascii="Source Sans Pro" w:eastAsia="Times New Roman" w:hAnsi="Source Sans Pro" w:cs="Arial"/>
          <w:color w:val="494949"/>
          <w:sz w:val="20"/>
          <w:szCs w:val="20"/>
          <w:shd w:val="clear" w:color="auto" w:fill="FFFFFF"/>
          <w:lang w:eastAsia="fr-FR"/>
        </w:rPr>
        <w:t>Pour s’assurer que le collaborateur ne dépasse pas le nombre de journées travaillées prévu dans sa convention individuelle, un décompte précis s’impose. Pour le réaliser, trois options sont possibles, chacune ayant ses avantages et inconvénients :</w:t>
      </w:r>
    </w:p>
    <w:p w:rsidR="00F8773B" w:rsidRPr="00F8773B" w:rsidRDefault="00F8773B" w:rsidP="00F8773B">
      <w:pPr>
        <w:numPr>
          <w:ilvl w:val="0"/>
          <w:numId w:val="3"/>
        </w:numPr>
        <w:shd w:val="clear" w:color="auto" w:fill="FFFFFF"/>
        <w:spacing w:after="0" w:line="240" w:lineRule="auto"/>
        <w:textAlignment w:val="baseline"/>
        <w:rPr>
          <w:rFonts w:ascii="Source Sans Pro" w:eastAsia="Times New Roman" w:hAnsi="Source Sans Pro" w:cs="Arial"/>
          <w:color w:val="494949"/>
          <w:sz w:val="20"/>
          <w:szCs w:val="20"/>
          <w:lang w:eastAsia="fr-FR"/>
        </w:rPr>
      </w:pPr>
      <w:r w:rsidRPr="00F8773B">
        <w:rPr>
          <w:rFonts w:ascii="Source Sans Pro" w:eastAsia="Times New Roman" w:hAnsi="Source Sans Pro" w:cs="Arial"/>
          <w:color w:val="494949"/>
          <w:sz w:val="20"/>
          <w:szCs w:val="20"/>
          <w:shd w:val="clear" w:color="auto" w:fill="FFFFFF"/>
          <w:lang w:eastAsia="fr-FR"/>
        </w:rPr>
        <w:t xml:space="preserve">la déclaration par le manager à l’aide d’une feuille de temps ou d’un planning, </w:t>
      </w:r>
    </w:p>
    <w:p w:rsidR="00F8773B" w:rsidRPr="00F8773B" w:rsidRDefault="00F8773B" w:rsidP="00F8773B">
      <w:pPr>
        <w:numPr>
          <w:ilvl w:val="0"/>
          <w:numId w:val="3"/>
        </w:numPr>
        <w:shd w:val="clear" w:color="auto" w:fill="FFFFFF"/>
        <w:spacing w:after="0" w:line="240" w:lineRule="auto"/>
        <w:textAlignment w:val="baseline"/>
        <w:rPr>
          <w:rFonts w:ascii="Source Sans Pro" w:eastAsia="Times New Roman" w:hAnsi="Source Sans Pro" w:cs="Arial"/>
          <w:color w:val="494949"/>
          <w:sz w:val="20"/>
          <w:szCs w:val="20"/>
          <w:lang w:eastAsia="fr-FR"/>
        </w:rPr>
      </w:pPr>
      <w:r w:rsidRPr="00F8773B">
        <w:rPr>
          <w:rFonts w:ascii="Source Sans Pro" w:eastAsia="Times New Roman" w:hAnsi="Source Sans Pro" w:cs="Arial"/>
          <w:color w:val="494949"/>
          <w:sz w:val="20"/>
          <w:szCs w:val="20"/>
          <w:shd w:val="clear" w:color="auto" w:fill="FFFFFF"/>
          <w:lang w:eastAsia="fr-FR"/>
        </w:rPr>
        <w:t xml:space="preserve">la mise en place d’un dispositif de pointage ou d’une badgeuse, </w:t>
      </w:r>
    </w:p>
    <w:p w:rsidR="00F8773B" w:rsidRPr="00F8773B" w:rsidRDefault="00F8773B" w:rsidP="00F8773B">
      <w:pPr>
        <w:numPr>
          <w:ilvl w:val="0"/>
          <w:numId w:val="3"/>
        </w:numPr>
        <w:shd w:val="clear" w:color="auto" w:fill="FFFFFF"/>
        <w:spacing w:line="240" w:lineRule="auto"/>
        <w:textAlignment w:val="baseline"/>
        <w:rPr>
          <w:rFonts w:ascii="Source Sans Pro" w:eastAsia="Times New Roman" w:hAnsi="Source Sans Pro" w:cs="Arial"/>
          <w:color w:val="494949"/>
          <w:sz w:val="20"/>
          <w:szCs w:val="20"/>
          <w:lang w:eastAsia="fr-FR"/>
        </w:rPr>
      </w:pPr>
      <w:r w:rsidRPr="00F8773B">
        <w:rPr>
          <w:rFonts w:ascii="Source Sans Pro" w:eastAsia="Times New Roman" w:hAnsi="Source Sans Pro" w:cs="Arial"/>
          <w:color w:val="494949"/>
          <w:sz w:val="20"/>
          <w:szCs w:val="20"/>
          <w:shd w:val="clear" w:color="auto" w:fill="FFFFFF"/>
          <w:lang w:eastAsia="fr-FR"/>
        </w:rPr>
        <w:t>un système auto-déclaratif, via un tableau Excel ou un outil dédié, soumis à la validation du manager.</w:t>
      </w:r>
    </w:p>
    <w:p w:rsidR="00F8773B" w:rsidRPr="00D14AA7" w:rsidRDefault="00F8773B" w:rsidP="00F8773B">
      <w:pPr>
        <w:spacing w:after="0" w:line="240" w:lineRule="auto"/>
        <w:rPr>
          <w:rFonts w:ascii="Source Sans Pro" w:eastAsia="Times New Roman" w:hAnsi="Source Sans Pro" w:cs="Arial"/>
          <w:b/>
          <w:bCs/>
          <w:color w:val="494949"/>
          <w:sz w:val="18"/>
          <w:szCs w:val="18"/>
          <w:lang w:eastAsia="fr-FR"/>
        </w:rPr>
      </w:pPr>
    </w:p>
    <w:p w:rsidR="00F8773B" w:rsidRPr="00F8773B" w:rsidRDefault="00F8773B" w:rsidP="00F8773B">
      <w:pPr>
        <w:spacing w:after="0" w:line="240" w:lineRule="auto"/>
        <w:rPr>
          <w:rFonts w:ascii="Source Sans Pro" w:eastAsia="Times New Roman" w:hAnsi="Source Sans Pro" w:cs="Times New Roman"/>
          <w:sz w:val="18"/>
          <w:szCs w:val="18"/>
          <w:lang w:eastAsia="fr-FR"/>
        </w:rPr>
      </w:pPr>
      <w:r w:rsidRPr="00F8773B">
        <w:rPr>
          <w:rFonts w:ascii="Source Sans Pro" w:eastAsia="Times New Roman" w:hAnsi="Source Sans Pro" w:cs="Arial"/>
          <w:b/>
          <w:bCs/>
          <w:color w:val="494949"/>
          <w:sz w:val="18"/>
          <w:szCs w:val="18"/>
          <w:lang w:eastAsia="fr-FR"/>
        </w:rPr>
        <w:t>À propos de Lucca</w:t>
      </w:r>
    </w:p>
    <w:p w:rsidR="00F8773B" w:rsidRPr="00F8773B" w:rsidRDefault="00F8773B" w:rsidP="00F8773B">
      <w:pPr>
        <w:spacing w:line="240" w:lineRule="auto"/>
        <w:rPr>
          <w:rFonts w:ascii="Source Sans Pro" w:eastAsia="Times New Roman" w:hAnsi="Source Sans Pro" w:cs="Times New Roman"/>
          <w:sz w:val="18"/>
          <w:szCs w:val="18"/>
          <w:lang w:eastAsia="fr-FR"/>
        </w:rPr>
      </w:pPr>
      <w:r w:rsidRPr="00F8773B">
        <w:rPr>
          <w:rFonts w:ascii="Source Sans Pro" w:eastAsia="Times New Roman" w:hAnsi="Source Sans Pro" w:cs="Arial"/>
          <w:color w:val="494949"/>
          <w:sz w:val="18"/>
          <w:szCs w:val="18"/>
          <w:shd w:val="clear" w:color="auto" w:fill="FFFFFF"/>
          <w:lang w:eastAsia="fr-FR"/>
        </w:rPr>
        <w:t xml:space="preserve">Fondée en 2002 à Paris, Lucca édite des solutions SaaS pour libérer les entreprises et surtout leurs collaborateurs des tâches administratives (gestion des congés et absences, notes de frais, etc.). </w:t>
      </w:r>
    </w:p>
    <w:p w:rsidR="00AB5A47" w:rsidRPr="00D14AA7" w:rsidRDefault="00F8773B" w:rsidP="00F8773B">
      <w:pPr>
        <w:spacing w:line="240" w:lineRule="auto"/>
        <w:rPr>
          <w:rFonts w:ascii="Source Sans Pro" w:eastAsia="Times New Roman" w:hAnsi="Source Sans Pro" w:cs="Times New Roman"/>
          <w:sz w:val="18"/>
          <w:szCs w:val="18"/>
          <w:lang w:eastAsia="fr-FR"/>
        </w:rPr>
      </w:pPr>
      <w:r w:rsidRPr="00F8773B">
        <w:rPr>
          <w:rFonts w:ascii="Source Sans Pro" w:eastAsia="Times New Roman" w:hAnsi="Source Sans Pro" w:cs="Arial"/>
          <w:color w:val="494949"/>
          <w:sz w:val="18"/>
          <w:szCs w:val="18"/>
          <w:shd w:val="clear" w:color="auto" w:fill="FFFFFF"/>
          <w:lang w:eastAsia="fr-FR"/>
        </w:rPr>
        <w:t>Plus de 1 500 clients, Deezer, Sigfox, Nokia, Michel &amp; Augustin, Uber, Endemol, ou encore Pernod Ricard, font confiance à Lucca qui compte 80 collaborateurs répartis entre ses bureaux parisiens et nantais. Lucca affiche une croissance annuelle de 40% de son chiffre d’affaires, lequel devrait atteindre 5,9 millions d’euros cette année.</w:t>
      </w:r>
    </w:p>
    <w:sectPr w:rsidR="00AB5A47" w:rsidRPr="00D14AA7" w:rsidSect="00A53323">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SemiBold">
    <w:charset w:val="00"/>
    <w:family w:val="swiss"/>
    <w:pitch w:val="variable"/>
    <w:sig w:usb0="600002F7" w:usb1="02000001" w:usb2="00000000" w:usb3="00000000" w:csb0="0000019F" w:csb1="00000000"/>
  </w:font>
  <w:font w:name="Source Sans Pro">
    <w:altName w:val="Arial"/>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6D5"/>
    <w:multiLevelType w:val="multilevel"/>
    <w:tmpl w:val="B1B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6ABC"/>
    <w:multiLevelType w:val="multilevel"/>
    <w:tmpl w:val="0CC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157B7"/>
    <w:multiLevelType w:val="hybridMultilevel"/>
    <w:tmpl w:val="1A3E1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3B"/>
    <w:rsid w:val="0004762F"/>
    <w:rsid w:val="000555B2"/>
    <w:rsid w:val="000D7C05"/>
    <w:rsid w:val="00A3128A"/>
    <w:rsid w:val="00A53323"/>
    <w:rsid w:val="00AB5A47"/>
    <w:rsid w:val="00D14AA7"/>
    <w:rsid w:val="00F8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1847"/>
  <w15:chartTrackingRefBased/>
  <w15:docId w15:val="{1AEC2C22-C4F7-4B52-B153-2E494DE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77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Barbagelata Hugo</dc:creator>
  <cp:keywords/>
  <dc:description/>
  <cp:lastModifiedBy>Barbagelata Hugo</cp:lastModifiedBy>
  <cp:revision>4</cp:revision>
  <dcterms:created xsi:type="dcterms:W3CDTF">2017-10-03T08:08:00Z</dcterms:created>
  <dcterms:modified xsi:type="dcterms:W3CDTF">2017-10-03T08:56:00Z</dcterms:modified>
</cp:coreProperties>
</file>