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6E" w:rsidRDefault="00A5476E" w:rsidP="00F5286C">
      <w:pPr>
        <w:jc w:val="center"/>
        <w:rPr>
          <w:rFonts w:ascii="Arial Narrow" w:hAnsi="Arial Narrow"/>
        </w:rPr>
      </w:pPr>
      <w:bookmarkStart w:id="0" w:name="_GoBack"/>
      <w:bookmarkEnd w:id="0"/>
    </w:p>
    <w:p w:rsidR="00F5286C" w:rsidRDefault="00F5286C" w:rsidP="00F5286C">
      <w:pPr>
        <w:jc w:val="center"/>
        <w:rPr>
          <w:rFonts w:ascii="Arial Narrow" w:hAnsi="Arial Narrow"/>
        </w:rPr>
      </w:pPr>
    </w:p>
    <w:p w:rsidR="00632BE2" w:rsidRPr="00632BE2" w:rsidRDefault="00632BE2" w:rsidP="00632BE2">
      <w:pPr>
        <w:spacing w:before="100" w:beforeAutospacing="1" w:line="240" w:lineRule="auto"/>
        <w:contextualSpacing/>
        <w:jc w:val="both"/>
        <w:rPr>
          <w:rFonts w:ascii="Arial Narrow" w:hAnsi="Arial Narrow"/>
          <w:sz w:val="28"/>
          <w:szCs w:val="28"/>
        </w:rPr>
      </w:pPr>
      <w:r w:rsidRPr="00632BE2">
        <w:rPr>
          <w:rFonts w:ascii="Arial Narrow" w:hAnsi="Arial Narrow"/>
          <w:b/>
          <w:sz w:val="28"/>
          <w:szCs w:val="28"/>
        </w:rPr>
        <w:t>Spectrum Management Group, Inc</w:t>
      </w:r>
      <w:r w:rsidRPr="00632BE2">
        <w:rPr>
          <w:rFonts w:ascii="Arial Narrow" w:hAnsi="Arial Narrow"/>
          <w:sz w:val="28"/>
          <w:szCs w:val="28"/>
        </w:rPr>
        <w:t>.</w:t>
      </w:r>
    </w:p>
    <w:p w:rsidR="00632BE2" w:rsidRDefault="00632BE2" w:rsidP="00632BE2">
      <w:pPr>
        <w:spacing w:before="100" w:beforeAutospacing="1" w:line="240" w:lineRule="auto"/>
        <w:contextualSpacing/>
        <w:jc w:val="both"/>
        <w:rPr>
          <w:rFonts w:ascii="Arial Narrow" w:hAnsi="Arial Narrow"/>
        </w:rPr>
      </w:pPr>
    </w:p>
    <w:p w:rsidR="00632BE2" w:rsidRDefault="00632BE2" w:rsidP="00632BE2">
      <w:pPr>
        <w:spacing w:before="100" w:beforeAutospacing="1" w:line="240" w:lineRule="auto"/>
        <w:contextualSpacing/>
        <w:jc w:val="both"/>
        <w:rPr>
          <w:rFonts w:ascii="Arial Narrow" w:hAnsi="Arial Narrow"/>
        </w:rPr>
      </w:pPr>
      <w:r w:rsidRPr="006921E0">
        <w:rPr>
          <w:rFonts w:ascii="Arial Narrow" w:hAnsi="Arial Narrow"/>
        </w:rPr>
        <w:t xml:space="preserve"> (“SMG”) has endeavored to provide highly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personalized,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comprehensive wealth management strategies for growing, preserving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and effectively transferring wealth and values for high net worth individuals and families,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 xml:space="preserve">as well as providing investment management services to individual and </w:t>
      </w:r>
      <w:r>
        <w:rPr>
          <w:rFonts w:ascii="Arial Narrow" w:hAnsi="Arial Narrow"/>
        </w:rPr>
        <w:t>i</w:t>
      </w:r>
      <w:r w:rsidRPr="006921E0">
        <w:rPr>
          <w:rFonts w:ascii="Arial Narrow" w:hAnsi="Arial Narrow"/>
        </w:rPr>
        <w:t>nstitutional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investors. Our mandate is to provide our clients unbiased advice that leads to clarity to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achieve their goals by reducing complexity through seamlessly integrating investment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management, income and estate tax planning, financial needs forecasting, charitable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planning and other considerations unique to a client. We are our clients’ financial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advocate, striving to organize and simplify life in such a way that maximizes the family’s</w:t>
      </w:r>
      <w:r>
        <w:rPr>
          <w:rFonts w:ascii="Arial Narrow" w:hAnsi="Arial Narrow"/>
        </w:rPr>
        <w:t xml:space="preserve"> </w:t>
      </w:r>
      <w:r w:rsidRPr="006921E0">
        <w:rPr>
          <w:rFonts w:ascii="Arial Narrow" w:hAnsi="Arial Narrow"/>
        </w:rPr>
        <w:t>enjoyment of their wealth now and in the future.</w:t>
      </w:r>
    </w:p>
    <w:p w:rsidR="00632BE2" w:rsidRDefault="00632BE2" w:rsidP="00F5286C">
      <w:pPr>
        <w:jc w:val="center"/>
        <w:rPr>
          <w:rFonts w:ascii="Arial Narrow" w:hAnsi="Arial Narrow"/>
        </w:rPr>
      </w:pPr>
    </w:p>
    <w:p w:rsidR="00632BE2" w:rsidRDefault="00632BE2" w:rsidP="00F5286C">
      <w:pPr>
        <w:jc w:val="center"/>
        <w:rPr>
          <w:rFonts w:ascii="Arial Narrow" w:hAnsi="Arial Narrow"/>
        </w:rPr>
      </w:pPr>
    </w:p>
    <w:p w:rsidR="00F5286C" w:rsidRPr="00632BE2" w:rsidRDefault="00F5286C" w:rsidP="00632BE2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632BE2">
        <w:rPr>
          <w:rFonts w:ascii="Arial Narrow" w:hAnsi="Arial Narrow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15872" wp14:editId="0FAADC9E">
                <wp:simplePos x="0" y="0"/>
                <wp:positionH relativeFrom="column">
                  <wp:posOffset>1570008</wp:posOffset>
                </wp:positionH>
                <wp:positionV relativeFrom="paragraph">
                  <wp:posOffset>265933</wp:posOffset>
                </wp:positionV>
                <wp:extent cx="2803249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2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37A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2DE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6pt,20.95pt" to="344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" strokecolor="#737a34" strokeweight="1.5pt"/>
            </w:pict>
          </mc:Fallback>
        </mc:AlternateContent>
      </w:r>
      <w:r w:rsidRPr="00632BE2">
        <w:rPr>
          <w:rFonts w:ascii="Arial Narrow" w:hAnsi="Arial Narrow"/>
          <w:b/>
          <w:smallCaps/>
          <w:sz w:val="36"/>
          <w:szCs w:val="36"/>
        </w:rPr>
        <w:t>Social Security Resources</w:t>
      </w:r>
    </w:p>
    <w:p w:rsidR="00402AB8" w:rsidRPr="0068363A" w:rsidRDefault="00402AB8" w:rsidP="00632BE2">
      <w:pPr>
        <w:spacing w:after="0"/>
        <w:jc w:val="center"/>
        <w:rPr>
          <w:rFonts w:ascii="Arial Narrow" w:hAnsi="Arial Narrow"/>
          <w:b/>
          <w:smallCaps/>
          <w:sz w:val="40"/>
          <w:szCs w:val="40"/>
        </w:rPr>
      </w:pPr>
    </w:p>
    <w:tbl>
      <w:tblPr>
        <w:tblStyle w:val="TableGrid"/>
        <w:tblW w:w="0" w:type="auto"/>
        <w:tblInd w:w="565" w:type="dxa"/>
        <w:tblBorders>
          <w:top w:val="thinThickLargeGap" w:sz="24" w:space="0" w:color="727A35"/>
          <w:left w:val="thinThickLargeGap" w:sz="24" w:space="0" w:color="727A35"/>
          <w:bottom w:val="thinThickLargeGap" w:sz="24" w:space="0" w:color="727A35"/>
          <w:right w:val="thinThickLargeGap" w:sz="24" w:space="0" w:color="727A35"/>
          <w:insideH w:val="thinThickLargeGap" w:sz="24" w:space="0" w:color="727A35"/>
          <w:insideV w:val="thinThickLargeGap" w:sz="24" w:space="0" w:color="727A35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0"/>
      </w:tblGrid>
      <w:tr w:rsidR="00307D0D" w:rsidTr="00632BE2">
        <w:trPr>
          <w:trHeight w:val="336"/>
        </w:trPr>
        <w:tc>
          <w:tcPr>
            <w:tcW w:w="8280" w:type="dxa"/>
            <w:tcMar>
              <w:top w:w="144" w:type="dxa"/>
            </w:tcMar>
            <w:vAlign w:val="bottom"/>
          </w:tcPr>
          <w:p w:rsidR="00307D0D" w:rsidRDefault="00307D0D" w:rsidP="005B77C6">
            <w:pPr>
              <w:ind w:left="1440"/>
              <w:jc w:val="center"/>
              <w:rPr>
                <w:rFonts w:ascii="Arial Narrow" w:hAnsi="Arial Narrow"/>
                <w:smallCaps/>
                <w:sz w:val="28"/>
              </w:rPr>
            </w:pPr>
          </w:p>
          <w:p w:rsidR="00307D0D" w:rsidRPr="005B77C6" w:rsidRDefault="005B77C6" w:rsidP="0068363A">
            <w:pPr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smallCaps/>
                <w:sz w:val="28"/>
              </w:rPr>
              <w:t xml:space="preserve">   </w:t>
            </w:r>
            <w:r w:rsidR="00307D0D" w:rsidRPr="005B77C6">
              <w:rPr>
                <w:rFonts w:ascii="Arial Narrow" w:hAnsi="Arial Narrow"/>
                <w:b/>
                <w:smallCaps/>
                <w:sz w:val="28"/>
              </w:rPr>
              <w:t>U.S. Government Resources</w:t>
            </w:r>
          </w:p>
        </w:tc>
      </w:tr>
      <w:tr w:rsidR="00307D0D" w:rsidTr="00632BE2">
        <w:trPr>
          <w:trHeight w:val="1776"/>
        </w:trPr>
        <w:tc>
          <w:tcPr>
            <w:tcW w:w="8280" w:type="dxa"/>
            <w:tcMar>
              <w:top w:w="144" w:type="dxa"/>
            </w:tcMar>
          </w:tcPr>
          <w:p w:rsidR="00307D0D" w:rsidRDefault="00307D0D" w:rsidP="005B77C6">
            <w:pPr>
              <w:ind w:left="1145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Official Website of the Social Security Administration</w:t>
            </w:r>
            <w:r w:rsidR="005B77C6">
              <w:rPr>
                <w:rFonts w:ascii="Arial Narrow" w:hAnsi="Arial Narrow"/>
              </w:rPr>
              <w:t xml:space="preserve"> </w:t>
            </w:r>
          </w:p>
          <w:p w:rsidR="00307D0D" w:rsidRDefault="007B5311" w:rsidP="0068363A">
            <w:pPr>
              <w:spacing w:after="120"/>
              <w:ind w:left="875"/>
              <w:rPr>
                <w:rFonts w:ascii="Arial Narrow" w:hAnsi="Arial Narrow"/>
              </w:rPr>
            </w:pPr>
            <w:hyperlink r:id="rId7" w:history="1">
              <w:r w:rsidR="00307D0D" w:rsidRPr="00F5286C">
                <w:rPr>
                  <w:rStyle w:val="Hyperlink"/>
                  <w:rFonts w:ascii="Arial Narrow" w:hAnsi="Arial Narrow"/>
                </w:rPr>
                <w:t>www.ssa.gov</w:t>
              </w:r>
            </w:hyperlink>
          </w:p>
          <w:p w:rsidR="00307D0D" w:rsidRDefault="00307D0D" w:rsidP="0068363A">
            <w:pPr>
              <w:spacing w:after="120"/>
              <w:ind w:left="8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Congressional Budget Office – Nonpartisan analysis for the U.S. Congress</w:t>
            </w:r>
            <w:r w:rsidR="00231E31">
              <w:rPr>
                <w:rFonts w:ascii="Arial Narrow" w:hAnsi="Arial Narrow"/>
              </w:rPr>
              <w:t xml:space="preserve"> </w:t>
            </w:r>
            <w:hyperlink r:id="rId8" w:history="1">
              <w:r w:rsidRPr="00D4576C">
                <w:rPr>
                  <w:rStyle w:val="Hyperlink"/>
                  <w:rFonts w:ascii="Arial Narrow" w:hAnsi="Arial Narrow"/>
                </w:rPr>
                <w:t>www.cbo.gov</w:t>
              </w:r>
            </w:hyperlink>
          </w:p>
          <w:p w:rsidR="00307D0D" w:rsidRDefault="00307D0D" w:rsidP="00402AB8">
            <w:pPr>
              <w:ind w:left="875" w:right="-29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Congressional Budget Office – Poverty and Income Security page</w:t>
            </w:r>
            <w:r w:rsidR="00231E31">
              <w:rPr>
                <w:rFonts w:ascii="Arial Narrow" w:hAnsi="Arial Narrow"/>
              </w:rPr>
              <w:t xml:space="preserve"> </w:t>
            </w:r>
            <w:hyperlink r:id="rId9" w:history="1">
              <w:r w:rsidRPr="00F5286C">
                <w:rPr>
                  <w:rStyle w:val="Hyperlink"/>
                  <w:rFonts w:ascii="Arial Narrow" w:hAnsi="Arial Narrow"/>
                </w:rPr>
                <w:t>http://www.cbo.gov/topics/poverty-and-income-security</w:t>
              </w:r>
            </w:hyperlink>
          </w:p>
        </w:tc>
      </w:tr>
      <w:tr w:rsidR="00307D0D" w:rsidTr="00402AB8">
        <w:trPr>
          <w:trHeight w:val="462"/>
        </w:trPr>
        <w:tc>
          <w:tcPr>
            <w:tcW w:w="8064" w:type="dxa"/>
            <w:tcMar>
              <w:top w:w="144" w:type="dxa"/>
            </w:tcMar>
          </w:tcPr>
          <w:p w:rsidR="00307D0D" w:rsidRDefault="00307D0D" w:rsidP="005B77C6">
            <w:pPr>
              <w:ind w:left="1440"/>
              <w:jc w:val="center"/>
              <w:rPr>
                <w:rFonts w:ascii="Arial Narrow" w:hAnsi="Arial Narrow"/>
                <w:smallCaps/>
                <w:sz w:val="28"/>
              </w:rPr>
            </w:pPr>
          </w:p>
          <w:p w:rsidR="00307D0D" w:rsidRPr="005B77C6" w:rsidRDefault="005B77C6" w:rsidP="00402AB8">
            <w:pPr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smallCaps/>
                <w:sz w:val="28"/>
              </w:rPr>
              <w:t xml:space="preserve">   </w:t>
            </w:r>
            <w:r w:rsidR="00307D0D" w:rsidRPr="005B77C6">
              <w:rPr>
                <w:rFonts w:ascii="Arial Narrow" w:hAnsi="Arial Narrow"/>
                <w:b/>
                <w:smallCaps/>
                <w:sz w:val="28"/>
              </w:rPr>
              <w:t>Non-Governmental Resources</w:t>
            </w:r>
          </w:p>
        </w:tc>
      </w:tr>
      <w:tr w:rsidR="00307D0D" w:rsidTr="00402AB8">
        <w:trPr>
          <w:trHeight w:val="1340"/>
        </w:trPr>
        <w:tc>
          <w:tcPr>
            <w:tcW w:w="8280" w:type="dxa"/>
            <w:tcMar>
              <w:top w:w="144" w:type="dxa"/>
            </w:tcMar>
          </w:tcPr>
          <w:p w:rsidR="00307D0D" w:rsidRDefault="00307D0D" w:rsidP="0068363A">
            <w:pPr>
              <w:spacing w:after="120"/>
              <w:ind w:left="1440" w:hanging="5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American Academy of Actuaries</w:t>
            </w:r>
            <w:r w:rsidR="00231E31">
              <w:rPr>
                <w:rFonts w:ascii="Arial Narrow" w:hAnsi="Arial Narrow"/>
              </w:rPr>
              <w:t xml:space="preserve"> </w:t>
            </w:r>
            <w:hyperlink r:id="rId10" w:history="1">
              <w:r w:rsidRPr="00D4576C">
                <w:rPr>
                  <w:rStyle w:val="Hyperlink"/>
                  <w:rFonts w:ascii="Arial Narrow" w:hAnsi="Arial Narrow"/>
                </w:rPr>
                <w:t>www.actuary.org</w:t>
              </w:r>
            </w:hyperlink>
          </w:p>
          <w:p w:rsidR="00307D0D" w:rsidRDefault="00307D0D" w:rsidP="005B77C6">
            <w:pPr>
              <w:ind w:left="1440" w:hanging="56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American Academy of Actuaries – The Social Security Game</w:t>
            </w:r>
          </w:p>
          <w:p w:rsidR="00307D0D" w:rsidRPr="00F5286C" w:rsidRDefault="007B5311" w:rsidP="0068363A">
            <w:pPr>
              <w:spacing w:after="120"/>
              <w:ind w:left="1440" w:hanging="565"/>
              <w:rPr>
                <w:rFonts w:ascii="Arial Narrow" w:hAnsi="Arial Narrow"/>
              </w:rPr>
            </w:pPr>
            <w:hyperlink r:id="rId11" w:history="1">
              <w:r w:rsidR="00231E31" w:rsidRPr="006412CD">
                <w:rPr>
                  <w:rStyle w:val="Hyperlink"/>
                  <w:rFonts w:ascii="Arial Narrow" w:hAnsi="Arial Narrow"/>
                </w:rPr>
                <w:t>http://www.actuary.org/content/try-your-hand-social-security-reform</w:t>
              </w:r>
            </w:hyperlink>
          </w:p>
          <w:p w:rsidR="00307D0D" w:rsidRPr="00572483" w:rsidRDefault="00307D0D" w:rsidP="005B77C6">
            <w:pPr>
              <w:ind w:left="1440" w:hanging="565"/>
              <w:rPr>
                <w:rFonts w:ascii="Arial Narrow" w:hAnsi="Arial Narrow"/>
              </w:rPr>
            </w:pPr>
            <w:r w:rsidRPr="00572483">
              <w:rPr>
                <w:rFonts w:ascii="Arial Narrow" w:hAnsi="Arial Narrow"/>
              </w:rPr>
              <w:t>Just Facts – a resource for independent thinkers</w:t>
            </w:r>
          </w:p>
          <w:p w:rsidR="00307D0D" w:rsidRDefault="007B5311" w:rsidP="00402AB8">
            <w:pPr>
              <w:spacing w:after="120"/>
              <w:ind w:left="1440" w:hanging="565"/>
              <w:rPr>
                <w:rFonts w:ascii="Arial Narrow" w:hAnsi="Arial Narrow"/>
              </w:rPr>
            </w:pPr>
            <w:hyperlink r:id="rId12" w:history="1">
              <w:r w:rsidR="006921E0" w:rsidRPr="006412CD">
                <w:rPr>
                  <w:rStyle w:val="Hyperlink"/>
                  <w:rFonts w:ascii="Arial Narrow" w:hAnsi="Arial Narrow"/>
                </w:rPr>
                <w:t>http://www.justfacts.com/socialsecurity.asp</w:t>
              </w:r>
            </w:hyperlink>
          </w:p>
        </w:tc>
      </w:tr>
    </w:tbl>
    <w:p w:rsidR="00307D0D" w:rsidRDefault="00307D0D" w:rsidP="00632BE2">
      <w:pPr>
        <w:rPr>
          <w:rFonts w:ascii="Arial Narrow" w:hAnsi="Arial Narrow"/>
        </w:rPr>
      </w:pPr>
    </w:p>
    <w:sectPr w:rsidR="00307D0D" w:rsidSect="00013534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11" w:rsidRDefault="007B5311" w:rsidP="004E641B">
      <w:pPr>
        <w:spacing w:after="0" w:line="240" w:lineRule="auto"/>
      </w:pPr>
      <w:r>
        <w:separator/>
      </w:r>
    </w:p>
  </w:endnote>
  <w:endnote w:type="continuationSeparator" w:id="0">
    <w:p w:rsidR="007B5311" w:rsidRDefault="007B5311" w:rsidP="004E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1B" w:rsidRDefault="004E641B">
    <w:pPr>
      <w:pStyle w:val="Footer"/>
      <w:rPr>
        <w:rFonts w:ascii="Arial Narrow" w:hAnsi="Arial Narrow"/>
        <w:sz w:val="18"/>
      </w:rPr>
    </w:pPr>
    <w:r w:rsidRPr="004E641B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11" w:rsidRDefault="007B5311" w:rsidP="004E641B">
      <w:pPr>
        <w:spacing w:after="0" w:line="240" w:lineRule="auto"/>
      </w:pPr>
      <w:r>
        <w:separator/>
      </w:r>
    </w:p>
  </w:footnote>
  <w:footnote w:type="continuationSeparator" w:id="0">
    <w:p w:rsidR="007B5311" w:rsidRDefault="007B5311" w:rsidP="004E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34" w:rsidRDefault="004015CD" w:rsidP="00E63D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4399651</wp:posOffset>
              </wp:positionH>
              <wp:positionV relativeFrom="paragraph">
                <wp:posOffset>94615</wp:posOffset>
              </wp:positionV>
              <wp:extent cx="1863306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30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15CD" w:rsidRPr="00E63D3E" w:rsidRDefault="00632BE2" w:rsidP="00E63D3E">
                          <w:pPr>
                            <w:pStyle w:val="Foo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E63D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="004015CD" w:rsidRPr="00E63D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ia Lee</w:t>
                          </w:r>
                        </w:p>
                        <w:p w:rsidR="004015CD" w:rsidRPr="00632BE2" w:rsidRDefault="004015CD" w:rsidP="00E63D3E">
                          <w:pPr>
                            <w:pStyle w:val="Foo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Director, Financial Planning</w:t>
                          </w:r>
                        </w:p>
                        <w:p w:rsidR="004015CD" w:rsidRPr="00632BE2" w:rsidRDefault="004015CD" w:rsidP="00E63D3E">
                          <w:pPr>
                            <w:pStyle w:val="Foo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Spectrum Management Group</w:t>
                          </w:r>
                        </w:p>
                        <w:p w:rsidR="004015CD" w:rsidRPr="00632BE2" w:rsidRDefault="00632BE2" w:rsidP="00E63D3E">
                          <w:pPr>
                            <w:pStyle w:val="Foo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6</w:t>
                          </w:r>
                          <w:r w:rsidR="004015CD"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00 East 96</w:t>
                          </w:r>
                          <w:r w:rsidR="004015CD" w:rsidRPr="00632BE2">
                            <w:rPr>
                              <w:rFonts w:ascii="Arial Narrow" w:hAnsi="Arial Narrow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4015CD"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Street, Suite 130</w:t>
                          </w:r>
                        </w:p>
                        <w:p w:rsidR="004015CD" w:rsidRPr="00632BE2" w:rsidRDefault="004015CD" w:rsidP="00E63D3E">
                          <w:pPr>
                            <w:pStyle w:val="Foo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Indianapolis, IN  46240</w:t>
                          </w:r>
                        </w:p>
                        <w:p w:rsidR="004015CD" w:rsidRPr="00632BE2" w:rsidRDefault="007B5311" w:rsidP="00E63D3E">
                          <w:pPr>
                            <w:pStyle w:val="Footer"/>
                            <w:rPr>
                              <w:rFonts w:ascii="Arial Narrow" w:hAnsi="Arial Narrow"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015CD" w:rsidRPr="00632BE2">
                              <w:rPr>
                                <w:rStyle w:val="Hyperlink"/>
                                <w:rFonts w:ascii="Arial Narrow" w:hAnsi="Arial Narrow"/>
                                <w:sz w:val="20"/>
                                <w:szCs w:val="20"/>
                              </w:rPr>
                              <w:t>tlee@spectrum-mgmt.com</w:t>
                            </w:r>
                          </w:hyperlink>
                        </w:p>
                        <w:p w:rsidR="004015CD" w:rsidRPr="00632BE2" w:rsidRDefault="004015CD" w:rsidP="00E63D3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632BE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(317) 663-5600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45pt;margin-top:7.45pt;width:14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" stroked="f" strokeweight="0">
              <v:textbox style="mso-fit-shape-to-text:t">
                <w:txbxContent>
                  <w:p w:rsidR="004015CD" w:rsidRPr="00E63D3E" w:rsidRDefault="00632BE2" w:rsidP="00E63D3E">
                    <w:pPr>
                      <w:pStyle w:val="Foo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E63D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T</w:t>
                    </w:r>
                    <w:r w:rsidR="004015CD" w:rsidRPr="00E63D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ia Lee</w:t>
                    </w:r>
                  </w:p>
                  <w:p w:rsidR="004015CD" w:rsidRPr="00632BE2" w:rsidRDefault="004015CD" w:rsidP="00E63D3E">
                    <w:pPr>
                      <w:pStyle w:val="Foo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Director, Financial Planning</w:t>
                    </w:r>
                  </w:p>
                  <w:p w:rsidR="004015CD" w:rsidRPr="00632BE2" w:rsidRDefault="004015CD" w:rsidP="00E63D3E">
                    <w:pPr>
                      <w:pStyle w:val="Foo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Spectrum Management Group</w:t>
                    </w:r>
                  </w:p>
                  <w:p w:rsidR="004015CD" w:rsidRPr="00632BE2" w:rsidRDefault="00632BE2" w:rsidP="00E63D3E">
                    <w:pPr>
                      <w:pStyle w:val="Foo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6</w:t>
                    </w:r>
                    <w:r w:rsidR="004015CD"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00 East 96</w:t>
                    </w:r>
                    <w:r w:rsidR="004015CD" w:rsidRPr="00632BE2">
                      <w:rPr>
                        <w:rFonts w:ascii="Arial Narrow" w:hAnsi="Arial Narrow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4015CD"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Street, Suite 130</w:t>
                    </w:r>
                  </w:p>
                  <w:p w:rsidR="004015CD" w:rsidRPr="00632BE2" w:rsidRDefault="004015CD" w:rsidP="00E63D3E">
                    <w:pPr>
                      <w:pStyle w:val="Foo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Indianapolis, IN  46240</w:t>
                    </w:r>
                  </w:p>
                  <w:p w:rsidR="004015CD" w:rsidRPr="00632BE2" w:rsidRDefault="007B5311" w:rsidP="00E63D3E">
                    <w:pPr>
                      <w:pStyle w:val="Footer"/>
                      <w:rPr>
                        <w:rFonts w:ascii="Arial Narrow" w:hAnsi="Arial Narrow"/>
                        <w:color w:val="548DD4" w:themeColor="text2" w:themeTint="99"/>
                        <w:sz w:val="20"/>
                        <w:szCs w:val="20"/>
                      </w:rPr>
                    </w:pPr>
                    <w:hyperlink r:id="rId2" w:history="1">
                      <w:r w:rsidR="004015CD" w:rsidRPr="00632BE2">
                        <w:rPr>
                          <w:rStyle w:val="Hyperlink"/>
                          <w:rFonts w:ascii="Arial Narrow" w:hAnsi="Arial Narrow"/>
                          <w:sz w:val="20"/>
                          <w:szCs w:val="20"/>
                        </w:rPr>
                        <w:t>tlee@spectrum-mgmt.com</w:t>
                      </w:r>
                    </w:hyperlink>
                  </w:p>
                  <w:p w:rsidR="004015CD" w:rsidRPr="00632BE2" w:rsidRDefault="004015CD" w:rsidP="00E63D3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632BE2">
                      <w:rPr>
                        <w:rFonts w:ascii="Arial Narrow" w:hAnsi="Arial Narrow"/>
                        <w:sz w:val="20"/>
                        <w:szCs w:val="20"/>
                      </w:rPr>
                      <w:t>(317) 663-5600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</w:rPr>
      <w:drawing>
        <wp:inline distT="0" distB="0" distL="0" distR="0" wp14:anchorId="483877AC" wp14:editId="3953DB19">
          <wp:extent cx="1854679" cy="132609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umLogo 400x28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38" cy="133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01DFE0-66EB-4248-8B82-05683FA1B04D}"/>
    <w:docVar w:name="dgnword-eventsink" w:val="212034808"/>
  </w:docVars>
  <w:rsids>
    <w:rsidRoot w:val="00F5286C"/>
    <w:rsid w:val="00013534"/>
    <w:rsid w:val="00053DBA"/>
    <w:rsid w:val="001A4F1E"/>
    <w:rsid w:val="00221F43"/>
    <w:rsid w:val="00231E31"/>
    <w:rsid w:val="0027301F"/>
    <w:rsid w:val="002C42FD"/>
    <w:rsid w:val="00307D0D"/>
    <w:rsid w:val="004015CD"/>
    <w:rsid w:val="00402AB8"/>
    <w:rsid w:val="00444BEC"/>
    <w:rsid w:val="004A2560"/>
    <w:rsid w:val="004E641B"/>
    <w:rsid w:val="00572483"/>
    <w:rsid w:val="005A1DEA"/>
    <w:rsid w:val="005B77C6"/>
    <w:rsid w:val="005C3F16"/>
    <w:rsid w:val="00632BE2"/>
    <w:rsid w:val="0068363A"/>
    <w:rsid w:val="006921E0"/>
    <w:rsid w:val="00723E68"/>
    <w:rsid w:val="007504C6"/>
    <w:rsid w:val="007635C8"/>
    <w:rsid w:val="007B5311"/>
    <w:rsid w:val="007C5C90"/>
    <w:rsid w:val="008F2DE3"/>
    <w:rsid w:val="0092362F"/>
    <w:rsid w:val="00931723"/>
    <w:rsid w:val="00A236D1"/>
    <w:rsid w:val="00A5476E"/>
    <w:rsid w:val="00C86EBA"/>
    <w:rsid w:val="00DD485D"/>
    <w:rsid w:val="00E63D3E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58E874-F1B2-480F-9746-BA1A85C0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8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1B"/>
  </w:style>
  <w:style w:type="paragraph" w:styleId="Footer">
    <w:name w:val="footer"/>
    <w:basedOn w:val="Normal"/>
    <w:link w:val="FooterChar"/>
    <w:uiPriority w:val="99"/>
    <w:unhideWhenUsed/>
    <w:rsid w:val="004E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1B"/>
  </w:style>
  <w:style w:type="character" w:styleId="FollowedHyperlink">
    <w:name w:val="FollowedHyperlink"/>
    <w:basedOn w:val="DefaultParagraphFont"/>
    <w:uiPriority w:val="99"/>
    <w:semiHidden/>
    <w:unhideWhenUsed/>
    <w:rsid w:val="00763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o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huber\Desktop\www.ssa.gov" TargetMode="External"/><Relationship Id="rId12" Type="http://schemas.openxmlformats.org/officeDocument/2006/relationships/hyperlink" Target="http://www.justfacts.com/socialsecurity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tuary.org/content/try-your-hand-social-security-re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tu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o.gov/topics/poverty-and-income-securi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lee@spectrum-mgmt.com" TargetMode="External"/><Relationship Id="rId1" Type="http://schemas.openxmlformats.org/officeDocument/2006/relationships/hyperlink" Target="mailto:tlee@spectrum-mg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2BED-1824-4F53-840C-965C6206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Management Group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Huber</dc:creator>
  <cp:lastModifiedBy>Mandee Adams</cp:lastModifiedBy>
  <cp:revision>2</cp:revision>
  <cp:lastPrinted>2013-06-06T20:12:00Z</cp:lastPrinted>
  <dcterms:created xsi:type="dcterms:W3CDTF">2016-10-20T02:24:00Z</dcterms:created>
  <dcterms:modified xsi:type="dcterms:W3CDTF">2016-10-20T02:24:00Z</dcterms:modified>
</cp:coreProperties>
</file>