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0ADF8" w14:textId="5500881D" w:rsidR="008D6B22" w:rsidRDefault="008D6B22" w:rsidP="008D6B22">
      <w:pPr>
        <w:numPr>
          <w:ilvl w:val="0"/>
          <w:numId w:val="1"/>
        </w:numPr>
        <w:rPr>
          <w:rFonts w:eastAsia="Times New Roman"/>
          <w:color w:val="auto"/>
        </w:rPr>
      </w:pPr>
      <w:bookmarkStart w:id="0" w:name="_GoBack"/>
      <w:bookmarkEnd w:id="0"/>
      <w:r>
        <w:rPr>
          <w:rFonts w:eastAsia="Times New Roman"/>
          <w:color w:val="auto"/>
        </w:rPr>
        <w:t xml:space="preserve">Please provide a copy of the SOC 1 Type II report for the year ended December 31, 2018. If this is not available please indicate how many control activities are included under each control objective as well as the number of subservice organizations used by RISLA. </w:t>
      </w:r>
    </w:p>
    <w:p w14:paraId="1072ACF6" w14:textId="1A62067A" w:rsidR="008D6B22" w:rsidRDefault="008D6B22" w:rsidP="008D6B22">
      <w:pPr>
        <w:rPr>
          <w:rFonts w:eastAsia="Times New Roman"/>
          <w:color w:val="auto"/>
        </w:rPr>
      </w:pPr>
    </w:p>
    <w:p w14:paraId="3D9F3722" w14:textId="0A4EFC33" w:rsidR="008D6B22" w:rsidRDefault="00330A0F" w:rsidP="00330A0F">
      <w:pPr>
        <w:ind w:left="720"/>
        <w:rPr>
          <w:rFonts w:eastAsia="Times New Roman"/>
          <w:color w:val="2F5496" w:themeColor="accent1" w:themeShade="BF"/>
        </w:rPr>
      </w:pPr>
      <w:r>
        <w:rPr>
          <w:rFonts w:eastAsia="Times New Roman"/>
          <w:color w:val="2F5496" w:themeColor="accent1" w:themeShade="BF"/>
        </w:rPr>
        <w:t>Listed below are the number of Control Activities related to each Control Objective:</w:t>
      </w:r>
    </w:p>
    <w:p w14:paraId="132DE894" w14:textId="3D6037E9" w:rsidR="00330A0F" w:rsidRDefault="00330A0F" w:rsidP="00330A0F">
      <w:pPr>
        <w:ind w:left="720"/>
        <w:rPr>
          <w:rFonts w:eastAsia="Times New Roman"/>
          <w:color w:val="2F5496" w:themeColor="accent1" w:themeShade="BF"/>
        </w:rPr>
      </w:pPr>
      <w:r>
        <w:rPr>
          <w:rFonts w:eastAsia="Times New Roman"/>
          <w:color w:val="2F5496" w:themeColor="accent1" w:themeShade="BF"/>
        </w:rPr>
        <w:t>1–4</w:t>
      </w:r>
      <w:r>
        <w:rPr>
          <w:rFonts w:eastAsia="Times New Roman"/>
          <w:color w:val="2F5496" w:themeColor="accent1" w:themeShade="BF"/>
        </w:rPr>
        <w:tab/>
      </w:r>
      <w:r>
        <w:rPr>
          <w:rFonts w:eastAsia="Times New Roman"/>
          <w:color w:val="2F5496" w:themeColor="accent1" w:themeShade="BF"/>
        </w:rPr>
        <w:tab/>
        <w:t>9-5</w:t>
      </w:r>
    </w:p>
    <w:p w14:paraId="224F44AC" w14:textId="0597F8C2" w:rsidR="00330A0F" w:rsidRDefault="00330A0F" w:rsidP="00330A0F">
      <w:pPr>
        <w:ind w:left="720"/>
        <w:rPr>
          <w:rFonts w:eastAsia="Times New Roman"/>
          <w:color w:val="2F5496" w:themeColor="accent1" w:themeShade="BF"/>
        </w:rPr>
      </w:pPr>
      <w:r>
        <w:rPr>
          <w:rFonts w:eastAsia="Times New Roman"/>
          <w:color w:val="2F5496" w:themeColor="accent1" w:themeShade="BF"/>
        </w:rPr>
        <w:t>2-13</w:t>
      </w:r>
      <w:r>
        <w:rPr>
          <w:rFonts w:eastAsia="Times New Roman"/>
          <w:color w:val="2F5496" w:themeColor="accent1" w:themeShade="BF"/>
        </w:rPr>
        <w:tab/>
      </w:r>
      <w:r>
        <w:rPr>
          <w:rFonts w:eastAsia="Times New Roman"/>
          <w:color w:val="2F5496" w:themeColor="accent1" w:themeShade="BF"/>
        </w:rPr>
        <w:tab/>
        <w:t>10-8</w:t>
      </w:r>
    </w:p>
    <w:p w14:paraId="7EF52244" w14:textId="35877EA7" w:rsidR="00330A0F" w:rsidRDefault="00330A0F" w:rsidP="00330A0F">
      <w:pPr>
        <w:ind w:left="720"/>
        <w:rPr>
          <w:rFonts w:eastAsia="Times New Roman"/>
          <w:color w:val="2F5496" w:themeColor="accent1" w:themeShade="BF"/>
        </w:rPr>
      </w:pPr>
      <w:r>
        <w:rPr>
          <w:rFonts w:eastAsia="Times New Roman"/>
          <w:color w:val="2F5496" w:themeColor="accent1" w:themeShade="BF"/>
        </w:rPr>
        <w:t>3-6</w:t>
      </w:r>
      <w:r>
        <w:rPr>
          <w:rFonts w:eastAsia="Times New Roman"/>
          <w:color w:val="2F5496" w:themeColor="accent1" w:themeShade="BF"/>
        </w:rPr>
        <w:tab/>
      </w:r>
      <w:r>
        <w:rPr>
          <w:rFonts w:eastAsia="Times New Roman"/>
          <w:color w:val="2F5496" w:themeColor="accent1" w:themeShade="BF"/>
        </w:rPr>
        <w:tab/>
        <w:t>11-18</w:t>
      </w:r>
    </w:p>
    <w:p w14:paraId="58CA1C30" w14:textId="6F6DDCE4" w:rsidR="00330A0F" w:rsidRDefault="00330A0F" w:rsidP="00330A0F">
      <w:pPr>
        <w:ind w:left="720"/>
        <w:rPr>
          <w:rFonts w:eastAsia="Times New Roman"/>
          <w:color w:val="2F5496" w:themeColor="accent1" w:themeShade="BF"/>
        </w:rPr>
      </w:pPr>
      <w:r>
        <w:rPr>
          <w:rFonts w:eastAsia="Times New Roman"/>
          <w:color w:val="2F5496" w:themeColor="accent1" w:themeShade="BF"/>
        </w:rPr>
        <w:t>4-7</w:t>
      </w:r>
      <w:r>
        <w:rPr>
          <w:rFonts w:eastAsia="Times New Roman"/>
          <w:color w:val="2F5496" w:themeColor="accent1" w:themeShade="BF"/>
        </w:rPr>
        <w:tab/>
      </w:r>
      <w:r>
        <w:rPr>
          <w:rFonts w:eastAsia="Times New Roman"/>
          <w:color w:val="2F5496" w:themeColor="accent1" w:themeShade="BF"/>
        </w:rPr>
        <w:tab/>
        <w:t>12-3</w:t>
      </w:r>
    </w:p>
    <w:p w14:paraId="7D438345" w14:textId="3A8A4860" w:rsidR="00330A0F" w:rsidRDefault="00330A0F" w:rsidP="00330A0F">
      <w:pPr>
        <w:ind w:left="720"/>
        <w:rPr>
          <w:rFonts w:eastAsia="Times New Roman"/>
          <w:color w:val="2F5496" w:themeColor="accent1" w:themeShade="BF"/>
        </w:rPr>
      </w:pPr>
      <w:r>
        <w:rPr>
          <w:rFonts w:eastAsia="Times New Roman"/>
          <w:color w:val="2F5496" w:themeColor="accent1" w:themeShade="BF"/>
        </w:rPr>
        <w:t>5-5</w:t>
      </w:r>
      <w:r>
        <w:rPr>
          <w:rFonts w:eastAsia="Times New Roman"/>
          <w:color w:val="2F5496" w:themeColor="accent1" w:themeShade="BF"/>
        </w:rPr>
        <w:tab/>
      </w:r>
      <w:r>
        <w:rPr>
          <w:rFonts w:eastAsia="Times New Roman"/>
          <w:color w:val="2F5496" w:themeColor="accent1" w:themeShade="BF"/>
        </w:rPr>
        <w:tab/>
        <w:t>13-4</w:t>
      </w:r>
    </w:p>
    <w:p w14:paraId="330B511C" w14:textId="54E63156" w:rsidR="00330A0F" w:rsidRDefault="00330A0F" w:rsidP="00330A0F">
      <w:pPr>
        <w:ind w:left="720"/>
        <w:rPr>
          <w:rFonts w:eastAsia="Times New Roman"/>
          <w:color w:val="2F5496" w:themeColor="accent1" w:themeShade="BF"/>
        </w:rPr>
      </w:pPr>
      <w:r>
        <w:rPr>
          <w:rFonts w:eastAsia="Times New Roman"/>
          <w:color w:val="2F5496" w:themeColor="accent1" w:themeShade="BF"/>
        </w:rPr>
        <w:t>6-5</w:t>
      </w:r>
      <w:r>
        <w:rPr>
          <w:rFonts w:eastAsia="Times New Roman"/>
          <w:color w:val="2F5496" w:themeColor="accent1" w:themeShade="BF"/>
        </w:rPr>
        <w:tab/>
      </w:r>
      <w:r>
        <w:rPr>
          <w:rFonts w:eastAsia="Times New Roman"/>
          <w:color w:val="2F5496" w:themeColor="accent1" w:themeShade="BF"/>
        </w:rPr>
        <w:tab/>
        <w:t>14-7</w:t>
      </w:r>
    </w:p>
    <w:p w14:paraId="4534579E" w14:textId="26C71DB3" w:rsidR="00330A0F" w:rsidRDefault="00330A0F" w:rsidP="00330A0F">
      <w:pPr>
        <w:ind w:left="720"/>
        <w:rPr>
          <w:rFonts w:eastAsia="Times New Roman"/>
          <w:color w:val="2F5496" w:themeColor="accent1" w:themeShade="BF"/>
        </w:rPr>
      </w:pPr>
      <w:r>
        <w:rPr>
          <w:rFonts w:eastAsia="Times New Roman"/>
          <w:color w:val="2F5496" w:themeColor="accent1" w:themeShade="BF"/>
        </w:rPr>
        <w:t>7-10</w:t>
      </w:r>
      <w:r>
        <w:rPr>
          <w:rFonts w:eastAsia="Times New Roman"/>
          <w:color w:val="2F5496" w:themeColor="accent1" w:themeShade="BF"/>
        </w:rPr>
        <w:tab/>
      </w:r>
      <w:r>
        <w:rPr>
          <w:rFonts w:eastAsia="Times New Roman"/>
          <w:color w:val="2F5496" w:themeColor="accent1" w:themeShade="BF"/>
        </w:rPr>
        <w:tab/>
        <w:t>15-3</w:t>
      </w:r>
    </w:p>
    <w:p w14:paraId="3A0F3E7B" w14:textId="5BB4CBB2" w:rsidR="00330A0F" w:rsidRDefault="00330A0F" w:rsidP="00330A0F">
      <w:pPr>
        <w:ind w:left="720"/>
        <w:rPr>
          <w:rFonts w:eastAsia="Times New Roman"/>
          <w:color w:val="2F5496" w:themeColor="accent1" w:themeShade="BF"/>
        </w:rPr>
      </w:pPr>
      <w:r>
        <w:rPr>
          <w:rFonts w:eastAsia="Times New Roman"/>
          <w:color w:val="2F5496" w:themeColor="accent1" w:themeShade="BF"/>
        </w:rPr>
        <w:t>8-6</w:t>
      </w:r>
      <w:r>
        <w:rPr>
          <w:rFonts w:eastAsia="Times New Roman"/>
          <w:color w:val="2F5496" w:themeColor="accent1" w:themeShade="BF"/>
        </w:rPr>
        <w:tab/>
      </w:r>
      <w:r>
        <w:rPr>
          <w:rFonts w:eastAsia="Times New Roman"/>
          <w:color w:val="2F5496" w:themeColor="accent1" w:themeShade="BF"/>
        </w:rPr>
        <w:tab/>
        <w:t>16-4</w:t>
      </w:r>
    </w:p>
    <w:p w14:paraId="682F652E" w14:textId="2C73F734" w:rsidR="00330A0F" w:rsidRDefault="00330A0F" w:rsidP="00330A0F">
      <w:pPr>
        <w:ind w:left="720"/>
        <w:rPr>
          <w:rFonts w:eastAsia="Times New Roman"/>
          <w:color w:val="2F5496" w:themeColor="accent1" w:themeShade="BF"/>
        </w:rPr>
      </w:pPr>
    </w:p>
    <w:p w14:paraId="11D19A96" w14:textId="71017C88" w:rsidR="008D6B22" w:rsidRDefault="00330A0F" w:rsidP="00330A0F">
      <w:pPr>
        <w:ind w:left="720"/>
        <w:rPr>
          <w:rFonts w:eastAsia="Times New Roman"/>
          <w:color w:val="auto"/>
        </w:rPr>
      </w:pPr>
      <w:r>
        <w:rPr>
          <w:rFonts w:eastAsia="Times New Roman"/>
          <w:color w:val="2F5496" w:themeColor="accent1" w:themeShade="BF"/>
        </w:rPr>
        <w:t xml:space="preserve">RISLA does use a subservice organization, but none of the Control Objectives or Control Activities of the subservice organization are included in testing for the SOC I report. </w:t>
      </w:r>
    </w:p>
    <w:p w14:paraId="546C41ED" w14:textId="77777777" w:rsidR="008D6B22" w:rsidRDefault="008D6B22" w:rsidP="008D6B22">
      <w:pPr>
        <w:rPr>
          <w:rFonts w:eastAsia="Times New Roman"/>
          <w:color w:val="auto"/>
        </w:rPr>
      </w:pPr>
    </w:p>
    <w:p w14:paraId="6CAEF056" w14:textId="77777777" w:rsidR="008D6B22" w:rsidRDefault="008D6B22" w:rsidP="008D6B22">
      <w:pPr>
        <w:rPr>
          <w:color w:val="auto"/>
        </w:rPr>
      </w:pPr>
    </w:p>
    <w:p w14:paraId="0E470D27" w14:textId="61134F90" w:rsidR="008D6B22" w:rsidRDefault="008D6B22" w:rsidP="008D6B22">
      <w:pPr>
        <w:numPr>
          <w:ilvl w:val="0"/>
          <w:numId w:val="1"/>
        </w:numPr>
        <w:rPr>
          <w:rFonts w:eastAsia="Times New Roman"/>
          <w:color w:val="auto"/>
        </w:rPr>
      </w:pPr>
      <w:r>
        <w:rPr>
          <w:rFonts w:eastAsia="Times New Roman"/>
          <w:color w:val="auto"/>
        </w:rPr>
        <w:t>The RFP mentions that there were 16 control objectives for the year ended December 31, 2018 and that RISLA does not expect to eliminate any of the control objectives going forward. Were there (or will there be) any additional control objectives or control activities added and or modified in 2019, 2020, or 2021?</w:t>
      </w:r>
    </w:p>
    <w:p w14:paraId="3CE01F5B" w14:textId="7D1FA9F1" w:rsidR="00330A0F" w:rsidRDefault="00330A0F" w:rsidP="00330A0F">
      <w:pPr>
        <w:rPr>
          <w:rFonts w:eastAsia="Times New Roman"/>
          <w:color w:val="auto"/>
        </w:rPr>
      </w:pPr>
    </w:p>
    <w:p w14:paraId="42C7721F" w14:textId="4855032D" w:rsidR="00330A0F" w:rsidRPr="00330A0F" w:rsidRDefault="00330A0F" w:rsidP="00330A0F">
      <w:pPr>
        <w:ind w:left="720"/>
        <w:rPr>
          <w:rFonts w:eastAsia="Times New Roman"/>
          <w:color w:val="2F5496" w:themeColor="accent1" w:themeShade="BF"/>
        </w:rPr>
      </w:pPr>
      <w:r>
        <w:rPr>
          <w:rFonts w:eastAsia="Times New Roman"/>
          <w:color w:val="2F5496" w:themeColor="accent1" w:themeShade="BF"/>
        </w:rPr>
        <w:t>As of this time, there are no plans to add or modify the current Control Objectives.</w:t>
      </w:r>
    </w:p>
    <w:p w14:paraId="56D05906" w14:textId="77777777" w:rsidR="008D6B22" w:rsidRDefault="008D6B22" w:rsidP="008D6B22">
      <w:pPr>
        <w:pStyle w:val="ListParagraph"/>
        <w:rPr>
          <w:color w:val="auto"/>
        </w:rPr>
      </w:pPr>
    </w:p>
    <w:p w14:paraId="11F41C71" w14:textId="1B3CD557" w:rsidR="008D6B22" w:rsidRDefault="008D6B22" w:rsidP="008D6B22">
      <w:pPr>
        <w:numPr>
          <w:ilvl w:val="0"/>
          <w:numId w:val="1"/>
        </w:numPr>
        <w:rPr>
          <w:rFonts w:eastAsia="Times New Roman"/>
          <w:color w:val="auto"/>
        </w:rPr>
      </w:pPr>
      <w:r>
        <w:rPr>
          <w:rFonts w:eastAsia="Times New Roman"/>
          <w:color w:val="auto"/>
        </w:rPr>
        <w:t>Under the “Information Required from Bidders” – “Executive Summary” portion of the RFP it asks for “your methodology utilizing a readiness approach.” Please further explain what is being requested here. Is RISLA contemplating a new readiness engagement along with the SOC 1 Type II engagement?</w:t>
      </w:r>
    </w:p>
    <w:p w14:paraId="07D13829" w14:textId="0064304D" w:rsidR="0049745B" w:rsidRDefault="0049745B" w:rsidP="0049745B">
      <w:pPr>
        <w:rPr>
          <w:rFonts w:eastAsia="Times New Roman"/>
          <w:color w:val="auto"/>
        </w:rPr>
      </w:pPr>
    </w:p>
    <w:p w14:paraId="1E9D9E51" w14:textId="28E884C5" w:rsidR="0049745B" w:rsidRPr="0049745B" w:rsidRDefault="0049745B" w:rsidP="0049745B">
      <w:pPr>
        <w:ind w:left="720"/>
        <w:rPr>
          <w:rFonts w:eastAsia="Times New Roman"/>
          <w:color w:val="2F5496" w:themeColor="accent1" w:themeShade="BF"/>
        </w:rPr>
      </w:pPr>
      <w:r>
        <w:rPr>
          <w:rFonts w:eastAsia="Times New Roman"/>
          <w:color w:val="2F5496" w:themeColor="accent1" w:themeShade="BF"/>
        </w:rPr>
        <w:t>If a new firm was selected to perform the SOC I report, what would be the approach (if any) prior to coming to RISLA to perform testing? For example, would there be a field visit to RISLA prior to the fieldwork, or a series of conference calls, etc.?</w:t>
      </w:r>
    </w:p>
    <w:p w14:paraId="5CF3C5AF" w14:textId="77777777" w:rsidR="008D6B22" w:rsidRDefault="008D6B22" w:rsidP="008D6B22">
      <w:pPr>
        <w:pStyle w:val="ListParagraph"/>
        <w:rPr>
          <w:color w:val="auto"/>
        </w:rPr>
      </w:pPr>
    </w:p>
    <w:p w14:paraId="0EF3B1FB" w14:textId="7B3A3CB3" w:rsidR="008D6B22" w:rsidRDefault="008D6B22" w:rsidP="008D6B22">
      <w:pPr>
        <w:numPr>
          <w:ilvl w:val="0"/>
          <w:numId w:val="1"/>
        </w:numPr>
        <w:rPr>
          <w:rFonts w:eastAsia="Times New Roman"/>
          <w:color w:val="auto"/>
        </w:rPr>
      </w:pPr>
      <w:r>
        <w:rPr>
          <w:rFonts w:eastAsia="Times New Roman"/>
          <w:color w:val="auto"/>
        </w:rPr>
        <w:t>Has fieldwork for the SOC 1 Type II historically been in the Warwick, RI location? Are there any other locations that are subject to testing and may need to be visited?</w:t>
      </w:r>
    </w:p>
    <w:p w14:paraId="043795A5" w14:textId="63747CBB" w:rsidR="0049745B" w:rsidRDefault="0049745B" w:rsidP="0049745B">
      <w:pPr>
        <w:rPr>
          <w:rFonts w:eastAsia="Times New Roman"/>
          <w:color w:val="auto"/>
        </w:rPr>
      </w:pPr>
    </w:p>
    <w:p w14:paraId="06E20F11" w14:textId="289F3B09" w:rsidR="0049745B" w:rsidRPr="0049745B" w:rsidRDefault="0049745B" w:rsidP="0049745B">
      <w:pPr>
        <w:ind w:left="720"/>
        <w:rPr>
          <w:rFonts w:eastAsia="Times New Roman"/>
          <w:color w:val="2F5496" w:themeColor="accent1" w:themeShade="BF"/>
        </w:rPr>
      </w:pPr>
      <w:r>
        <w:rPr>
          <w:rFonts w:eastAsia="Times New Roman"/>
          <w:color w:val="2F5496" w:themeColor="accent1" w:themeShade="BF"/>
        </w:rPr>
        <w:t>All fieldwork is completed at the Warwick, RI location.</w:t>
      </w:r>
    </w:p>
    <w:p w14:paraId="35FF90C6" w14:textId="77777777" w:rsidR="001B7B88" w:rsidRPr="008D6B22" w:rsidRDefault="001B7B88" w:rsidP="008D6B22"/>
    <w:sectPr w:rsidR="001B7B88" w:rsidRPr="008D6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126615"/>
    <w:multiLevelType w:val="hybridMultilevel"/>
    <w:tmpl w:val="5A2A96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B22"/>
    <w:rsid w:val="001B7B88"/>
    <w:rsid w:val="00330A0F"/>
    <w:rsid w:val="0049745B"/>
    <w:rsid w:val="00734B54"/>
    <w:rsid w:val="008D6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75263"/>
  <w15:chartTrackingRefBased/>
  <w15:docId w15:val="{15AD1502-121F-4E24-97C2-399AC6B08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8D6B22"/>
    <w:pPr>
      <w:spacing w:after="0" w:line="240" w:lineRule="auto"/>
    </w:pPr>
    <w:rPr>
      <w:rFonts w:ascii="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B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78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McAleer, Kevan</dc:creator>
  <cp:keywords/>
  <dc:description/>
  <cp:lastModifiedBy>McAleer, Kevan</cp:lastModifiedBy>
  <cp:revision>2</cp:revision>
  <dcterms:created xsi:type="dcterms:W3CDTF">2019-07-12T13:25:00Z</dcterms:created>
  <dcterms:modified xsi:type="dcterms:W3CDTF">2019-07-12T13:25:00Z</dcterms:modified>
</cp:coreProperties>
</file>