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4992A" w14:textId="527BC601" w:rsidR="00D46DB1" w:rsidRDefault="00A10D74">
      <w:pPr>
        <w:rPr>
          <w:rFonts w:ascii="Arial" w:hAnsi="Arial" w:cs="Arial"/>
          <w:sz w:val="20"/>
          <w:szCs w:val="20"/>
        </w:rPr>
      </w:pPr>
      <w:r>
        <w:rPr>
          <w:noProof/>
        </w:rPr>
        <w:drawing>
          <wp:inline distT="0" distB="0" distL="0" distR="0" wp14:anchorId="7167FFBC" wp14:editId="627F2F77">
            <wp:extent cx="5943600" cy="1518285"/>
            <wp:effectExtent l="0" t="0" r="0" b="5715"/>
            <wp:docPr id="3" name="Picture 3" descr="A person with collar shi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pliance_MSWORDMasthead.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518285"/>
                    </a:xfrm>
                    <a:prstGeom prst="rect">
                      <a:avLst/>
                    </a:prstGeom>
                  </pic:spPr>
                </pic:pic>
              </a:graphicData>
            </a:graphic>
          </wp:inline>
        </w:drawing>
      </w:r>
    </w:p>
    <w:p w14:paraId="089849E0" w14:textId="5556C3EE" w:rsidR="00A10D74" w:rsidRDefault="00A10D74">
      <w:pPr>
        <w:rPr>
          <w:rFonts w:ascii="Arial" w:hAnsi="Arial" w:cs="Arial"/>
          <w:sz w:val="20"/>
          <w:szCs w:val="20"/>
        </w:rPr>
      </w:pPr>
    </w:p>
    <w:p w14:paraId="7CA76C15" w14:textId="78B3CCFB" w:rsidR="00A10D74" w:rsidRDefault="00A10D74">
      <w:pPr>
        <w:rPr>
          <w:rFonts w:ascii="Arial" w:hAnsi="Arial" w:cs="Arial"/>
          <w:sz w:val="20"/>
          <w:szCs w:val="20"/>
        </w:rPr>
      </w:pPr>
    </w:p>
    <w:p w14:paraId="24CBA263" w14:textId="217E4572" w:rsidR="005A40C1" w:rsidRDefault="005A40C1" w:rsidP="005A40C1">
      <w:pPr>
        <w:spacing w:after="200"/>
        <w:rPr>
          <w:rFonts w:ascii="Arial" w:hAnsi="Arial" w:cs="Arial"/>
          <w:sz w:val="20"/>
          <w:szCs w:val="20"/>
        </w:rPr>
      </w:pPr>
      <w:bookmarkStart w:id="0" w:name="_Hlk12892251"/>
      <w:r>
        <w:rPr>
          <w:rFonts w:ascii="Arial" w:hAnsi="Arial" w:cs="Arial"/>
          <w:sz w:val="20"/>
          <w:szCs w:val="20"/>
        </w:rPr>
        <w:t>The Compliance Question of the Week is posted on the UBA Wisdom and Compliance Communities to help Partners stay up to date on benefits compliance topics that may affect their clients. This is a recap of questions and answers f</w:t>
      </w:r>
      <w:r w:rsidR="00FE74CA">
        <w:rPr>
          <w:rFonts w:ascii="Arial" w:hAnsi="Arial" w:cs="Arial"/>
          <w:sz w:val="20"/>
          <w:szCs w:val="20"/>
        </w:rPr>
        <w:t>ro</w:t>
      </w:r>
      <w:r>
        <w:rPr>
          <w:rFonts w:ascii="Arial" w:hAnsi="Arial" w:cs="Arial"/>
          <w:sz w:val="20"/>
          <w:szCs w:val="20"/>
        </w:rPr>
        <w:t>m the past year</w:t>
      </w:r>
      <w:r w:rsidR="00FE74CA">
        <w:rPr>
          <w:rFonts w:ascii="Arial" w:hAnsi="Arial" w:cs="Arial"/>
          <w:sz w:val="20"/>
          <w:szCs w:val="20"/>
        </w:rPr>
        <w:t>, by topic</w:t>
      </w:r>
      <w:r>
        <w:rPr>
          <w:rFonts w:ascii="Arial" w:hAnsi="Arial" w:cs="Arial"/>
          <w:sz w:val="20"/>
          <w:szCs w:val="20"/>
        </w:rPr>
        <w:t>.</w:t>
      </w:r>
    </w:p>
    <w:p w14:paraId="54978204" w14:textId="15E6737A" w:rsidR="005A40C1" w:rsidRDefault="005A40C1" w:rsidP="005A40C1">
      <w:pPr>
        <w:spacing w:after="200"/>
        <w:rPr>
          <w:rFonts w:ascii="Arial" w:hAnsi="Arial" w:cs="Arial"/>
          <w:b/>
          <w:bCs/>
          <w:sz w:val="20"/>
          <w:szCs w:val="20"/>
        </w:rPr>
      </w:pPr>
      <w:r w:rsidRPr="00C04F07">
        <w:rPr>
          <w:rFonts w:ascii="Arial" w:hAnsi="Arial" w:cs="Arial"/>
          <w:b/>
          <w:bCs/>
          <w:sz w:val="20"/>
          <w:szCs w:val="20"/>
        </w:rPr>
        <w:t>Please note that this document is for Partner information only and should not be given to clients.</w:t>
      </w:r>
    </w:p>
    <w:p w14:paraId="44E8BCA7" w14:textId="77777777" w:rsidR="00A14E50" w:rsidRPr="00C04F07" w:rsidRDefault="00A14E50" w:rsidP="005A40C1">
      <w:pPr>
        <w:spacing w:after="200"/>
        <w:rPr>
          <w:rFonts w:ascii="Arial" w:hAnsi="Arial" w:cs="Arial"/>
          <w:b/>
          <w:bCs/>
          <w:sz w:val="20"/>
          <w:szCs w:val="20"/>
        </w:rPr>
      </w:pPr>
    </w:p>
    <w:bookmarkEnd w:id="0"/>
    <w:p w14:paraId="2313362C" w14:textId="078040D1" w:rsidR="005A40C1" w:rsidRPr="00FE74CA" w:rsidRDefault="00C04F07" w:rsidP="009C0059">
      <w:pPr>
        <w:tabs>
          <w:tab w:val="left" w:pos="8820"/>
        </w:tabs>
        <w:spacing w:after="200"/>
        <w:rPr>
          <w:rFonts w:ascii="Arial" w:hAnsi="Arial" w:cs="Arial"/>
          <w:b/>
          <w:bCs/>
        </w:rPr>
      </w:pPr>
      <w:r w:rsidRPr="00FE74CA">
        <w:rPr>
          <w:rFonts w:ascii="Arial" w:hAnsi="Arial" w:cs="Arial"/>
          <w:b/>
          <w:bCs/>
        </w:rPr>
        <w:t>Contents</w:t>
      </w:r>
      <w:r w:rsidR="009C0059">
        <w:rPr>
          <w:rFonts w:ascii="Arial" w:hAnsi="Arial" w:cs="Arial"/>
          <w:b/>
          <w:bCs/>
        </w:rPr>
        <w:tab/>
      </w:r>
      <w:r w:rsidR="009C0059" w:rsidRPr="009C0059">
        <w:rPr>
          <w:rFonts w:ascii="Arial" w:hAnsi="Arial" w:cs="Arial"/>
          <w:sz w:val="20"/>
          <w:szCs w:val="20"/>
        </w:rPr>
        <w:t>Page</w:t>
      </w:r>
    </w:p>
    <w:p w14:paraId="199E6F04" w14:textId="6C9F427D" w:rsidR="009C0059" w:rsidRDefault="009C0059" w:rsidP="009C0059">
      <w:pPr>
        <w:pStyle w:val="TOC2"/>
        <w:rPr>
          <w:rFonts w:asciiTheme="minorHAnsi" w:eastAsiaTheme="minorEastAsia" w:hAnsiTheme="minorHAnsi" w:cstheme="minorBidi"/>
        </w:rPr>
      </w:pPr>
      <w:r>
        <w:fldChar w:fldCharType="begin"/>
      </w:r>
      <w:r>
        <w:instrText xml:space="preserve"> TOC \o "2-2" \h \z \u </w:instrText>
      </w:r>
      <w:r>
        <w:fldChar w:fldCharType="separate"/>
      </w:r>
      <w:hyperlink w:anchor="_Toc12890532" w:history="1">
        <w:r w:rsidRPr="0051211B">
          <w:rPr>
            <w:rStyle w:val="Hyperlink"/>
          </w:rPr>
          <w:t>Cafeteria and Account-Based Plans (FSAs, HSAs, HRAs)</w:t>
        </w:r>
        <w:r>
          <w:rPr>
            <w:webHidden/>
          </w:rPr>
          <w:tab/>
        </w:r>
        <w:r>
          <w:rPr>
            <w:webHidden/>
          </w:rPr>
          <w:fldChar w:fldCharType="begin"/>
        </w:r>
        <w:r>
          <w:rPr>
            <w:webHidden/>
          </w:rPr>
          <w:instrText xml:space="preserve"> PAGEREF _Toc12890532 \h </w:instrText>
        </w:r>
        <w:r>
          <w:rPr>
            <w:webHidden/>
          </w:rPr>
        </w:r>
        <w:r>
          <w:rPr>
            <w:webHidden/>
          </w:rPr>
          <w:fldChar w:fldCharType="separate"/>
        </w:r>
        <w:r w:rsidR="008E7DB0">
          <w:rPr>
            <w:webHidden/>
          </w:rPr>
          <w:t>2</w:t>
        </w:r>
        <w:r>
          <w:rPr>
            <w:webHidden/>
          </w:rPr>
          <w:fldChar w:fldCharType="end"/>
        </w:r>
      </w:hyperlink>
    </w:p>
    <w:p w14:paraId="6E15A70B" w14:textId="2F41C8E0" w:rsidR="009C0059" w:rsidRDefault="004C14AA" w:rsidP="009C0059">
      <w:pPr>
        <w:pStyle w:val="TOC2"/>
        <w:rPr>
          <w:rFonts w:asciiTheme="minorHAnsi" w:eastAsiaTheme="minorEastAsia" w:hAnsiTheme="minorHAnsi" w:cstheme="minorBidi"/>
        </w:rPr>
      </w:pPr>
      <w:hyperlink w:anchor="_Toc12890533" w:history="1">
        <w:r w:rsidR="009C0059" w:rsidRPr="0051211B">
          <w:rPr>
            <w:rStyle w:val="Hyperlink"/>
          </w:rPr>
          <w:t>COBRA</w:t>
        </w:r>
        <w:r w:rsidR="009C0059">
          <w:rPr>
            <w:webHidden/>
          </w:rPr>
          <w:tab/>
        </w:r>
        <w:r w:rsidR="009C0059">
          <w:rPr>
            <w:webHidden/>
          </w:rPr>
          <w:fldChar w:fldCharType="begin"/>
        </w:r>
        <w:r w:rsidR="009C0059">
          <w:rPr>
            <w:webHidden/>
          </w:rPr>
          <w:instrText xml:space="preserve"> PAGEREF _Toc12890533 \h </w:instrText>
        </w:r>
        <w:r w:rsidR="009C0059">
          <w:rPr>
            <w:webHidden/>
          </w:rPr>
        </w:r>
        <w:r w:rsidR="009C0059">
          <w:rPr>
            <w:webHidden/>
          </w:rPr>
          <w:fldChar w:fldCharType="separate"/>
        </w:r>
        <w:r w:rsidR="008E7DB0">
          <w:rPr>
            <w:webHidden/>
          </w:rPr>
          <w:t>6</w:t>
        </w:r>
        <w:r w:rsidR="009C0059">
          <w:rPr>
            <w:webHidden/>
          </w:rPr>
          <w:fldChar w:fldCharType="end"/>
        </w:r>
      </w:hyperlink>
    </w:p>
    <w:p w14:paraId="4FB652D9" w14:textId="1E71C766" w:rsidR="009C0059" w:rsidRDefault="004C14AA" w:rsidP="009C0059">
      <w:pPr>
        <w:pStyle w:val="TOC2"/>
        <w:rPr>
          <w:rFonts w:asciiTheme="minorHAnsi" w:eastAsiaTheme="minorEastAsia" w:hAnsiTheme="minorHAnsi" w:cstheme="minorBidi"/>
        </w:rPr>
      </w:pPr>
      <w:hyperlink w:anchor="_Toc12890534" w:history="1">
        <w:r w:rsidR="009C0059" w:rsidRPr="0051211B">
          <w:rPr>
            <w:rStyle w:val="Hyperlink"/>
          </w:rPr>
          <w:t>ERISA</w:t>
        </w:r>
        <w:r w:rsidR="009C0059">
          <w:rPr>
            <w:webHidden/>
          </w:rPr>
          <w:tab/>
        </w:r>
        <w:r w:rsidR="009C0059">
          <w:rPr>
            <w:webHidden/>
          </w:rPr>
          <w:fldChar w:fldCharType="begin"/>
        </w:r>
        <w:r w:rsidR="009C0059">
          <w:rPr>
            <w:webHidden/>
          </w:rPr>
          <w:instrText xml:space="preserve"> PAGEREF _Toc12890534 \h </w:instrText>
        </w:r>
        <w:r w:rsidR="009C0059">
          <w:rPr>
            <w:webHidden/>
          </w:rPr>
        </w:r>
        <w:r w:rsidR="009C0059">
          <w:rPr>
            <w:webHidden/>
          </w:rPr>
          <w:fldChar w:fldCharType="separate"/>
        </w:r>
        <w:r w:rsidR="008E7DB0">
          <w:rPr>
            <w:webHidden/>
          </w:rPr>
          <w:t>9</w:t>
        </w:r>
        <w:r w:rsidR="009C0059">
          <w:rPr>
            <w:webHidden/>
          </w:rPr>
          <w:fldChar w:fldCharType="end"/>
        </w:r>
      </w:hyperlink>
    </w:p>
    <w:p w14:paraId="2095206E" w14:textId="6BA44056" w:rsidR="009C0059" w:rsidRDefault="004C14AA" w:rsidP="009C0059">
      <w:pPr>
        <w:pStyle w:val="TOC2"/>
        <w:rPr>
          <w:rFonts w:asciiTheme="minorHAnsi" w:eastAsiaTheme="minorEastAsia" w:hAnsiTheme="minorHAnsi" w:cstheme="minorBidi"/>
        </w:rPr>
      </w:pPr>
      <w:hyperlink w:anchor="_Toc12890535" w:history="1">
        <w:r w:rsidR="009C0059" w:rsidRPr="0051211B">
          <w:rPr>
            <w:rStyle w:val="Hyperlink"/>
          </w:rPr>
          <w:t>Fees &amp; Taxes</w:t>
        </w:r>
        <w:r w:rsidR="009C0059">
          <w:rPr>
            <w:webHidden/>
          </w:rPr>
          <w:tab/>
        </w:r>
        <w:r w:rsidR="009C0059">
          <w:rPr>
            <w:webHidden/>
          </w:rPr>
          <w:fldChar w:fldCharType="begin"/>
        </w:r>
        <w:r w:rsidR="009C0059">
          <w:rPr>
            <w:webHidden/>
          </w:rPr>
          <w:instrText xml:space="preserve"> PAGEREF _Toc12890535 \h </w:instrText>
        </w:r>
        <w:r w:rsidR="009C0059">
          <w:rPr>
            <w:webHidden/>
          </w:rPr>
        </w:r>
        <w:r w:rsidR="009C0059">
          <w:rPr>
            <w:webHidden/>
          </w:rPr>
          <w:fldChar w:fldCharType="separate"/>
        </w:r>
        <w:r w:rsidR="008E7DB0">
          <w:rPr>
            <w:webHidden/>
          </w:rPr>
          <w:t>12</w:t>
        </w:r>
        <w:r w:rsidR="009C0059">
          <w:rPr>
            <w:webHidden/>
          </w:rPr>
          <w:fldChar w:fldCharType="end"/>
        </w:r>
      </w:hyperlink>
    </w:p>
    <w:p w14:paraId="1409EE63" w14:textId="3D6D9E8D" w:rsidR="009C0059" w:rsidRDefault="004C14AA" w:rsidP="009C0059">
      <w:pPr>
        <w:pStyle w:val="TOC2"/>
        <w:rPr>
          <w:rFonts w:asciiTheme="minorHAnsi" w:eastAsiaTheme="minorEastAsia" w:hAnsiTheme="minorHAnsi" w:cstheme="minorBidi"/>
        </w:rPr>
      </w:pPr>
      <w:hyperlink w:anchor="_Toc12890536" w:history="1">
        <w:r w:rsidR="009C0059" w:rsidRPr="0051211B">
          <w:rPr>
            <w:rStyle w:val="Hyperlink"/>
          </w:rPr>
          <w:t>General ACA</w:t>
        </w:r>
        <w:r w:rsidR="009C0059">
          <w:rPr>
            <w:webHidden/>
          </w:rPr>
          <w:tab/>
        </w:r>
        <w:r w:rsidR="009C0059">
          <w:rPr>
            <w:webHidden/>
          </w:rPr>
          <w:fldChar w:fldCharType="begin"/>
        </w:r>
        <w:r w:rsidR="009C0059">
          <w:rPr>
            <w:webHidden/>
          </w:rPr>
          <w:instrText xml:space="preserve"> PAGEREF _Toc12890536 \h </w:instrText>
        </w:r>
        <w:r w:rsidR="009C0059">
          <w:rPr>
            <w:webHidden/>
          </w:rPr>
        </w:r>
        <w:r w:rsidR="009C0059">
          <w:rPr>
            <w:webHidden/>
          </w:rPr>
          <w:fldChar w:fldCharType="separate"/>
        </w:r>
        <w:r w:rsidR="008E7DB0">
          <w:rPr>
            <w:webHidden/>
          </w:rPr>
          <w:t>14</w:t>
        </w:r>
        <w:r w:rsidR="009C0059">
          <w:rPr>
            <w:webHidden/>
          </w:rPr>
          <w:fldChar w:fldCharType="end"/>
        </w:r>
      </w:hyperlink>
    </w:p>
    <w:p w14:paraId="5C0AF7F2" w14:textId="4052D5F6" w:rsidR="009C0059" w:rsidRDefault="004C14AA" w:rsidP="009C0059">
      <w:pPr>
        <w:pStyle w:val="TOC2"/>
        <w:rPr>
          <w:rFonts w:asciiTheme="minorHAnsi" w:eastAsiaTheme="minorEastAsia" w:hAnsiTheme="minorHAnsi" w:cstheme="minorBidi"/>
        </w:rPr>
      </w:pPr>
      <w:hyperlink w:anchor="_Toc12890537" w:history="1">
        <w:r w:rsidR="009C0059" w:rsidRPr="0051211B">
          <w:rPr>
            <w:rStyle w:val="Hyperlink"/>
          </w:rPr>
          <w:t>General Compliance</w:t>
        </w:r>
        <w:r w:rsidR="009C0059">
          <w:rPr>
            <w:webHidden/>
          </w:rPr>
          <w:tab/>
        </w:r>
        <w:r w:rsidR="009C0059">
          <w:rPr>
            <w:webHidden/>
          </w:rPr>
          <w:fldChar w:fldCharType="begin"/>
        </w:r>
        <w:r w:rsidR="009C0059">
          <w:rPr>
            <w:webHidden/>
          </w:rPr>
          <w:instrText xml:space="preserve"> PAGEREF _Toc12890537 \h </w:instrText>
        </w:r>
        <w:r w:rsidR="009C0059">
          <w:rPr>
            <w:webHidden/>
          </w:rPr>
        </w:r>
        <w:r w:rsidR="009C0059">
          <w:rPr>
            <w:webHidden/>
          </w:rPr>
          <w:fldChar w:fldCharType="separate"/>
        </w:r>
        <w:r w:rsidR="008E7DB0">
          <w:rPr>
            <w:webHidden/>
          </w:rPr>
          <w:t>20</w:t>
        </w:r>
        <w:r w:rsidR="009C0059">
          <w:rPr>
            <w:webHidden/>
          </w:rPr>
          <w:fldChar w:fldCharType="end"/>
        </w:r>
      </w:hyperlink>
    </w:p>
    <w:p w14:paraId="2BD6F0A8" w14:textId="226C741B" w:rsidR="009C0059" w:rsidRDefault="004C14AA" w:rsidP="009C0059">
      <w:pPr>
        <w:pStyle w:val="TOC2"/>
        <w:rPr>
          <w:rFonts w:asciiTheme="minorHAnsi" w:eastAsiaTheme="minorEastAsia" w:hAnsiTheme="minorHAnsi" w:cstheme="minorBidi"/>
        </w:rPr>
      </w:pPr>
      <w:hyperlink w:anchor="_Toc12890538" w:history="1">
        <w:r w:rsidR="009C0059" w:rsidRPr="0051211B">
          <w:rPr>
            <w:rStyle w:val="Hyperlink"/>
          </w:rPr>
          <w:t>HIPAA</w:t>
        </w:r>
        <w:r w:rsidR="009C0059">
          <w:rPr>
            <w:webHidden/>
          </w:rPr>
          <w:tab/>
        </w:r>
        <w:r w:rsidR="009C0059">
          <w:rPr>
            <w:webHidden/>
          </w:rPr>
          <w:fldChar w:fldCharType="begin"/>
        </w:r>
        <w:r w:rsidR="009C0059">
          <w:rPr>
            <w:webHidden/>
          </w:rPr>
          <w:instrText xml:space="preserve"> PAGEREF _Toc12890538 \h </w:instrText>
        </w:r>
        <w:r w:rsidR="009C0059">
          <w:rPr>
            <w:webHidden/>
          </w:rPr>
        </w:r>
        <w:r w:rsidR="009C0059">
          <w:rPr>
            <w:webHidden/>
          </w:rPr>
          <w:fldChar w:fldCharType="separate"/>
        </w:r>
        <w:r w:rsidR="008E7DB0">
          <w:rPr>
            <w:webHidden/>
          </w:rPr>
          <w:t>21</w:t>
        </w:r>
        <w:r w:rsidR="009C0059">
          <w:rPr>
            <w:webHidden/>
          </w:rPr>
          <w:fldChar w:fldCharType="end"/>
        </w:r>
      </w:hyperlink>
    </w:p>
    <w:p w14:paraId="6FDB2C87" w14:textId="3D9DD832" w:rsidR="009C0059" w:rsidRDefault="004C14AA" w:rsidP="009C0059">
      <w:pPr>
        <w:pStyle w:val="TOC2"/>
        <w:rPr>
          <w:rFonts w:asciiTheme="minorHAnsi" w:eastAsiaTheme="minorEastAsia" w:hAnsiTheme="minorHAnsi" w:cstheme="minorBidi"/>
        </w:rPr>
      </w:pPr>
      <w:hyperlink w:anchor="_Toc12890539" w:history="1">
        <w:r w:rsidR="009C0059" w:rsidRPr="0051211B">
          <w:rPr>
            <w:rStyle w:val="Hyperlink"/>
          </w:rPr>
          <w:t>Medical Loss Ratio</w:t>
        </w:r>
        <w:r w:rsidR="009C0059">
          <w:rPr>
            <w:webHidden/>
          </w:rPr>
          <w:tab/>
        </w:r>
        <w:r w:rsidR="009C0059">
          <w:rPr>
            <w:webHidden/>
          </w:rPr>
          <w:fldChar w:fldCharType="begin"/>
        </w:r>
        <w:r w:rsidR="009C0059">
          <w:rPr>
            <w:webHidden/>
          </w:rPr>
          <w:instrText xml:space="preserve"> PAGEREF _Toc12890539 \h </w:instrText>
        </w:r>
        <w:r w:rsidR="009C0059">
          <w:rPr>
            <w:webHidden/>
          </w:rPr>
        </w:r>
        <w:r w:rsidR="009C0059">
          <w:rPr>
            <w:webHidden/>
          </w:rPr>
          <w:fldChar w:fldCharType="separate"/>
        </w:r>
        <w:r w:rsidR="008E7DB0">
          <w:rPr>
            <w:webHidden/>
          </w:rPr>
          <w:t>23</w:t>
        </w:r>
        <w:r w:rsidR="009C0059">
          <w:rPr>
            <w:webHidden/>
          </w:rPr>
          <w:fldChar w:fldCharType="end"/>
        </w:r>
      </w:hyperlink>
    </w:p>
    <w:p w14:paraId="46482C88" w14:textId="36ED6FB0" w:rsidR="009C0059" w:rsidRDefault="004C14AA" w:rsidP="009C0059">
      <w:pPr>
        <w:pStyle w:val="TOC2"/>
        <w:rPr>
          <w:rFonts w:asciiTheme="minorHAnsi" w:eastAsiaTheme="minorEastAsia" w:hAnsiTheme="minorHAnsi" w:cstheme="minorBidi"/>
        </w:rPr>
      </w:pPr>
      <w:hyperlink w:anchor="_Toc12890540" w:history="1">
        <w:r w:rsidR="009C0059" w:rsidRPr="0051211B">
          <w:rPr>
            <w:rStyle w:val="Hyperlink"/>
          </w:rPr>
          <w:t>Medicare</w:t>
        </w:r>
        <w:r w:rsidR="009C0059">
          <w:rPr>
            <w:webHidden/>
          </w:rPr>
          <w:tab/>
        </w:r>
        <w:r w:rsidR="009C0059">
          <w:rPr>
            <w:webHidden/>
          </w:rPr>
          <w:fldChar w:fldCharType="begin"/>
        </w:r>
        <w:r w:rsidR="009C0059">
          <w:rPr>
            <w:webHidden/>
          </w:rPr>
          <w:instrText xml:space="preserve"> PAGEREF _Toc12890540 \h </w:instrText>
        </w:r>
        <w:r w:rsidR="009C0059">
          <w:rPr>
            <w:webHidden/>
          </w:rPr>
        </w:r>
        <w:r w:rsidR="009C0059">
          <w:rPr>
            <w:webHidden/>
          </w:rPr>
          <w:fldChar w:fldCharType="separate"/>
        </w:r>
        <w:r w:rsidR="008E7DB0">
          <w:rPr>
            <w:webHidden/>
          </w:rPr>
          <w:t>25</w:t>
        </w:r>
        <w:r w:rsidR="009C0059">
          <w:rPr>
            <w:webHidden/>
          </w:rPr>
          <w:fldChar w:fldCharType="end"/>
        </w:r>
      </w:hyperlink>
    </w:p>
    <w:p w14:paraId="59E1300D" w14:textId="4DED83A9" w:rsidR="009C0059" w:rsidRDefault="004C14AA" w:rsidP="009C0059">
      <w:pPr>
        <w:pStyle w:val="TOC2"/>
        <w:rPr>
          <w:rFonts w:asciiTheme="minorHAnsi" w:eastAsiaTheme="minorEastAsia" w:hAnsiTheme="minorHAnsi" w:cstheme="minorBidi"/>
        </w:rPr>
      </w:pPr>
      <w:hyperlink w:anchor="_Toc12890541" w:history="1">
        <w:r w:rsidR="009C0059" w:rsidRPr="0051211B">
          <w:rPr>
            <w:rStyle w:val="Hyperlink"/>
          </w:rPr>
          <w:t>Nondiscrimination</w:t>
        </w:r>
        <w:r w:rsidR="009C0059">
          <w:rPr>
            <w:webHidden/>
          </w:rPr>
          <w:tab/>
        </w:r>
        <w:r w:rsidR="009C0059">
          <w:rPr>
            <w:webHidden/>
          </w:rPr>
          <w:fldChar w:fldCharType="begin"/>
        </w:r>
        <w:r w:rsidR="009C0059">
          <w:rPr>
            <w:webHidden/>
          </w:rPr>
          <w:instrText xml:space="preserve"> PAGEREF _Toc12890541 \h </w:instrText>
        </w:r>
        <w:r w:rsidR="009C0059">
          <w:rPr>
            <w:webHidden/>
          </w:rPr>
        </w:r>
        <w:r w:rsidR="009C0059">
          <w:rPr>
            <w:webHidden/>
          </w:rPr>
          <w:fldChar w:fldCharType="separate"/>
        </w:r>
        <w:r w:rsidR="008E7DB0">
          <w:rPr>
            <w:webHidden/>
          </w:rPr>
          <w:t>27</w:t>
        </w:r>
        <w:r w:rsidR="009C0059">
          <w:rPr>
            <w:webHidden/>
          </w:rPr>
          <w:fldChar w:fldCharType="end"/>
        </w:r>
      </w:hyperlink>
    </w:p>
    <w:p w14:paraId="2EFD49FA" w14:textId="570AF0AA" w:rsidR="009C0059" w:rsidRDefault="004C14AA" w:rsidP="009C0059">
      <w:pPr>
        <w:pStyle w:val="TOC2"/>
        <w:rPr>
          <w:rFonts w:asciiTheme="minorHAnsi" w:eastAsiaTheme="minorEastAsia" w:hAnsiTheme="minorHAnsi" w:cstheme="minorBidi"/>
        </w:rPr>
      </w:pPr>
      <w:hyperlink w:anchor="_Toc12890542" w:history="1">
        <w:r w:rsidR="009C0059" w:rsidRPr="0051211B">
          <w:rPr>
            <w:rStyle w:val="Hyperlink"/>
          </w:rPr>
          <w:t>Play or Pay and Reporting</w:t>
        </w:r>
        <w:r w:rsidR="009C0059">
          <w:rPr>
            <w:webHidden/>
          </w:rPr>
          <w:tab/>
        </w:r>
        <w:r w:rsidR="009C0059">
          <w:rPr>
            <w:webHidden/>
          </w:rPr>
          <w:fldChar w:fldCharType="begin"/>
        </w:r>
        <w:r w:rsidR="009C0059">
          <w:rPr>
            <w:webHidden/>
          </w:rPr>
          <w:instrText xml:space="preserve"> PAGEREF _Toc12890542 \h </w:instrText>
        </w:r>
        <w:r w:rsidR="009C0059">
          <w:rPr>
            <w:webHidden/>
          </w:rPr>
        </w:r>
        <w:r w:rsidR="009C0059">
          <w:rPr>
            <w:webHidden/>
          </w:rPr>
          <w:fldChar w:fldCharType="separate"/>
        </w:r>
        <w:r w:rsidR="008E7DB0">
          <w:rPr>
            <w:webHidden/>
          </w:rPr>
          <w:t>28</w:t>
        </w:r>
        <w:r w:rsidR="009C0059">
          <w:rPr>
            <w:webHidden/>
          </w:rPr>
          <w:fldChar w:fldCharType="end"/>
        </w:r>
      </w:hyperlink>
    </w:p>
    <w:p w14:paraId="460BBAD6" w14:textId="5AFF5F67" w:rsidR="009C0059" w:rsidRDefault="004C14AA" w:rsidP="009C0059">
      <w:pPr>
        <w:pStyle w:val="TOC2"/>
        <w:rPr>
          <w:rFonts w:asciiTheme="minorHAnsi" w:eastAsiaTheme="minorEastAsia" w:hAnsiTheme="minorHAnsi" w:cstheme="minorBidi"/>
        </w:rPr>
      </w:pPr>
      <w:hyperlink w:anchor="_Toc12890543" w:history="1">
        <w:r w:rsidR="009C0059" w:rsidRPr="0051211B">
          <w:rPr>
            <w:rStyle w:val="Hyperlink"/>
          </w:rPr>
          <w:t>Wellness</w:t>
        </w:r>
        <w:r w:rsidR="009C0059">
          <w:rPr>
            <w:webHidden/>
          </w:rPr>
          <w:tab/>
        </w:r>
        <w:r w:rsidR="009C0059">
          <w:rPr>
            <w:webHidden/>
          </w:rPr>
          <w:fldChar w:fldCharType="begin"/>
        </w:r>
        <w:r w:rsidR="009C0059">
          <w:rPr>
            <w:webHidden/>
          </w:rPr>
          <w:instrText xml:space="preserve"> PAGEREF _Toc12890543 \h </w:instrText>
        </w:r>
        <w:r w:rsidR="009C0059">
          <w:rPr>
            <w:webHidden/>
          </w:rPr>
        </w:r>
        <w:r w:rsidR="009C0059">
          <w:rPr>
            <w:webHidden/>
          </w:rPr>
          <w:fldChar w:fldCharType="separate"/>
        </w:r>
        <w:r w:rsidR="008E7DB0">
          <w:rPr>
            <w:webHidden/>
          </w:rPr>
          <w:t>32</w:t>
        </w:r>
        <w:r w:rsidR="009C0059">
          <w:rPr>
            <w:webHidden/>
          </w:rPr>
          <w:fldChar w:fldCharType="end"/>
        </w:r>
      </w:hyperlink>
    </w:p>
    <w:p w14:paraId="4ABCAE3C" w14:textId="60DCAB6A" w:rsidR="00C04F07" w:rsidRDefault="009C0059">
      <w:pPr>
        <w:rPr>
          <w:rFonts w:ascii="Arial" w:hAnsi="Arial" w:cs="Arial"/>
          <w:sz w:val="20"/>
          <w:szCs w:val="20"/>
        </w:rPr>
      </w:pPr>
      <w:r>
        <w:rPr>
          <w:rFonts w:ascii="Arial" w:hAnsi="Arial" w:cs="Arial"/>
          <w:sz w:val="20"/>
          <w:szCs w:val="20"/>
        </w:rPr>
        <w:fldChar w:fldCharType="end"/>
      </w:r>
    </w:p>
    <w:p w14:paraId="42F065A5" w14:textId="77777777" w:rsidR="00FE74CA" w:rsidRDefault="00FE74CA">
      <w:bookmarkStart w:id="1" w:name="_Hlk12889423"/>
      <w:r>
        <w:rPr>
          <w:b/>
          <w:i/>
        </w:rPr>
        <w:br w:type="page"/>
      </w:r>
    </w:p>
    <w:tbl>
      <w:tblPr>
        <w:tblW w:w="9360" w:type="dxa"/>
        <w:shd w:val="clear" w:color="auto" w:fill="001BBA"/>
        <w:tblCellMar>
          <w:top w:w="86" w:type="dxa"/>
          <w:left w:w="115" w:type="dxa"/>
          <w:bottom w:w="86" w:type="dxa"/>
          <w:right w:w="115" w:type="dxa"/>
        </w:tblCellMar>
        <w:tblLook w:val="01E0" w:firstRow="1" w:lastRow="1" w:firstColumn="1" w:lastColumn="1" w:noHBand="0" w:noVBand="0"/>
      </w:tblPr>
      <w:tblGrid>
        <w:gridCol w:w="9360"/>
      </w:tblGrid>
      <w:tr w:rsidR="00C04F07" w:rsidRPr="00C04F07" w14:paraId="59C09C05" w14:textId="77777777" w:rsidTr="00FE74CA">
        <w:trPr>
          <w:trHeight w:val="144"/>
        </w:trPr>
        <w:tc>
          <w:tcPr>
            <w:tcW w:w="9360" w:type="dxa"/>
            <w:shd w:val="clear" w:color="auto" w:fill="001BBA"/>
            <w:vAlign w:val="center"/>
          </w:tcPr>
          <w:p w14:paraId="450130F9" w14:textId="3B36DE06" w:rsidR="00C04F07" w:rsidRPr="00C04F07" w:rsidRDefault="00C04F07" w:rsidP="00FE74CA">
            <w:pPr>
              <w:pStyle w:val="Heading2"/>
              <w:rPr>
                <w:i w:val="0"/>
                <w:iCs/>
                <w:color w:val="auto"/>
              </w:rPr>
            </w:pPr>
            <w:bookmarkStart w:id="2" w:name="_Toc12890035"/>
            <w:bookmarkStart w:id="3" w:name="_Toc12890151"/>
            <w:bookmarkStart w:id="4" w:name="_Toc12890532"/>
            <w:r w:rsidRPr="00C04F07">
              <w:rPr>
                <w:i w:val="0"/>
                <w:iCs/>
                <w:color w:val="auto"/>
                <w:szCs w:val="22"/>
              </w:rPr>
              <w:lastRenderedPageBreak/>
              <w:t>Cafeteria and Account-Based Plans (FSAs, HSAs, HRAs)</w:t>
            </w:r>
            <w:bookmarkEnd w:id="2"/>
            <w:bookmarkEnd w:id="3"/>
            <w:bookmarkEnd w:id="4"/>
          </w:p>
        </w:tc>
      </w:tr>
      <w:bookmarkEnd w:id="1"/>
    </w:tbl>
    <w:p w14:paraId="77996F8A" w14:textId="3F6AE42C" w:rsidR="00C04F07" w:rsidRDefault="00C04F07">
      <w:pPr>
        <w:rPr>
          <w:rFonts w:ascii="Arial" w:hAnsi="Arial" w:cs="Arial"/>
          <w:sz w:val="20"/>
          <w:szCs w:val="20"/>
        </w:rPr>
      </w:pPr>
    </w:p>
    <w:p w14:paraId="2D72D844" w14:textId="366EF0CA" w:rsidR="00A703EE" w:rsidRPr="00C04F07" w:rsidRDefault="00A703EE" w:rsidP="004C6CEA">
      <w:pPr>
        <w:spacing w:after="200"/>
        <w:rPr>
          <w:rFonts w:ascii="Arial" w:hAnsi="Arial" w:cs="Arial"/>
          <w:sz w:val="20"/>
          <w:szCs w:val="20"/>
        </w:rPr>
      </w:pPr>
      <w:r w:rsidRPr="009C0059">
        <w:rPr>
          <w:rFonts w:ascii="Arial" w:hAnsi="Arial" w:cs="Arial"/>
          <w:b/>
          <w:bCs/>
          <w:color w:val="001BBA"/>
          <w:sz w:val="22"/>
          <w:szCs w:val="22"/>
        </w:rPr>
        <w:t>Question:</w:t>
      </w:r>
      <w:r w:rsidRPr="00C04F07">
        <w:rPr>
          <w:rFonts w:ascii="Arial" w:hAnsi="Arial" w:cs="Arial"/>
          <w:b/>
          <w:bCs/>
          <w:sz w:val="20"/>
          <w:szCs w:val="20"/>
        </w:rPr>
        <w:t xml:space="preserve"> </w:t>
      </w:r>
      <w:r w:rsidRPr="00C04F07">
        <w:rPr>
          <w:rFonts w:ascii="Arial" w:hAnsi="Arial" w:cs="Arial"/>
          <w:sz w:val="20"/>
          <w:szCs w:val="20"/>
        </w:rPr>
        <w:t xml:space="preserve">Under the new </w:t>
      </w:r>
      <w:r w:rsidR="00747401" w:rsidRPr="00C04F07">
        <w:rPr>
          <w:rFonts w:ascii="Arial" w:hAnsi="Arial" w:cs="Arial"/>
          <w:sz w:val="20"/>
          <w:szCs w:val="20"/>
        </w:rPr>
        <w:t>health reimbursement arrangement (</w:t>
      </w:r>
      <w:r w:rsidRPr="00C04F07">
        <w:rPr>
          <w:rFonts w:ascii="Arial" w:hAnsi="Arial" w:cs="Arial"/>
          <w:sz w:val="20"/>
          <w:szCs w:val="20"/>
        </w:rPr>
        <w:t>HRA</w:t>
      </w:r>
      <w:r w:rsidR="00747401" w:rsidRPr="00C04F07">
        <w:rPr>
          <w:rFonts w:ascii="Arial" w:hAnsi="Arial" w:cs="Arial"/>
          <w:sz w:val="20"/>
          <w:szCs w:val="20"/>
        </w:rPr>
        <w:t>)</w:t>
      </w:r>
      <w:r w:rsidRPr="00C04F07">
        <w:rPr>
          <w:rFonts w:ascii="Arial" w:hAnsi="Arial" w:cs="Arial"/>
          <w:sz w:val="20"/>
          <w:szCs w:val="20"/>
        </w:rPr>
        <w:t xml:space="preserve"> final rules, what types of HRAs can an employer offer? When can an employer start offering these new HRAs?</w:t>
      </w:r>
    </w:p>
    <w:p w14:paraId="7BBD2167" w14:textId="77777777" w:rsidR="00A703EE" w:rsidRDefault="00A703EE" w:rsidP="004C6CEA">
      <w:pPr>
        <w:spacing w:after="200"/>
        <w:rPr>
          <w:rFonts w:ascii="Arial" w:hAnsi="Arial" w:cs="Arial"/>
          <w:color w:val="000000"/>
          <w:sz w:val="20"/>
          <w:szCs w:val="20"/>
        </w:rPr>
      </w:pPr>
      <w:r w:rsidRPr="009D1AD4">
        <w:rPr>
          <w:rFonts w:ascii="Arial" w:hAnsi="Arial" w:cs="Arial"/>
          <w:b/>
          <w:bCs/>
          <w:color w:val="000000"/>
          <w:sz w:val="20"/>
          <w:szCs w:val="20"/>
        </w:rPr>
        <w:t>Answer:</w:t>
      </w:r>
      <w:r w:rsidRPr="009D1AD4">
        <w:rPr>
          <w:rFonts w:ascii="Arial" w:hAnsi="Arial" w:cs="Arial"/>
          <w:color w:val="000000"/>
          <w:sz w:val="20"/>
          <w:szCs w:val="20"/>
        </w:rPr>
        <w:t xml:space="preserve"> Under the final rules, employers can start offering individual coverage HRAs and excepted benefit HRAs starting on January 1, 2020.</w:t>
      </w:r>
    </w:p>
    <w:p w14:paraId="127BDC35" w14:textId="77777777" w:rsidR="00A703EE" w:rsidRPr="009D1AD4" w:rsidRDefault="00A703EE" w:rsidP="004C6CEA">
      <w:pPr>
        <w:spacing w:after="200"/>
        <w:rPr>
          <w:rFonts w:ascii="Arial" w:hAnsi="Arial" w:cs="Arial"/>
          <w:color w:val="000000"/>
          <w:sz w:val="20"/>
          <w:szCs w:val="20"/>
        </w:rPr>
      </w:pPr>
      <w:r w:rsidRPr="009D1AD4">
        <w:rPr>
          <w:rFonts w:ascii="Arial" w:hAnsi="Arial" w:cs="Arial"/>
          <w:color w:val="000000"/>
          <w:sz w:val="20"/>
          <w:szCs w:val="20"/>
        </w:rPr>
        <w:t xml:space="preserve">The Department of the Treasury (Treasury), Department of Labor (DOL), and Department of Health and Human Services (HHS) (collectively, the Departments) released their </w:t>
      </w:r>
      <w:hyperlink r:id="rId9" w:history="1">
        <w:r w:rsidRPr="00A10D74">
          <w:rPr>
            <w:rStyle w:val="Hyperlink"/>
          </w:rPr>
          <w:t>final rules</w:t>
        </w:r>
      </w:hyperlink>
      <w:r w:rsidRPr="009D1AD4">
        <w:rPr>
          <w:rFonts w:ascii="Arial" w:hAnsi="Arial" w:cs="Arial"/>
          <w:color w:val="000000"/>
          <w:sz w:val="20"/>
          <w:szCs w:val="20"/>
        </w:rPr>
        <w:t xml:space="preserve"> regarding health reimbursement arrangements (HRAs) and other account-based group health plans. The DOL also issued a </w:t>
      </w:r>
      <w:hyperlink r:id="rId10" w:history="1">
        <w:r w:rsidRPr="009D1AD4">
          <w:rPr>
            <w:rStyle w:val="Hyperlink"/>
          </w:rPr>
          <w:t>news release</w:t>
        </w:r>
      </w:hyperlink>
      <w:r w:rsidRPr="009D1AD4">
        <w:rPr>
          <w:rFonts w:ascii="Arial" w:hAnsi="Arial" w:cs="Arial"/>
          <w:color w:val="000000"/>
          <w:sz w:val="20"/>
          <w:szCs w:val="20"/>
        </w:rPr>
        <w:t xml:space="preserve">, </w:t>
      </w:r>
      <w:hyperlink r:id="rId11" w:history="1">
        <w:r w:rsidRPr="009D1AD4">
          <w:rPr>
            <w:rStyle w:val="Hyperlink"/>
          </w:rPr>
          <w:t>frequently asked questions</w:t>
        </w:r>
      </w:hyperlink>
      <w:r w:rsidRPr="009D1AD4">
        <w:rPr>
          <w:rFonts w:ascii="Arial" w:hAnsi="Arial" w:cs="Arial"/>
          <w:color w:val="000000"/>
          <w:sz w:val="20"/>
          <w:szCs w:val="20"/>
        </w:rPr>
        <w:t xml:space="preserve">, </w:t>
      </w:r>
      <w:hyperlink r:id="rId12" w:history="1">
        <w:r w:rsidRPr="009D1AD4">
          <w:rPr>
            <w:rStyle w:val="Hyperlink"/>
          </w:rPr>
          <w:t>model notice</w:t>
        </w:r>
      </w:hyperlink>
      <w:r w:rsidRPr="009D1AD4">
        <w:rPr>
          <w:rFonts w:ascii="Arial" w:hAnsi="Arial" w:cs="Arial"/>
          <w:color w:val="000000"/>
          <w:sz w:val="20"/>
          <w:szCs w:val="20"/>
        </w:rPr>
        <w:t xml:space="preserve">, and </w:t>
      </w:r>
      <w:hyperlink r:id="rId13" w:history="1">
        <w:r w:rsidRPr="009D1AD4">
          <w:rPr>
            <w:rStyle w:val="Hyperlink"/>
          </w:rPr>
          <w:t>model attestations</w:t>
        </w:r>
      </w:hyperlink>
      <w:r w:rsidRPr="009D1AD4">
        <w:rPr>
          <w:rFonts w:ascii="Arial" w:hAnsi="Arial" w:cs="Arial"/>
          <w:color w:val="000000"/>
          <w:sz w:val="20"/>
          <w:szCs w:val="20"/>
        </w:rPr>
        <w:t>.</w:t>
      </w:r>
    </w:p>
    <w:p w14:paraId="1BF6B8BC" w14:textId="77777777" w:rsidR="00A703EE" w:rsidRPr="009D1AD4" w:rsidRDefault="00A703EE" w:rsidP="004C6CEA">
      <w:pPr>
        <w:spacing w:after="200"/>
        <w:rPr>
          <w:rFonts w:ascii="Arial" w:hAnsi="Arial" w:cs="Arial"/>
          <w:color w:val="000000"/>
          <w:sz w:val="20"/>
          <w:szCs w:val="20"/>
        </w:rPr>
      </w:pPr>
      <w:r w:rsidRPr="009D1AD4">
        <w:rPr>
          <w:rFonts w:ascii="Arial" w:hAnsi="Arial" w:cs="Arial"/>
          <w:color w:val="000000"/>
          <w:sz w:val="20"/>
          <w:szCs w:val="20"/>
        </w:rPr>
        <w:t>The final rules’ goal is to expand the flexibility and use of HRAs to provide individuals with additional options to obtain quality, affordable healthcare. According to the Departments, these changes will facilitate a more efficient healthcare system by increasing employees’ consumer choice and promoting healthcare market competition by adding employer options.</w:t>
      </w:r>
    </w:p>
    <w:p w14:paraId="70522E91" w14:textId="77777777" w:rsidR="00A703EE" w:rsidRPr="009D1AD4" w:rsidRDefault="00A703EE" w:rsidP="004C6CEA">
      <w:pPr>
        <w:spacing w:after="200"/>
        <w:rPr>
          <w:rFonts w:ascii="Arial" w:hAnsi="Arial" w:cs="Arial"/>
          <w:color w:val="000000"/>
          <w:sz w:val="20"/>
          <w:szCs w:val="20"/>
        </w:rPr>
      </w:pPr>
      <w:r w:rsidRPr="009D1AD4">
        <w:rPr>
          <w:rFonts w:ascii="Arial" w:hAnsi="Arial" w:cs="Arial"/>
          <w:color w:val="000000"/>
          <w:sz w:val="20"/>
          <w:szCs w:val="20"/>
        </w:rPr>
        <w:t>To do so, the final rules expand the use of HRAs by:</w:t>
      </w:r>
    </w:p>
    <w:p w14:paraId="4D545484" w14:textId="77777777" w:rsidR="00A703EE" w:rsidRPr="009D1AD4" w:rsidRDefault="00A703EE" w:rsidP="00004129">
      <w:pPr>
        <w:numPr>
          <w:ilvl w:val="0"/>
          <w:numId w:val="22"/>
        </w:numPr>
        <w:spacing w:after="120"/>
        <w:rPr>
          <w:rFonts w:ascii="Arial" w:hAnsi="Arial" w:cs="Arial"/>
          <w:color w:val="000000"/>
          <w:sz w:val="20"/>
          <w:szCs w:val="20"/>
        </w:rPr>
      </w:pPr>
      <w:r w:rsidRPr="009D1AD4">
        <w:rPr>
          <w:rFonts w:ascii="Arial" w:hAnsi="Arial" w:cs="Arial"/>
          <w:color w:val="000000"/>
          <w:sz w:val="20"/>
          <w:szCs w:val="20"/>
        </w:rPr>
        <w:t>Removing the prohibition against integrating an HRA with individual health insurance coverage (individual coverage HRA)</w:t>
      </w:r>
    </w:p>
    <w:p w14:paraId="373B2C03" w14:textId="77777777" w:rsidR="00A703EE" w:rsidRPr="009D1AD4" w:rsidRDefault="00A703EE" w:rsidP="00004129">
      <w:pPr>
        <w:numPr>
          <w:ilvl w:val="0"/>
          <w:numId w:val="22"/>
        </w:numPr>
        <w:spacing w:after="120"/>
        <w:rPr>
          <w:rFonts w:ascii="Arial" w:hAnsi="Arial" w:cs="Arial"/>
          <w:color w:val="000000"/>
          <w:sz w:val="20"/>
          <w:szCs w:val="20"/>
        </w:rPr>
      </w:pPr>
      <w:r w:rsidRPr="009D1AD4">
        <w:rPr>
          <w:rFonts w:ascii="Arial" w:hAnsi="Arial" w:cs="Arial"/>
          <w:color w:val="000000"/>
          <w:sz w:val="20"/>
          <w:szCs w:val="20"/>
        </w:rPr>
        <w:t>Expanding the definition of limited excepted benefits to recognize certain HRAs as limited excepted benefits if certain conditions are met (excepted benefit HRA)</w:t>
      </w:r>
    </w:p>
    <w:p w14:paraId="741443AE" w14:textId="77777777" w:rsidR="00A703EE" w:rsidRPr="009D1AD4" w:rsidRDefault="00A703EE" w:rsidP="00004129">
      <w:pPr>
        <w:numPr>
          <w:ilvl w:val="0"/>
          <w:numId w:val="22"/>
        </w:numPr>
        <w:spacing w:after="120"/>
        <w:rPr>
          <w:rFonts w:ascii="Arial" w:hAnsi="Arial" w:cs="Arial"/>
          <w:color w:val="000000"/>
          <w:sz w:val="20"/>
          <w:szCs w:val="20"/>
        </w:rPr>
      </w:pPr>
      <w:r w:rsidRPr="009D1AD4">
        <w:rPr>
          <w:rFonts w:ascii="Arial" w:hAnsi="Arial" w:cs="Arial"/>
          <w:color w:val="000000"/>
          <w:sz w:val="20"/>
          <w:szCs w:val="20"/>
        </w:rPr>
        <w:t>Providing premium tax credit (PTC) eligibility rules for people who are offered an HRA integrated with individual coverage</w:t>
      </w:r>
    </w:p>
    <w:p w14:paraId="48756D2F" w14:textId="77777777" w:rsidR="00A703EE" w:rsidRPr="009D1AD4" w:rsidRDefault="00A703EE" w:rsidP="00004129">
      <w:pPr>
        <w:numPr>
          <w:ilvl w:val="0"/>
          <w:numId w:val="22"/>
        </w:numPr>
        <w:spacing w:after="120"/>
        <w:rPr>
          <w:rFonts w:ascii="Arial" w:hAnsi="Arial" w:cs="Arial"/>
          <w:color w:val="000000"/>
          <w:sz w:val="20"/>
          <w:szCs w:val="20"/>
        </w:rPr>
      </w:pPr>
      <w:r w:rsidRPr="009D1AD4">
        <w:rPr>
          <w:rFonts w:ascii="Arial" w:hAnsi="Arial" w:cs="Arial"/>
          <w:color w:val="000000"/>
          <w:sz w:val="20"/>
          <w:szCs w:val="20"/>
        </w:rPr>
        <w:t>Assuring HRA and Qualified Small Employer Health Reimbursement Arrangement (QSEHRA) plan sponsors that reimbursement of individual coverage by the HRA or QSEHRA does not become part of an ERISA plan when certain conditions are met</w:t>
      </w:r>
    </w:p>
    <w:p w14:paraId="5BEA9165" w14:textId="77777777" w:rsidR="00A703EE" w:rsidRPr="009D1AD4" w:rsidRDefault="00A703EE" w:rsidP="004C6CEA">
      <w:pPr>
        <w:numPr>
          <w:ilvl w:val="0"/>
          <w:numId w:val="22"/>
        </w:numPr>
        <w:spacing w:after="200"/>
        <w:rPr>
          <w:rFonts w:ascii="Arial" w:hAnsi="Arial" w:cs="Arial"/>
          <w:color w:val="000000"/>
          <w:sz w:val="20"/>
          <w:szCs w:val="20"/>
        </w:rPr>
      </w:pPr>
      <w:r w:rsidRPr="009D1AD4">
        <w:rPr>
          <w:rFonts w:ascii="Arial" w:hAnsi="Arial" w:cs="Arial"/>
          <w:color w:val="000000"/>
          <w:sz w:val="20"/>
          <w:szCs w:val="20"/>
        </w:rPr>
        <w:t>Changing individual market special enrollment periods for individuals who gain access to HRAs integrated with individual coverage or who are provided QSEHRAs</w:t>
      </w:r>
    </w:p>
    <w:p w14:paraId="2300B72D" w14:textId="77777777" w:rsidR="00A703EE" w:rsidRDefault="00A703EE" w:rsidP="004C6CEA">
      <w:pPr>
        <w:spacing w:after="200"/>
        <w:rPr>
          <w:rFonts w:ascii="Arial" w:hAnsi="Arial" w:cs="Arial"/>
          <w:color w:val="000000"/>
          <w:sz w:val="20"/>
          <w:szCs w:val="20"/>
        </w:rPr>
      </w:pPr>
      <w:r w:rsidRPr="009D1AD4">
        <w:rPr>
          <w:rFonts w:ascii="Arial" w:hAnsi="Arial" w:cs="Arial"/>
          <w:color w:val="000000"/>
          <w:sz w:val="20"/>
          <w:szCs w:val="20"/>
        </w:rPr>
        <w:t>The final rules will be published in the Federal Register on June 20, 2019, be effective on August 19, 2019, and generally apply for plan years beginning on or after January 1, 2020.</w:t>
      </w:r>
    </w:p>
    <w:p w14:paraId="6108FCAD" w14:textId="207A29EC" w:rsidR="00A703EE" w:rsidRPr="009D1AD4" w:rsidRDefault="00A14E50" w:rsidP="004C6CEA">
      <w:pPr>
        <w:spacing w:after="200"/>
        <w:rPr>
          <w:rFonts w:ascii="Arial" w:hAnsi="Arial" w:cs="Arial"/>
          <w:color w:val="000000"/>
          <w:sz w:val="20"/>
          <w:szCs w:val="20"/>
        </w:rPr>
      </w:pPr>
      <w:r>
        <w:rPr>
          <w:rFonts w:ascii="Arial" w:hAnsi="Arial" w:cs="Arial"/>
          <w:color w:val="000000"/>
          <w:sz w:val="20"/>
          <w:szCs w:val="20"/>
        </w:rPr>
        <w:t>Ou</w:t>
      </w:r>
      <w:r w:rsidR="00A703EE" w:rsidRPr="009D1AD4">
        <w:rPr>
          <w:rFonts w:ascii="Arial" w:hAnsi="Arial" w:cs="Arial"/>
          <w:color w:val="000000"/>
          <w:sz w:val="20"/>
          <w:szCs w:val="20"/>
        </w:rPr>
        <w:t>r UBA Advisor “</w:t>
      </w:r>
      <w:hyperlink r:id="rId14" w:history="1">
        <w:r w:rsidR="00A703EE" w:rsidRPr="00747401">
          <w:rPr>
            <w:rStyle w:val="Hyperlink"/>
          </w:rPr>
          <w:t>Tri-Agency Final Rules on Health Reimbursement Arrangements</w:t>
        </w:r>
      </w:hyperlink>
      <w:r w:rsidR="00A703EE" w:rsidRPr="009D1AD4">
        <w:rPr>
          <w:rFonts w:ascii="Arial" w:hAnsi="Arial" w:cs="Arial"/>
          <w:color w:val="000000"/>
          <w:sz w:val="20"/>
          <w:szCs w:val="20"/>
        </w:rPr>
        <w:t>”</w:t>
      </w:r>
      <w:r>
        <w:rPr>
          <w:rFonts w:ascii="Arial" w:hAnsi="Arial" w:cs="Arial"/>
          <w:color w:val="000000"/>
          <w:sz w:val="20"/>
          <w:szCs w:val="20"/>
        </w:rPr>
        <w:t xml:space="preserve"> provides reviews the final rules in more detail.</w:t>
      </w:r>
    </w:p>
    <w:p w14:paraId="1CABBF1D" w14:textId="239FCAFB" w:rsidR="00A703EE" w:rsidRDefault="00A703EE" w:rsidP="004C6CEA">
      <w:pPr>
        <w:spacing w:after="200"/>
        <w:rPr>
          <w:rFonts w:ascii="Arial" w:hAnsi="Arial" w:cs="Arial"/>
          <w:sz w:val="20"/>
          <w:szCs w:val="20"/>
        </w:rPr>
      </w:pPr>
    </w:p>
    <w:p w14:paraId="24E6B0A2" w14:textId="77777777" w:rsidR="00004129" w:rsidRDefault="00004129" w:rsidP="00004129">
      <w:pPr>
        <w:pStyle w:val="ListParagraph"/>
        <w:spacing w:after="200"/>
        <w:ind w:left="0"/>
        <w:contextualSpacing w:val="0"/>
        <w:rPr>
          <w:rFonts w:ascii="Arial" w:hAnsi="Arial" w:cs="Arial"/>
          <w:color w:val="000000"/>
          <w:sz w:val="20"/>
          <w:szCs w:val="20"/>
        </w:rPr>
      </w:pPr>
      <w:r w:rsidRPr="00C5063D">
        <w:rPr>
          <w:rFonts w:ascii="Arial" w:eastAsia="Times New Roman" w:hAnsi="Arial" w:cs="Arial"/>
          <w:b/>
          <w:bCs/>
          <w:color w:val="001BBA"/>
          <w:sz w:val="22"/>
          <w:szCs w:val="22"/>
        </w:rPr>
        <w:t>Question:</w:t>
      </w:r>
      <w:r>
        <w:rPr>
          <w:rFonts w:ascii="Arial" w:hAnsi="Arial" w:cs="Arial"/>
          <w:color w:val="000000"/>
          <w:sz w:val="20"/>
          <w:szCs w:val="20"/>
        </w:rPr>
        <w:t xml:space="preserve"> </w:t>
      </w:r>
      <w:r w:rsidRPr="009D1AD4">
        <w:rPr>
          <w:rFonts w:ascii="Arial" w:hAnsi="Arial" w:cs="Arial"/>
          <w:color w:val="000000"/>
          <w:sz w:val="20"/>
          <w:szCs w:val="20"/>
        </w:rPr>
        <w:t xml:space="preserve">We have an employer that offers </w:t>
      </w:r>
      <w:r>
        <w:rPr>
          <w:rFonts w:ascii="Arial" w:hAnsi="Arial" w:cs="Arial"/>
          <w:color w:val="000000"/>
          <w:sz w:val="20"/>
          <w:szCs w:val="20"/>
        </w:rPr>
        <w:t>health savings accounts (</w:t>
      </w:r>
      <w:r w:rsidRPr="009D1AD4">
        <w:rPr>
          <w:rFonts w:ascii="Arial" w:hAnsi="Arial" w:cs="Arial"/>
          <w:color w:val="000000"/>
          <w:sz w:val="20"/>
          <w:szCs w:val="20"/>
        </w:rPr>
        <w:t>HSAs</w:t>
      </w:r>
      <w:r>
        <w:rPr>
          <w:rFonts w:ascii="Arial" w:hAnsi="Arial" w:cs="Arial"/>
          <w:color w:val="000000"/>
          <w:sz w:val="20"/>
          <w:szCs w:val="20"/>
        </w:rPr>
        <w:t>)</w:t>
      </w:r>
      <w:r w:rsidRPr="009D1AD4">
        <w:rPr>
          <w:rFonts w:ascii="Arial" w:hAnsi="Arial" w:cs="Arial"/>
          <w:color w:val="000000"/>
          <w:sz w:val="20"/>
          <w:szCs w:val="20"/>
        </w:rPr>
        <w:t xml:space="preserve"> to its employees. The employer’s contributions and employees’ contributions are run through a cafeteria plan. For those employees who elected to make contributions to their HSAs, the employer has been making deductions from their paychecks. Some of these employees have not opened an HSA, despite the employer’s repeated efforts to get them to open an HSA. What should the employer do?</w:t>
      </w:r>
    </w:p>
    <w:p w14:paraId="4112F6B1" w14:textId="77777777" w:rsidR="00004129" w:rsidRPr="009D1AD4" w:rsidRDefault="00004129" w:rsidP="00004129">
      <w:pPr>
        <w:pStyle w:val="ListParagraph"/>
        <w:spacing w:after="200"/>
        <w:ind w:left="0"/>
        <w:contextualSpacing w:val="0"/>
        <w:rPr>
          <w:rFonts w:ascii="Arial" w:hAnsi="Arial" w:cs="Arial"/>
          <w:b/>
          <w:bCs/>
          <w:color w:val="000000"/>
          <w:sz w:val="20"/>
          <w:szCs w:val="20"/>
        </w:rPr>
      </w:pPr>
      <w:r w:rsidRPr="009D1AD4">
        <w:rPr>
          <w:rFonts w:ascii="Arial" w:hAnsi="Arial" w:cs="Arial"/>
          <w:b/>
          <w:bCs/>
          <w:color w:val="000000"/>
          <w:sz w:val="20"/>
          <w:szCs w:val="20"/>
        </w:rPr>
        <w:t xml:space="preserve">Answer: </w:t>
      </w:r>
      <w:r w:rsidRPr="009D1AD4">
        <w:rPr>
          <w:rFonts w:ascii="Arial" w:hAnsi="Arial" w:cs="Arial"/>
          <w:bCs/>
          <w:color w:val="000000"/>
          <w:sz w:val="20"/>
          <w:szCs w:val="20"/>
        </w:rPr>
        <w:t>The employer should refund all of the employees’ HSA payroll deductions as taxable income subject to withholding and payroll taxes.</w:t>
      </w:r>
      <w:r>
        <w:rPr>
          <w:rFonts w:ascii="Arial" w:hAnsi="Arial" w:cs="Arial"/>
          <w:bCs/>
          <w:color w:val="000000"/>
          <w:sz w:val="20"/>
          <w:szCs w:val="20"/>
        </w:rPr>
        <w:t xml:space="preserve"> </w:t>
      </w:r>
      <w:r w:rsidRPr="009D1AD4">
        <w:rPr>
          <w:rFonts w:ascii="Arial" w:hAnsi="Arial" w:cs="Arial"/>
          <w:bCs/>
          <w:color w:val="000000"/>
          <w:sz w:val="20"/>
          <w:szCs w:val="20"/>
        </w:rPr>
        <w:t>Employees will forfeit any employer contributions that would have been made if the employees had established an HSA.</w:t>
      </w:r>
    </w:p>
    <w:p w14:paraId="0F8EB4DA" w14:textId="77777777" w:rsidR="00004129" w:rsidRPr="009D1AD4" w:rsidRDefault="00004129" w:rsidP="00004129">
      <w:pPr>
        <w:pStyle w:val="ListParagraph"/>
        <w:spacing w:after="200"/>
        <w:ind w:left="0"/>
        <w:contextualSpacing w:val="0"/>
        <w:rPr>
          <w:rFonts w:ascii="Arial" w:hAnsi="Arial" w:cs="Arial"/>
          <w:bCs/>
          <w:color w:val="000000"/>
          <w:sz w:val="20"/>
          <w:szCs w:val="20"/>
        </w:rPr>
      </w:pPr>
      <w:r w:rsidRPr="009D1AD4">
        <w:rPr>
          <w:rFonts w:ascii="Arial" w:hAnsi="Arial" w:cs="Arial"/>
          <w:bCs/>
          <w:color w:val="000000"/>
          <w:sz w:val="20"/>
          <w:szCs w:val="20"/>
        </w:rPr>
        <w:t>As a best practice and in the future, the employer should have a written policy to accept contributions only after an employee has established an HSA (for example, after an employee has completed and signed an HSA trust or custodial agreement with a bank or insurance company).</w:t>
      </w:r>
    </w:p>
    <w:p w14:paraId="70BCCCC9" w14:textId="77777777" w:rsidR="00004129" w:rsidRPr="009D1AD4" w:rsidRDefault="00004129" w:rsidP="00004129">
      <w:pPr>
        <w:pStyle w:val="ListParagraph"/>
        <w:spacing w:after="200"/>
        <w:ind w:left="0"/>
        <w:contextualSpacing w:val="0"/>
        <w:rPr>
          <w:rFonts w:ascii="Arial" w:hAnsi="Arial" w:cs="Arial"/>
          <w:bCs/>
          <w:color w:val="000000"/>
          <w:sz w:val="20"/>
          <w:szCs w:val="20"/>
        </w:rPr>
      </w:pPr>
      <w:r w:rsidRPr="009D1AD4">
        <w:rPr>
          <w:rFonts w:ascii="Arial" w:hAnsi="Arial" w:cs="Arial"/>
          <w:bCs/>
          <w:color w:val="000000"/>
          <w:sz w:val="20"/>
          <w:szCs w:val="20"/>
        </w:rPr>
        <w:lastRenderedPageBreak/>
        <w:t>The employer may consider using the model notice from</w:t>
      </w:r>
      <w:r>
        <w:rPr>
          <w:rFonts w:ascii="Arial" w:hAnsi="Arial" w:cs="Arial"/>
          <w:bCs/>
          <w:color w:val="000000"/>
          <w:sz w:val="20"/>
          <w:szCs w:val="20"/>
        </w:rPr>
        <w:t xml:space="preserve"> </w:t>
      </w:r>
      <w:hyperlink r:id="rId15" w:history="1">
        <w:r w:rsidRPr="009D1AD4">
          <w:rPr>
            <w:rStyle w:val="Hyperlink"/>
            <w:bCs/>
          </w:rPr>
          <w:t>Treas. Reg. §54.4980G-4</w:t>
        </w:r>
      </w:hyperlink>
      <w:r w:rsidRPr="009D1AD4">
        <w:rPr>
          <w:rFonts w:ascii="Arial" w:hAnsi="Arial" w:cs="Arial"/>
          <w:bCs/>
          <w:color w:val="000000"/>
          <w:sz w:val="20"/>
          <w:szCs w:val="20"/>
        </w:rPr>
        <w:t>, Q/A-14(c) in drafting a written policy. Because the model notice applies to HSAs with contributions run outside of a cafeteria plan, the employer should consult with its attorney about adapting the model notice language for its use.</w:t>
      </w:r>
    </w:p>
    <w:p w14:paraId="160920B3" w14:textId="77777777" w:rsidR="00004129" w:rsidRDefault="00004129" w:rsidP="00004129">
      <w:pPr>
        <w:spacing w:after="200"/>
        <w:rPr>
          <w:rFonts w:ascii="Arial" w:hAnsi="Arial" w:cs="Arial"/>
          <w:sz w:val="20"/>
          <w:szCs w:val="20"/>
        </w:rPr>
      </w:pPr>
    </w:p>
    <w:p w14:paraId="361268A0" w14:textId="628148E2" w:rsidR="00A703EE" w:rsidRPr="009D1AD4" w:rsidRDefault="00A703EE" w:rsidP="004C6CEA">
      <w:pPr>
        <w:spacing w:after="200"/>
        <w:rPr>
          <w:rFonts w:ascii="Arial" w:hAnsi="Arial" w:cs="Arial"/>
          <w:bCs/>
          <w:color w:val="000000"/>
          <w:sz w:val="20"/>
          <w:szCs w:val="20"/>
        </w:rPr>
      </w:pPr>
      <w:r w:rsidRPr="00C5063D">
        <w:rPr>
          <w:rFonts w:ascii="Arial" w:hAnsi="Arial" w:cs="Arial"/>
          <w:b/>
          <w:bCs/>
          <w:color w:val="001BBA"/>
          <w:sz w:val="22"/>
          <w:szCs w:val="22"/>
        </w:rPr>
        <w:t xml:space="preserve">Question: </w:t>
      </w:r>
      <w:r w:rsidRPr="009D1AD4">
        <w:rPr>
          <w:rFonts w:ascii="Arial" w:hAnsi="Arial" w:cs="Arial"/>
          <w:bCs/>
          <w:color w:val="000000"/>
          <w:sz w:val="20"/>
          <w:szCs w:val="20"/>
        </w:rPr>
        <w:t xml:space="preserve">If employees underspend their </w:t>
      </w:r>
      <w:r w:rsidR="00702E66">
        <w:rPr>
          <w:rFonts w:ascii="Arial" w:hAnsi="Arial" w:cs="Arial"/>
          <w:bCs/>
          <w:color w:val="000000"/>
          <w:sz w:val="20"/>
          <w:szCs w:val="20"/>
        </w:rPr>
        <w:t>flexible spending account (</w:t>
      </w:r>
      <w:r w:rsidRPr="009D1AD4">
        <w:rPr>
          <w:rFonts w:ascii="Arial" w:hAnsi="Arial" w:cs="Arial"/>
          <w:bCs/>
          <w:color w:val="000000"/>
          <w:sz w:val="20"/>
          <w:szCs w:val="20"/>
        </w:rPr>
        <w:t>FSA</w:t>
      </w:r>
      <w:r w:rsidR="00702E66">
        <w:rPr>
          <w:rFonts w:ascii="Arial" w:hAnsi="Arial" w:cs="Arial"/>
          <w:bCs/>
          <w:color w:val="000000"/>
          <w:sz w:val="20"/>
          <w:szCs w:val="20"/>
        </w:rPr>
        <w:t>)</w:t>
      </w:r>
      <w:r w:rsidRPr="009D1AD4">
        <w:rPr>
          <w:rFonts w:ascii="Arial" w:hAnsi="Arial" w:cs="Arial"/>
          <w:bCs/>
          <w:color w:val="000000"/>
          <w:sz w:val="20"/>
          <w:szCs w:val="20"/>
        </w:rPr>
        <w:t xml:space="preserve"> funds, how may an employer use those forfeited funds?</w:t>
      </w:r>
    </w:p>
    <w:p w14:paraId="11820B85" w14:textId="77777777" w:rsidR="00A703EE" w:rsidRPr="009D1AD4" w:rsidRDefault="00A703EE" w:rsidP="004C6CEA">
      <w:pPr>
        <w:spacing w:after="200"/>
        <w:rPr>
          <w:rFonts w:ascii="Arial" w:hAnsi="Arial" w:cs="Arial"/>
          <w:bCs/>
          <w:color w:val="000000"/>
          <w:sz w:val="20"/>
          <w:szCs w:val="20"/>
        </w:rPr>
      </w:pPr>
      <w:r w:rsidRPr="009D1AD4">
        <w:rPr>
          <w:rFonts w:ascii="Arial" w:hAnsi="Arial" w:cs="Arial"/>
          <w:b/>
          <w:bCs/>
          <w:color w:val="000000"/>
          <w:sz w:val="20"/>
          <w:szCs w:val="20"/>
        </w:rPr>
        <w:t>Answer:</w:t>
      </w:r>
      <w:r w:rsidRPr="009D1AD4">
        <w:rPr>
          <w:rFonts w:ascii="Arial" w:hAnsi="Arial" w:cs="Arial"/>
          <w:bCs/>
          <w:color w:val="000000"/>
          <w:sz w:val="20"/>
          <w:szCs w:val="20"/>
        </w:rPr>
        <w:t xml:space="preserve"> The IRS provides specific options for an employer to use in distributing forfeited funds. To determine which options are available, an employer should look to the plan document (or cafeteria plan document) which may specify how forfeitures must be applied. If the plan document or cafeteria plan document describes how forfeitures must be applied, then an employer / plan sponsor would need to follow the document’s terms. An employer should carefully document its actions regarding the forfeitures.</w:t>
      </w:r>
    </w:p>
    <w:p w14:paraId="438FE425" w14:textId="09A7104A" w:rsidR="00A703EE" w:rsidRPr="009D1AD4" w:rsidRDefault="00A703EE" w:rsidP="004C6CEA">
      <w:pPr>
        <w:spacing w:after="200"/>
        <w:rPr>
          <w:rFonts w:ascii="Arial" w:hAnsi="Arial" w:cs="Arial"/>
          <w:bCs/>
          <w:color w:val="000000"/>
          <w:sz w:val="20"/>
          <w:szCs w:val="20"/>
        </w:rPr>
      </w:pPr>
      <w:r w:rsidRPr="009D1AD4">
        <w:rPr>
          <w:rFonts w:ascii="Arial" w:hAnsi="Arial" w:cs="Arial"/>
          <w:bCs/>
          <w:color w:val="000000"/>
          <w:sz w:val="20"/>
          <w:szCs w:val="20"/>
        </w:rPr>
        <w:t>If an employer is not subject to ERISA, then an employer may use the following options, including retain</w:t>
      </w:r>
      <w:r w:rsidR="00702E66">
        <w:rPr>
          <w:rFonts w:ascii="Arial" w:hAnsi="Arial" w:cs="Arial"/>
          <w:bCs/>
          <w:color w:val="000000"/>
          <w:sz w:val="20"/>
          <w:szCs w:val="20"/>
        </w:rPr>
        <w:t>ing</w:t>
      </w:r>
      <w:r w:rsidRPr="009D1AD4">
        <w:rPr>
          <w:rFonts w:ascii="Arial" w:hAnsi="Arial" w:cs="Arial"/>
          <w:bCs/>
          <w:color w:val="000000"/>
          <w:sz w:val="20"/>
          <w:szCs w:val="20"/>
        </w:rPr>
        <w:t xml:space="preserve"> the funds (this means that an employer could mingle the funds with its general accounts and use the funds for the employer’s purposes):</w:t>
      </w:r>
    </w:p>
    <w:p w14:paraId="0C9FAD06" w14:textId="52276E8F" w:rsidR="00A703EE" w:rsidRPr="00702E66" w:rsidRDefault="00702E66" w:rsidP="00702E66">
      <w:pPr>
        <w:pStyle w:val="ListParagraph"/>
        <w:numPr>
          <w:ilvl w:val="0"/>
          <w:numId w:val="23"/>
        </w:numPr>
        <w:spacing w:after="200"/>
        <w:rPr>
          <w:rFonts w:ascii="Arial" w:hAnsi="Arial" w:cs="Arial"/>
          <w:bCs/>
          <w:color w:val="000000"/>
          <w:sz w:val="20"/>
          <w:szCs w:val="20"/>
        </w:rPr>
      </w:pPr>
      <w:r>
        <w:rPr>
          <w:rFonts w:ascii="Arial" w:hAnsi="Arial" w:cs="Arial"/>
          <w:bCs/>
          <w:color w:val="000000"/>
          <w:sz w:val="20"/>
          <w:szCs w:val="20"/>
        </w:rPr>
        <w:t>D</w:t>
      </w:r>
      <w:r w:rsidR="00A703EE" w:rsidRPr="00702E66">
        <w:rPr>
          <w:rFonts w:ascii="Arial" w:hAnsi="Arial" w:cs="Arial"/>
          <w:bCs/>
          <w:color w:val="000000"/>
          <w:sz w:val="20"/>
          <w:szCs w:val="20"/>
        </w:rPr>
        <w:t>efray plan administration expenses</w:t>
      </w:r>
    </w:p>
    <w:p w14:paraId="64BD823E" w14:textId="51BF35EF" w:rsidR="00A703EE" w:rsidRPr="00702E66" w:rsidRDefault="00702E66" w:rsidP="00702E66">
      <w:pPr>
        <w:pStyle w:val="ListParagraph"/>
        <w:numPr>
          <w:ilvl w:val="0"/>
          <w:numId w:val="23"/>
        </w:numPr>
        <w:spacing w:after="200"/>
        <w:rPr>
          <w:rFonts w:ascii="Arial" w:hAnsi="Arial" w:cs="Arial"/>
          <w:bCs/>
          <w:color w:val="000000"/>
          <w:sz w:val="20"/>
          <w:szCs w:val="20"/>
        </w:rPr>
      </w:pPr>
      <w:r>
        <w:rPr>
          <w:rFonts w:ascii="Arial" w:hAnsi="Arial" w:cs="Arial"/>
          <w:bCs/>
          <w:color w:val="000000"/>
          <w:sz w:val="20"/>
          <w:szCs w:val="20"/>
        </w:rPr>
        <w:t>R</w:t>
      </w:r>
      <w:r w:rsidR="00A703EE" w:rsidRPr="00702E66">
        <w:rPr>
          <w:rFonts w:ascii="Arial" w:hAnsi="Arial" w:cs="Arial"/>
          <w:bCs/>
          <w:color w:val="000000"/>
          <w:sz w:val="20"/>
          <w:szCs w:val="20"/>
        </w:rPr>
        <w:t>educe salary reduction amounts for the following year</w:t>
      </w:r>
    </w:p>
    <w:p w14:paraId="553A64CC" w14:textId="3F3A7393" w:rsidR="00A703EE" w:rsidRPr="00702E66" w:rsidRDefault="00702E66" w:rsidP="00702E66">
      <w:pPr>
        <w:pStyle w:val="ListParagraph"/>
        <w:numPr>
          <w:ilvl w:val="0"/>
          <w:numId w:val="23"/>
        </w:numPr>
        <w:spacing w:after="200"/>
        <w:rPr>
          <w:rFonts w:ascii="Arial" w:hAnsi="Arial" w:cs="Arial"/>
          <w:bCs/>
          <w:color w:val="000000"/>
          <w:sz w:val="20"/>
          <w:szCs w:val="20"/>
        </w:rPr>
      </w:pPr>
      <w:r>
        <w:rPr>
          <w:rFonts w:ascii="Arial" w:hAnsi="Arial" w:cs="Arial"/>
          <w:bCs/>
          <w:color w:val="000000"/>
          <w:sz w:val="20"/>
          <w:szCs w:val="20"/>
        </w:rPr>
        <w:t>I</w:t>
      </w:r>
      <w:r w:rsidR="00A703EE" w:rsidRPr="00702E66">
        <w:rPr>
          <w:rFonts w:ascii="Arial" w:hAnsi="Arial" w:cs="Arial"/>
          <w:bCs/>
          <w:color w:val="000000"/>
          <w:sz w:val="20"/>
          <w:szCs w:val="20"/>
        </w:rPr>
        <w:t>ncrease the annual coverage amount</w:t>
      </w:r>
    </w:p>
    <w:p w14:paraId="3C39C053" w14:textId="4ADA9EBE" w:rsidR="00A703EE" w:rsidRPr="00702E66" w:rsidRDefault="00702E66" w:rsidP="00702E66">
      <w:pPr>
        <w:pStyle w:val="ListParagraph"/>
        <w:numPr>
          <w:ilvl w:val="0"/>
          <w:numId w:val="23"/>
        </w:numPr>
        <w:spacing w:after="200"/>
        <w:rPr>
          <w:rFonts w:ascii="Arial" w:hAnsi="Arial" w:cs="Arial"/>
          <w:bCs/>
          <w:color w:val="000000"/>
          <w:sz w:val="20"/>
          <w:szCs w:val="20"/>
        </w:rPr>
      </w:pPr>
      <w:r>
        <w:rPr>
          <w:rFonts w:ascii="Arial" w:hAnsi="Arial" w:cs="Arial"/>
          <w:bCs/>
          <w:color w:val="000000"/>
          <w:sz w:val="20"/>
          <w:szCs w:val="20"/>
        </w:rPr>
        <w:t>R</w:t>
      </w:r>
      <w:r w:rsidR="00A703EE" w:rsidRPr="00702E66">
        <w:rPr>
          <w:rFonts w:ascii="Arial" w:hAnsi="Arial" w:cs="Arial"/>
          <w:bCs/>
          <w:color w:val="000000"/>
          <w:sz w:val="20"/>
          <w:szCs w:val="20"/>
        </w:rPr>
        <w:t>eturn funds in the form of cash to employees on a reasonable and uniform basis</w:t>
      </w:r>
    </w:p>
    <w:p w14:paraId="5E8FBB1E" w14:textId="77777777" w:rsidR="00A703EE" w:rsidRPr="009D1AD4" w:rsidRDefault="00A703EE" w:rsidP="004C6CEA">
      <w:pPr>
        <w:spacing w:after="200"/>
        <w:rPr>
          <w:rFonts w:ascii="Arial" w:hAnsi="Arial" w:cs="Arial"/>
          <w:bCs/>
          <w:color w:val="000000"/>
          <w:sz w:val="20"/>
          <w:szCs w:val="20"/>
        </w:rPr>
      </w:pPr>
      <w:r w:rsidRPr="009D1AD4">
        <w:rPr>
          <w:rFonts w:ascii="Arial" w:hAnsi="Arial" w:cs="Arial"/>
          <w:bCs/>
          <w:color w:val="000000"/>
          <w:sz w:val="20"/>
          <w:szCs w:val="20"/>
        </w:rPr>
        <w:t>If an employer chooses the cash distribution option, the cash distribution would be considered taxable income and reported on Form W-2.</w:t>
      </w:r>
    </w:p>
    <w:p w14:paraId="68B8FDED" w14:textId="77777777" w:rsidR="00A703EE" w:rsidRPr="00004129" w:rsidRDefault="00A703EE" w:rsidP="004C6CEA">
      <w:pPr>
        <w:spacing w:after="200"/>
        <w:rPr>
          <w:rFonts w:ascii="Arial" w:hAnsi="Arial" w:cs="Arial"/>
          <w:bCs/>
          <w:color w:val="000000"/>
          <w:spacing w:val="-2"/>
          <w:sz w:val="20"/>
          <w:szCs w:val="20"/>
        </w:rPr>
      </w:pPr>
      <w:r w:rsidRPr="00004129">
        <w:rPr>
          <w:rFonts w:ascii="Arial" w:hAnsi="Arial" w:cs="Arial"/>
          <w:bCs/>
          <w:color w:val="000000"/>
          <w:spacing w:val="-2"/>
          <w:sz w:val="20"/>
          <w:szCs w:val="20"/>
        </w:rPr>
        <w:t>If an employer is subject to ERISA, then an employer cannot retain the funds (for example, an employer cannot comingle the funds with its general accounts). ERISA’s fiduciary duties (for example, duty of loyalty, exclusive benefit rule, no prohibited transactions, etc.) would also apply to the handling of the funds.</w:t>
      </w:r>
    </w:p>
    <w:p w14:paraId="443ABB6D" w14:textId="6C4740BE" w:rsidR="00A703EE" w:rsidRDefault="00A703EE" w:rsidP="004C6CEA">
      <w:pPr>
        <w:spacing w:after="200"/>
        <w:rPr>
          <w:rFonts w:ascii="Arial" w:hAnsi="Arial" w:cs="Arial"/>
          <w:sz w:val="20"/>
          <w:szCs w:val="20"/>
        </w:rPr>
      </w:pPr>
    </w:p>
    <w:p w14:paraId="762B12FA" w14:textId="77777777" w:rsidR="00004129" w:rsidRPr="009D1AD4" w:rsidRDefault="00004129" w:rsidP="00004129">
      <w:pPr>
        <w:spacing w:after="200"/>
        <w:rPr>
          <w:rFonts w:ascii="Arial" w:hAnsi="Arial" w:cs="Arial"/>
          <w:sz w:val="20"/>
          <w:szCs w:val="20"/>
        </w:rPr>
      </w:pPr>
      <w:r w:rsidRPr="00C5063D">
        <w:rPr>
          <w:rFonts w:ascii="Arial" w:hAnsi="Arial" w:cs="Arial"/>
          <w:b/>
          <w:bCs/>
          <w:color w:val="001BBA"/>
          <w:sz w:val="22"/>
          <w:szCs w:val="22"/>
        </w:rPr>
        <w:t>Question:</w:t>
      </w:r>
      <w:r w:rsidRPr="009D1AD4">
        <w:rPr>
          <w:rFonts w:ascii="Arial" w:hAnsi="Arial" w:cs="Arial"/>
          <w:sz w:val="20"/>
          <w:szCs w:val="20"/>
        </w:rPr>
        <w:t xml:space="preserve"> Depending on an employer’s corporate structure, generally who can participate in a cafeteria plan and who cannot participate in a cafeteria plan?</w:t>
      </w:r>
    </w:p>
    <w:p w14:paraId="6D83EBAB" w14:textId="77777777" w:rsidR="00004129" w:rsidRPr="009D1AD4" w:rsidRDefault="00004129" w:rsidP="00004129">
      <w:pPr>
        <w:spacing w:after="200"/>
        <w:rPr>
          <w:rFonts w:ascii="Arial" w:hAnsi="Arial" w:cs="Arial"/>
          <w:sz w:val="20"/>
          <w:szCs w:val="20"/>
        </w:rPr>
      </w:pPr>
      <w:r w:rsidRPr="009D1AD4">
        <w:rPr>
          <w:rFonts w:ascii="Arial" w:hAnsi="Arial" w:cs="Arial"/>
          <w:b/>
          <w:sz w:val="20"/>
          <w:szCs w:val="20"/>
        </w:rPr>
        <w:t xml:space="preserve">Answer: </w:t>
      </w:r>
      <w:r w:rsidRPr="009D1AD4">
        <w:rPr>
          <w:rFonts w:ascii="Arial" w:hAnsi="Arial" w:cs="Arial"/>
          <w:sz w:val="20"/>
          <w:szCs w:val="20"/>
        </w:rPr>
        <w:t>Only an employer’s current and former employees can participate in a cafeteria plan. If contributions are run through a cafeteria plan, then the following categories of people cannot participate in the cafeteria plan:</w:t>
      </w:r>
    </w:p>
    <w:p w14:paraId="78F4F0C9" w14:textId="77777777" w:rsidR="00004129" w:rsidRPr="009D1AD4" w:rsidRDefault="00004129" w:rsidP="00004129">
      <w:pPr>
        <w:numPr>
          <w:ilvl w:val="0"/>
          <w:numId w:val="11"/>
        </w:numPr>
        <w:spacing w:after="80"/>
        <w:rPr>
          <w:rFonts w:ascii="Arial" w:hAnsi="Arial" w:cs="Arial"/>
          <w:sz w:val="20"/>
          <w:szCs w:val="20"/>
        </w:rPr>
      </w:pPr>
      <w:r w:rsidRPr="009D1AD4">
        <w:rPr>
          <w:rFonts w:ascii="Arial" w:hAnsi="Arial" w:cs="Arial"/>
          <w:sz w:val="20"/>
          <w:szCs w:val="20"/>
        </w:rPr>
        <w:t>Sole proprietors who do not have dual</w:t>
      </w:r>
      <w:r>
        <w:rPr>
          <w:rFonts w:ascii="Arial" w:hAnsi="Arial" w:cs="Arial"/>
          <w:sz w:val="20"/>
          <w:szCs w:val="20"/>
        </w:rPr>
        <w:t xml:space="preserve"> </w:t>
      </w:r>
      <w:r w:rsidRPr="009D1AD4">
        <w:rPr>
          <w:rFonts w:ascii="Arial" w:hAnsi="Arial" w:cs="Arial"/>
          <w:sz w:val="20"/>
          <w:szCs w:val="20"/>
        </w:rPr>
        <w:t>status as employees</w:t>
      </w:r>
    </w:p>
    <w:p w14:paraId="67C63DFC" w14:textId="77777777" w:rsidR="00004129" w:rsidRPr="009D1AD4" w:rsidRDefault="00004129" w:rsidP="00004129">
      <w:pPr>
        <w:numPr>
          <w:ilvl w:val="0"/>
          <w:numId w:val="11"/>
        </w:numPr>
        <w:spacing w:after="80"/>
        <w:rPr>
          <w:rFonts w:ascii="Arial" w:hAnsi="Arial" w:cs="Arial"/>
          <w:sz w:val="20"/>
          <w:szCs w:val="20"/>
        </w:rPr>
      </w:pPr>
      <w:r w:rsidRPr="009D1AD4">
        <w:rPr>
          <w:rFonts w:ascii="Arial" w:hAnsi="Arial" w:cs="Arial"/>
          <w:sz w:val="20"/>
          <w:szCs w:val="20"/>
        </w:rPr>
        <w:t>Directors of a Subchapter C corporation who do not have dual</w:t>
      </w:r>
      <w:r>
        <w:rPr>
          <w:rFonts w:ascii="Arial" w:hAnsi="Arial" w:cs="Arial"/>
          <w:sz w:val="20"/>
          <w:szCs w:val="20"/>
        </w:rPr>
        <w:t xml:space="preserve"> </w:t>
      </w:r>
      <w:r w:rsidRPr="009D1AD4">
        <w:rPr>
          <w:rFonts w:ascii="Arial" w:hAnsi="Arial" w:cs="Arial"/>
          <w:sz w:val="20"/>
          <w:szCs w:val="20"/>
        </w:rPr>
        <w:t>status as employees</w:t>
      </w:r>
    </w:p>
    <w:p w14:paraId="3B44ED33" w14:textId="77777777" w:rsidR="00004129" w:rsidRPr="009D1AD4" w:rsidRDefault="00004129" w:rsidP="00004129">
      <w:pPr>
        <w:numPr>
          <w:ilvl w:val="0"/>
          <w:numId w:val="11"/>
        </w:numPr>
        <w:spacing w:after="80"/>
        <w:rPr>
          <w:rFonts w:ascii="Arial" w:hAnsi="Arial" w:cs="Arial"/>
          <w:sz w:val="20"/>
          <w:szCs w:val="20"/>
        </w:rPr>
      </w:pPr>
      <w:r w:rsidRPr="009D1AD4">
        <w:rPr>
          <w:rFonts w:ascii="Arial" w:hAnsi="Arial" w:cs="Arial"/>
          <w:sz w:val="20"/>
          <w:szCs w:val="20"/>
        </w:rPr>
        <w:t>Partners or more-than-2% shareholders in a Subchapter S corporation</w:t>
      </w:r>
    </w:p>
    <w:p w14:paraId="5E4C92A5" w14:textId="77777777" w:rsidR="00004129" w:rsidRPr="009D1AD4" w:rsidRDefault="00004129" w:rsidP="00004129">
      <w:pPr>
        <w:numPr>
          <w:ilvl w:val="0"/>
          <w:numId w:val="11"/>
        </w:numPr>
        <w:spacing w:after="80"/>
        <w:rPr>
          <w:rFonts w:ascii="Arial" w:hAnsi="Arial" w:cs="Arial"/>
          <w:sz w:val="20"/>
          <w:szCs w:val="20"/>
        </w:rPr>
      </w:pPr>
      <w:r w:rsidRPr="009D1AD4">
        <w:rPr>
          <w:rFonts w:ascii="Arial" w:hAnsi="Arial" w:cs="Arial"/>
          <w:sz w:val="20"/>
          <w:szCs w:val="20"/>
        </w:rPr>
        <w:t>Spouse, children, parents, and grandparents of a more-than-2% shareholder in a Subchapter S</w:t>
      </w:r>
      <w:r>
        <w:rPr>
          <w:rFonts w:ascii="Arial" w:hAnsi="Arial" w:cs="Arial"/>
          <w:sz w:val="20"/>
          <w:szCs w:val="20"/>
        </w:rPr>
        <w:t> </w:t>
      </w:r>
      <w:r w:rsidRPr="009D1AD4">
        <w:rPr>
          <w:rFonts w:ascii="Arial" w:hAnsi="Arial" w:cs="Arial"/>
          <w:sz w:val="20"/>
          <w:szCs w:val="20"/>
        </w:rPr>
        <w:t>corporation</w:t>
      </w:r>
    </w:p>
    <w:p w14:paraId="3AA2AAF8" w14:textId="77777777" w:rsidR="00004129" w:rsidRPr="009D1AD4" w:rsidRDefault="00004129" w:rsidP="00004129">
      <w:pPr>
        <w:numPr>
          <w:ilvl w:val="0"/>
          <w:numId w:val="11"/>
        </w:numPr>
        <w:spacing w:after="80"/>
        <w:rPr>
          <w:rFonts w:ascii="Arial" w:hAnsi="Arial" w:cs="Arial"/>
          <w:sz w:val="20"/>
          <w:szCs w:val="20"/>
        </w:rPr>
      </w:pPr>
      <w:r w:rsidRPr="009D1AD4">
        <w:rPr>
          <w:rFonts w:ascii="Arial" w:hAnsi="Arial" w:cs="Arial"/>
          <w:sz w:val="20"/>
          <w:szCs w:val="20"/>
        </w:rPr>
        <w:t>General partners in a general or limited partnership</w:t>
      </w:r>
    </w:p>
    <w:p w14:paraId="0D85BC92" w14:textId="77777777" w:rsidR="00004129" w:rsidRPr="009D1AD4" w:rsidRDefault="00004129" w:rsidP="00004129">
      <w:pPr>
        <w:numPr>
          <w:ilvl w:val="0"/>
          <w:numId w:val="11"/>
        </w:numPr>
        <w:spacing w:after="80"/>
        <w:rPr>
          <w:rFonts w:ascii="Arial" w:hAnsi="Arial" w:cs="Arial"/>
          <w:sz w:val="20"/>
          <w:szCs w:val="20"/>
        </w:rPr>
      </w:pPr>
      <w:r w:rsidRPr="009D1AD4">
        <w:rPr>
          <w:rFonts w:ascii="Arial" w:hAnsi="Arial" w:cs="Arial"/>
          <w:sz w:val="20"/>
          <w:szCs w:val="20"/>
        </w:rPr>
        <w:t>Limited partners of a limited partnership who are not employees of the partnership</w:t>
      </w:r>
    </w:p>
    <w:p w14:paraId="5E9FE3A9" w14:textId="77777777" w:rsidR="00004129" w:rsidRPr="009D1AD4" w:rsidRDefault="00004129" w:rsidP="00004129">
      <w:pPr>
        <w:numPr>
          <w:ilvl w:val="0"/>
          <w:numId w:val="11"/>
        </w:numPr>
        <w:spacing w:after="80"/>
        <w:rPr>
          <w:rFonts w:ascii="Arial" w:hAnsi="Arial" w:cs="Arial"/>
          <w:sz w:val="20"/>
          <w:szCs w:val="20"/>
        </w:rPr>
      </w:pPr>
      <w:r w:rsidRPr="009D1AD4">
        <w:rPr>
          <w:rFonts w:ascii="Arial" w:hAnsi="Arial" w:cs="Arial"/>
          <w:sz w:val="20"/>
          <w:szCs w:val="20"/>
        </w:rPr>
        <w:t>Limited partners of a limited partnership who are employees of the partnership and receive guaranteed benefits from the partnership</w:t>
      </w:r>
    </w:p>
    <w:p w14:paraId="36EDB432" w14:textId="77777777" w:rsidR="00004129" w:rsidRPr="009D1AD4" w:rsidRDefault="00004129" w:rsidP="00004129">
      <w:pPr>
        <w:numPr>
          <w:ilvl w:val="0"/>
          <w:numId w:val="11"/>
        </w:numPr>
        <w:spacing w:after="80"/>
        <w:rPr>
          <w:rFonts w:ascii="Arial" w:hAnsi="Arial" w:cs="Arial"/>
          <w:sz w:val="20"/>
          <w:szCs w:val="20"/>
        </w:rPr>
      </w:pPr>
      <w:r w:rsidRPr="009D1AD4">
        <w:rPr>
          <w:rFonts w:ascii="Arial" w:hAnsi="Arial" w:cs="Arial"/>
          <w:sz w:val="20"/>
          <w:szCs w:val="20"/>
        </w:rPr>
        <w:t>Members of an LLC who are treated as partners in a partnership or treated as self-employed</w:t>
      </w:r>
    </w:p>
    <w:p w14:paraId="5826A7EC" w14:textId="77777777" w:rsidR="00004129" w:rsidRPr="009D1AD4" w:rsidRDefault="00004129" w:rsidP="00004129">
      <w:pPr>
        <w:numPr>
          <w:ilvl w:val="0"/>
          <w:numId w:val="11"/>
        </w:numPr>
        <w:spacing w:after="80"/>
        <w:rPr>
          <w:rFonts w:ascii="Arial" w:hAnsi="Arial" w:cs="Arial"/>
          <w:sz w:val="20"/>
          <w:szCs w:val="20"/>
        </w:rPr>
      </w:pPr>
      <w:r w:rsidRPr="009D1AD4">
        <w:rPr>
          <w:rFonts w:ascii="Arial" w:hAnsi="Arial" w:cs="Arial"/>
          <w:sz w:val="20"/>
          <w:szCs w:val="20"/>
        </w:rPr>
        <w:t>Members of an LLC, unless the LLC has elected to be taxed as a Subchapter C corporation</w:t>
      </w:r>
    </w:p>
    <w:p w14:paraId="5E04E6B1" w14:textId="77777777" w:rsidR="00004129" w:rsidRPr="009D1AD4" w:rsidRDefault="00004129" w:rsidP="00004129">
      <w:pPr>
        <w:numPr>
          <w:ilvl w:val="0"/>
          <w:numId w:val="11"/>
        </w:numPr>
        <w:spacing w:after="200"/>
        <w:rPr>
          <w:rFonts w:ascii="Arial" w:hAnsi="Arial" w:cs="Arial"/>
          <w:sz w:val="20"/>
          <w:szCs w:val="20"/>
        </w:rPr>
      </w:pPr>
      <w:r w:rsidRPr="009D1AD4">
        <w:rPr>
          <w:rFonts w:ascii="Arial" w:hAnsi="Arial" w:cs="Arial"/>
          <w:sz w:val="20"/>
          <w:szCs w:val="20"/>
        </w:rPr>
        <w:t>Partners in an LLP</w:t>
      </w:r>
    </w:p>
    <w:p w14:paraId="4F5040D9" w14:textId="3F43AB80" w:rsidR="009F5C2B" w:rsidRPr="009D1AD4" w:rsidRDefault="009F5C2B" w:rsidP="00004129">
      <w:pPr>
        <w:pStyle w:val="ListParagraph"/>
        <w:keepNext/>
        <w:spacing w:after="200"/>
        <w:ind w:left="0"/>
        <w:contextualSpacing w:val="0"/>
        <w:rPr>
          <w:rFonts w:ascii="Arial" w:hAnsi="Arial" w:cs="Arial"/>
          <w:color w:val="000000"/>
          <w:sz w:val="20"/>
          <w:szCs w:val="20"/>
        </w:rPr>
      </w:pPr>
      <w:r w:rsidRPr="00C5063D">
        <w:rPr>
          <w:rFonts w:ascii="Arial" w:eastAsia="Times New Roman" w:hAnsi="Arial" w:cs="Arial"/>
          <w:b/>
          <w:bCs/>
          <w:color w:val="001BBA"/>
          <w:sz w:val="22"/>
          <w:szCs w:val="22"/>
        </w:rPr>
        <w:lastRenderedPageBreak/>
        <w:t>Question:</w:t>
      </w:r>
      <w:r w:rsidR="00055049">
        <w:rPr>
          <w:rFonts w:ascii="Arial" w:hAnsi="Arial" w:cs="Arial"/>
          <w:color w:val="000000"/>
          <w:sz w:val="20"/>
          <w:szCs w:val="20"/>
        </w:rPr>
        <w:t xml:space="preserve"> </w:t>
      </w:r>
      <w:r w:rsidRPr="009D1AD4">
        <w:rPr>
          <w:rFonts w:ascii="Arial" w:hAnsi="Arial" w:cs="Arial"/>
          <w:color w:val="000000"/>
          <w:sz w:val="20"/>
          <w:szCs w:val="20"/>
        </w:rPr>
        <w:t>When would a domestic partnership be a permitted election change event?</w:t>
      </w:r>
    </w:p>
    <w:p w14:paraId="7F953316" w14:textId="77777777" w:rsidR="009F5C2B" w:rsidRPr="009D1AD4" w:rsidRDefault="009F5C2B" w:rsidP="004C6CEA">
      <w:pPr>
        <w:pStyle w:val="ListParagraph"/>
        <w:spacing w:after="200"/>
        <w:ind w:left="0"/>
        <w:contextualSpacing w:val="0"/>
        <w:rPr>
          <w:rFonts w:ascii="Arial" w:hAnsi="Arial" w:cs="Arial"/>
          <w:color w:val="000000"/>
          <w:sz w:val="20"/>
          <w:szCs w:val="20"/>
        </w:rPr>
      </w:pPr>
      <w:r w:rsidRPr="009D1AD4">
        <w:rPr>
          <w:rFonts w:ascii="Arial" w:hAnsi="Arial" w:cs="Arial"/>
          <w:b/>
          <w:color w:val="000000"/>
          <w:sz w:val="20"/>
          <w:szCs w:val="20"/>
        </w:rPr>
        <w:t xml:space="preserve">Answer: </w:t>
      </w:r>
      <w:r w:rsidRPr="009D1AD4">
        <w:rPr>
          <w:rFonts w:ascii="Arial" w:hAnsi="Arial" w:cs="Arial"/>
          <w:color w:val="000000"/>
          <w:sz w:val="20"/>
          <w:szCs w:val="20"/>
        </w:rPr>
        <w:t>Under Section 125, in most cases qualifying as a domestic partner would not be a permitted election change event. For an event to be the permitted election change event of “change in marital status,” it would usually need to include marriage, divorce, spousal death, legal separation, or annulment.</w:t>
      </w:r>
    </w:p>
    <w:p w14:paraId="3C5308A2" w14:textId="59AA24AE" w:rsidR="009F5C2B" w:rsidRPr="009D1AD4" w:rsidRDefault="009F5C2B" w:rsidP="004C6CEA">
      <w:pPr>
        <w:pStyle w:val="ListParagraph"/>
        <w:spacing w:after="200"/>
        <w:ind w:left="0"/>
        <w:contextualSpacing w:val="0"/>
        <w:rPr>
          <w:rFonts w:ascii="Arial" w:hAnsi="Arial" w:cs="Arial"/>
          <w:color w:val="000000"/>
          <w:sz w:val="20"/>
          <w:szCs w:val="20"/>
        </w:rPr>
      </w:pPr>
      <w:r w:rsidRPr="009D1AD4">
        <w:rPr>
          <w:rFonts w:ascii="Arial" w:hAnsi="Arial" w:cs="Arial"/>
          <w:color w:val="000000"/>
          <w:sz w:val="20"/>
          <w:szCs w:val="20"/>
        </w:rPr>
        <w:t>However, if a domestic partner’s status changes so that the domestic partner is now an employee’s tax</w:t>
      </w:r>
      <w:r w:rsidR="00004129">
        <w:rPr>
          <w:rFonts w:ascii="Arial" w:hAnsi="Arial" w:cs="Arial"/>
          <w:color w:val="000000"/>
          <w:sz w:val="20"/>
          <w:szCs w:val="20"/>
        </w:rPr>
        <w:t> </w:t>
      </w:r>
      <w:r w:rsidRPr="009D1AD4">
        <w:rPr>
          <w:rFonts w:ascii="Arial" w:hAnsi="Arial" w:cs="Arial"/>
          <w:color w:val="000000"/>
          <w:sz w:val="20"/>
          <w:szCs w:val="20"/>
        </w:rPr>
        <w:t>dependent, then that event would be a permitted election change event of “change in number of</w:t>
      </w:r>
      <w:r w:rsidR="00004129">
        <w:rPr>
          <w:rFonts w:ascii="Arial" w:hAnsi="Arial" w:cs="Arial"/>
          <w:color w:val="000000"/>
          <w:sz w:val="20"/>
          <w:szCs w:val="20"/>
        </w:rPr>
        <w:t> </w:t>
      </w:r>
      <w:r w:rsidRPr="009D1AD4">
        <w:rPr>
          <w:rFonts w:ascii="Arial" w:hAnsi="Arial" w:cs="Arial"/>
          <w:color w:val="000000"/>
          <w:sz w:val="20"/>
          <w:szCs w:val="20"/>
        </w:rPr>
        <w:t>dependents.”</w:t>
      </w:r>
    </w:p>
    <w:p w14:paraId="193305DE" w14:textId="1478305D" w:rsidR="009F5C2B" w:rsidRPr="009D1AD4" w:rsidRDefault="009F5C2B" w:rsidP="004C6CEA">
      <w:pPr>
        <w:pStyle w:val="ListParagraph"/>
        <w:spacing w:after="200"/>
        <w:ind w:left="0"/>
        <w:contextualSpacing w:val="0"/>
        <w:rPr>
          <w:rFonts w:ascii="Arial" w:hAnsi="Arial" w:cs="Arial"/>
          <w:color w:val="000000"/>
          <w:sz w:val="20"/>
          <w:szCs w:val="20"/>
        </w:rPr>
      </w:pPr>
      <w:r w:rsidRPr="009D1AD4">
        <w:rPr>
          <w:rFonts w:ascii="Arial" w:hAnsi="Arial" w:cs="Arial"/>
          <w:color w:val="000000"/>
          <w:sz w:val="20"/>
          <w:szCs w:val="20"/>
        </w:rPr>
        <w:t>From our UBA Advisor “</w:t>
      </w:r>
      <w:hyperlink r:id="rId16" w:history="1">
        <w:r w:rsidRPr="00702E66">
          <w:rPr>
            <w:rStyle w:val="Hyperlink"/>
          </w:rPr>
          <w:t>Cafeteria Plans: Qualifying Events and Changing Employee Elections</w:t>
        </w:r>
      </w:hyperlink>
      <w:r w:rsidRPr="009D1AD4">
        <w:rPr>
          <w:rFonts w:ascii="Arial" w:hAnsi="Arial" w:cs="Arial"/>
          <w:color w:val="000000"/>
          <w:sz w:val="20"/>
          <w:szCs w:val="20"/>
        </w:rPr>
        <w:t>”:</w:t>
      </w:r>
    </w:p>
    <w:p w14:paraId="7EFDE3A5" w14:textId="77777777" w:rsidR="009F5C2B" w:rsidRDefault="009F5C2B" w:rsidP="00A14E50">
      <w:pPr>
        <w:spacing w:after="200"/>
        <w:ind w:left="360"/>
        <w:rPr>
          <w:rFonts w:ascii="Arial" w:hAnsi="Arial" w:cs="Arial"/>
          <w:sz w:val="20"/>
          <w:szCs w:val="20"/>
        </w:rPr>
      </w:pPr>
      <w:r w:rsidRPr="009D1AD4">
        <w:rPr>
          <w:rFonts w:ascii="Arial" w:hAnsi="Arial" w:cs="Arial"/>
          <w:b/>
          <w:sz w:val="20"/>
          <w:szCs w:val="20"/>
        </w:rPr>
        <w:t>Change in Marital Status</w:t>
      </w:r>
    </w:p>
    <w:p w14:paraId="6D131F15" w14:textId="77777777" w:rsidR="009F5C2B" w:rsidRPr="009D1AD4" w:rsidRDefault="009F5C2B" w:rsidP="00A14E50">
      <w:pPr>
        <w:spacing w:after="200"/>
        <w:ind w:left="360"/>
        <w:rPr>
          <w:rFonts w:ascii="Arial" w:hAnsi="Arial" w:cs="Arial"/>
          <w:sz w:val="20"/>
          <w:szCs w:val="20"/>
        </w:rPr>
      </w:pPr>
      <w:r w:rsidRPr="009D1AD4">
        <w:rPr>
          <w:rFonts w:ascii="Arial" w:hAnsi="Arial" w:cs="Arial"/>
          <w:sz w:val="20"/>
          <w:szCs w:val="20"/>
        </w:rPr>
        <w:t>Both same-sex and opposite-sex marital status changes are qualifying events. Legal separations (unless the legal separation leads to loss of eligibility under the plan) and the commencement and termination of a domestic partnership are not. There is a narrow exception if a domestic partnership changes an individual’s tax status. If a domestic partner qualified as a tax dependent for health coverage purposes, this could trigger a qualifying event.</w:t>
      </w:r>
    </w:p>
    <w:tbl>
      <w:tblPr>
        <w:tblStyle w:val="TableGrid"/>
        <w:tblW w:w="891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4500"/>
        <w:gridCol w:w="4410"/>
      </w:tblGrid>
      <w:tr w:rsidR="00A14E50" w:rsidRPr="00A14E50" w14:paraId="75294C1B" w14:textId="77777777" w:rsidTr="00A14E50">
        <w:tc>
          <w:tcPr>
            <w:tcW w:w="4500" w:type="dxa"/>
            <w:tcBorders>
              <w:right w:val="single" w:sz="4" w:space="0" w:color="BFBFBF" w:themeColor="background1" w:themeShade="BF"/>
            </w:tcBorders>
            <w:shd w:val="clear" w:color="auto" w:fill="DDE3EC"/>
          </w:tcPr>
          <w:p w14:paraId="119C696F" w14:textId="77777777" w:rsidR="009F5C2B" w:rsidRPr="00A14E50" w:rsidRDefault="009F5C2B" w:rsidP="00702E66">
            <w:pPr>
              <w:rPr>
                <w:rFonts w:ascii="Arial" w:hAnsi="Arial" w:cs="Arial"/>
                <w:b/>
                <w:bCs/>
                <w:sz w:val="20"/>
                <w:szCs w:val="20"/>
              </w:rPr>
            </w:pPr>
            <w:r w:rsidRPr="00A14E50">
              <w:rPr>
                <w:rFonts w:ascii="Arial" w:hAnsi="Arial" w:cs="Arial"/>
                <w:b/>
                <w:bCs/>
                <w:sz w:val="20"/>
                <w:szCs w:val="20"/>
              </w:rPr>
              <w:t>Example</w:t>
            </w:r>
          </w:p>
        </w:tc>
        <w:tc>
          <w:tcPr>
            <w:tcW w:w="4410" w:type="dxa"/>
            <w:tcBorders>
              <w:left w:val="single" w:sz="4" w:space="0" w:color="BFBFBF" w:themeColor="background1" w:themeShade="BF"/>
            </w:tcBorders>
            <w:shd w:val="clear" w:color="auto" w:fill="DDE3EC"/>
          </w:tcPr>
          <w:p w14:paraId="38858418" w14:textId="77777777" w:rsidR="009F5C2B" w:rsidRPr="00A14E50" w:rsidRDefault="009F5C2B" w:rsidP="00702E66">
            <w:pPr>
              <w:rPr>
                <w:rFonts w:ascii="Arial" w:hAnsi="Arial" w:cs="Arial"/>
                <w:b/>
                <w:bCs/>
                <w:sz w:val="20"/>
                <w:szCs w:val="20"/>
              </w:rPr>
            </w:pPr>
            <w:r w:rsidRPr="00A14E50">
              <w:rPr>
                <w:rFonts w:ascii="Arial" w:hAnsi="Arial" w:cs="Arial"/>
                <w:b/>
                <w:bCs/>
                <w:sz w:val="20"/>
                <w:szCs w:val="20"/>
              </w:rPr>
              <w:t>Permitted election change event?</w:t>
            </w:r>
          </w:p>
        </w:tc>
      </w:tr>
      <w:tr w:rsidR="009F5C2B" w:rsidRPr="009D1AD4" w14:paraId="27C13CB0" w14:textId="77777777" w:rsidTr="00A14E50">
        <w:tc>
          <w:tcPr>
            <w:tcW w:w="4500" w:type="dxa"/>
            <w:tcBorders>
              <w:bottom w:val="single" w:sz="4" w:space="0" w:color="auto"/>
              <w:right w:val="single" w:sz="4" w:space="0" w:color="BFBFBF" w:themeColor="background1" w:themeShade="BF"/>
            </w:tcBorders>
          </w:tcPr>
          <w:p w14:paraId="4C599B46" w14:textId="77777777" w:rsidR="009F5C2B" w:rsidRPr="009D1AD4" w:rsidRDefault="009F5C2B" w:rsidP="00702E66">
            <w:pPr>
              <w:rPr>
                <w:rFonts w:ascii="Arial" w:hAnsi="Arial" w:cs="Arial"/>
                <w:sz w:val="20"/>
                <w:szCs w:val="20"/>
              </w:rPr>
            </w:pPr>
            <w:r w:rsidRPr="009D1AD4">
              <w:rPr>
                <w:rFonts w:ascii="Arial" w:hAnsi="Arial" w:cs="Arial"/>
                <w:sz w:val="20"/>
                <w:szCs w:val="20"/>
              </w:rPr>
              <w:t>Jessica gets married to Timothy.</w:t>
            </w:r>
          </w:p>
        </w:tc>
        <w:tc>
          <w:tcPr>
            <w:tcW w:w="4410" w:type="dxa"/>
            <w:tcBorders>
              <w:left w:val="single" w:sz="4" w:space="0" w:color="BFBFBF" w:themeColor="background1" w:themeShade="BF"/>
              <w:bottom w:val="single" w:sz="4" w:space="0" w:color="auto"/>
            </w:tcBorders>
          </w:tcPr>
          <w:p w14:paraId="24A6A2D3" w14:textId="77777777" w:rsidR="009F5C2B" w:rsidRPr="009D1AD4" w:rsidRDefault="009F5C2B" w:rsidP="00702E66">
            <w:pPr>
              <w:rPr>
                <w:rFonts w:ascii="Arial" w:hAnsi="Arial" w:cs="Arial"/>
                <w:sz w:val="20"/>
                <w:szCs w:val="20"/>
              </w:rPr>
            </w:pPr>
            <w:r w:rsidRPr="009D1AD4">
              <w:rPr>
                <w:rFonts w:ascii="Arial" w:hAnsi="Arial" w:cs="Arial"/>
                <w:sz w:val="20"/>
                <w:szCs w:val="20"/>
              </w:rPr>
              <w:t>Yes</w:t>
            </w:r>
          </w:p>
        </w:tc>
      </w:tr>
      <w:tr w:rsidR="009F5C2B" w:rsidRPr="009D1AD4" w14:paraId="4B811D0E" w14:textId="77777777" w:rsidTr="00A14E50">
        <w:tc>
          <w:tcPr>
            <w:tcW w:w="4500" w:type="dxa"/>
            <w:tcBorders>
              <w:top w:val="single" w:sz="4" w:space="0" w:color="auto"/>
              <w:bottom w:val="single" w:sz="4" w:space="0" w:color="auto"/>
              <w:right w:val="single" w:sz="4" w:space="0" w:color="BFBFBF" w:themeColor="background1" w:themeShade="BF"/>
            </w:tcBorders>
          </w:tcPr>
          <w:p w14:paraId="3B420314" w14:textId="77777777" w:rsidR="009F5C2B" w:rsidRPr="009D1AD4" w:rsidRDefault="009F5C2B" w:rsidP="00702E66">
            <w:pPr>
              <w:rPr>
                <w:rFonts w:ascii="Arial" w:hAnsi="Arial" w:cs="Arial"/>
                <w:sz w:val="20"/>
                <w:szCs w:val="20"/>
              </w:rPr>
            </w:pPr>
            <w:r w:rsidRPr="009D1AD4">
              <w:rPr>
                <w:rFonts w:ascii="Arial" w:hAnsi="Arial" w:cs="Arial"/>
                <w:sz w:val="20"/>
                <w:szCs w:val="20"/>
              </w:rPr>
              <w:t>Timothy gets married to Christopher.</w:t>
            </w:r>
          </w:p>
        </w:tc>
        <w:tc>
          <w:tcPr>
            <w:tcW w:w="4410" w:type="dxa"/>
            <w:tcBorders>
              <w:top w:val="single" w:sz="4" w:space="0" w:color="auto"/>
              <w:left w:val="single" w:sz="4" w:space="0" w:color="BFBFBF" w:themeColor="background1" w:themeShade="BF"/>
              <w:bottom w:val="single" w:sz="4" w:space="0" w:color="auto"/>
            </w:tcBorders>
          </w:tcPr>
          <w:p w14:paraId="6E7CF99E" w14:textId="77777777" w:rsidR="009F5C2B" w:rsidRPr="009D1AD4" w:rsidRDefault="009F5C2B" w:rsidP="00702E66">
            <w:pPr>
              <w:rPr>
                <w:rFonts w:ascii="Arial" w:hAnsi="Arial" w:cs="Arial"/>
                <w:sz w:val="20"/>
                <w:szCs w:val="20"/>
              </w:rPr>
            </w:pPr>
            <w:r w:rsidRPr="009D1AD4">
              <w:rPr>
                <w:rFonts w:ascii="Arial" w:hAnsi="Arial" w:cs="Arial"/>
                <w:sz w:val="20"/>
                <w:szCs w:val="20"/>
              </w:rPr>
              <w:t>Yes</w:t>
            </w:r>
          </w:p>
        </w:tc>
      </w:tr>
      <w:tr w:rsidR="009F5C2B" w:rsidRPr="009D1AD4" w14:paraId="69E0737E" w14:textId="77777777" w:rsidTr="00A14E50">
        <w:tc>
          <w:tcPr>
            <w:tcW w:w="4500" w:type="dxa"/>
            <w:tcBorders>
              <w:top w:val="single" w:sz="4" w:space="0" w:color="auto"/>
              <w:bottom w:val="single" w:sz="4" w:space="0" w:color="auto"/>
              <w:right w:val="single" w:sz="4" w:space="0" w:color="BFBFBF" w:themeColor="background1" w:themeShade="BF"/>
            </w:tcBorders>
          </w:tcPr>
          <w:p w14:paraId="33448943" w14:textId="77777777" w:rsidR="009F5C2B" w:rsidRPr="009D1AD4" w:rsidRDefault="009F5C2B" w:rsidP="00702E66">
            <w:pPr>
              <w:rPr>
                <w:rFonts w:ascii="Arial" w:hAnsi="Arial" w:cs="Arial"/>
                <w:sz w:val="20"/>
                <w:szCs w:val="20"/>
              </w:rPr>
            </w:pPr>
            <w:r w:rsidRPr="009D1AD4">
              <w:rPr>
                <w:rFonts w:ascii="Arial" w:hAnsi="Arial" w:cs="Arial"/>
                <w:sz w:val="20"/>
                <w:szCs w:val="20"/>
              </w:rPr>
              <w:t>Jennifer enters into a domestic partnership (with either a same or opposite sex individual).</w:t>
            </w:r>
          </w:p>
        </w:tc>
        <w:tc>
          <w:tcPr>
            <w:tcW w:w="4410" w:type="dxa"/>
            <w:tcBorders>
              <w:top w:val="single" w:sz="4" w:space="0" w:color="auto"/>
              <w:left w:val="single" w:sz="4" w:space="0" w:color="BFBFBF" w:themeColor="background1" w:themeShade="BF"/>
              <w:bottom w:val="single" w:sz="4" w:space="0" w:color="auto"/>
            </w:tcBorders>
          </w:tcPr>
          <w:p w14:paraId="6752ADBF" w14:textId="77777777" w:rsidR="009F5C2B" w:rsidRPr="009D1AD4" w:rsidRDefault="009F5C2B" w:rsidP="00702E66">
            <w:pPr>
              <w:rPr>
                <w:rFonts w:ascii="Arial" w:hAnsi="Arial" w:cs="Arial"/>
                <w:sz w:val="20"/>
                <w:szCs w:val="20"/>
              </w:rPr>
            </w:pPr>
            <w:r w:rsidRPr="009D1AD4">
              <w:rPr>
                <w:rFonts w:ascii="Arial" w:hAnsi="Arial" w:cs="Arial"/>
                <w:sz w:val="20"/>
                <w:szCs w:val="20"/>
              </w:rPr>
              <w:t>No, unless the domestic partnership changes an individual’s tax status. If the domestic partner becomes a tax dependent, it could trigger a qualifying event.</w:t>
            </w:r>
          </w:p>
        </w:tc>
      </w:tr>
    </w:tbl>
    <w:p w14:paraId="62BB9352" w14:textId="7F92FD26" w:rsidR="009F5C2B" w:rsidRDefault="009F5C2B" w:rsidP="004C6CEA">
      <w:pPr>
        <w:pStyle w:val="ListParagraph"/>
        <w:spacing w:after="200"/>
        <w:ind w:left="0"/>
        <w:contextualSpacing w:val="0"/>
        <w:rPr>
          <w:rFonts w:ascii="Arial" w:hAnsi="Arial" w:cs="Arial"/>
          <w:color w:val="000000"/>
          <w:sz w:val="20"/>
          <w:szCs w:val="20"/>
        </w:rPr>
      </w:pPr>
    </w:p>
    <w:p w14:paraId="494E3FD7" w14:textId="77777777" w:rsidR="00354D6A" w:rsidRPr="009D1AD4" w:rsidRDefault="00354D6A" w:rsidP="004C6CEA">
      <w:pPr>
        <w:spacing w:after="200"/>
        <w:rPr>
          <w:rFonts w:ascii="Arial" w:hAnsi="Arial" w:cs="Arial"/>
          <w:sz w:val="20"/>
          <w:szCs w:val="20"/>
        </w:rPr>
      </w:pPr>
      <w:r w:rsidRPr="00C5063D">
        <w:rPr>
          <w:rFonts w:ascii="Arial" w:hAnsi="Arial" w:cs="Arial"/>
          <w:b/>
          <w:bCs/>
          <w:color w:val="001BBA"/>
          <w:sz w:val="22"/>
          <w:szCs w:val="22"/>
        </w:rPr>
        <w:t>Question:</w:t>
      </w:r>
      <w:r>
        <w:rPr>
          <w:rFonts w:ascii="Arial" w:hAnsi="Arial" w:cs="Arial"/>
          <w:b/>
          <w:sz w:val="20"/>
          <w:szCs w:val="20"/>
        </w:rPr>
        <w:t xml:space="preserve"> </w:t>
      </w:r>
      <w:r w:rsidRPr="009D1AD4">
        <w:rPr>
          <w:rFonts w:ascii="Arial" w:hAnsi="Arial" w:cs="Arial"/>
          <w:color w:val="000000"/>
          <w:sz w:val="20"/>
          <w:szCs w:val="20"/>
        </w:rPr>
        <w:t>If a parent wants to drop a child (age 23) from the parent’s plan because the parent no longer wants to pay for the child’s coverage, would this be considered a qualifying event for the child to join the child’s employer’s plan? Is the parent allowed to drop the child from coverage for this reason outside of open enrollment?</w:t>
      </w:r>
    </w:p>
    <w:p w14:paraId="7F1CD8AD" w14:textId="77777777" w:rsidR="00354D6A" w:rsidRPr="009D1AD4" w:rsidRDefault="00354D6A" w:rsidP="004C6CEA">
      <w:pPr>
        <w:spacing w:after="200"/>
        <w:rPr>
          <w:rFonts w:ascii="Arial" w:hAnsi="Arial" w:cs="Arial"/>
          <w:color w:val="000000"/>
          <w:sz w:val="20"/>
          <w:szCs w:val="20"/>
        </w:rPr>
      </w:pPr>
      <w:r w:rsidRPr="009D1AD4">
        <w:rPr>
          <w:rFonts w:ascii="Arial" w:hAnsi="Arial" w:cs="Arial"/>
          <w:b/>
          <w:sz w:val="20"/>
          <w:szCs w:val="20"/>
        </w:rPr>
        <w:t>Answer:</w:t>
      </w:r>
      <w:r w:rsidRPr="009D1AD4">
        <w:rPr>
          <w:rFonts w:ascii="Arial" w:hAnsi="Arial" w:cs="Arial"/>
          <w:sz w:val="20"/>
          <w:szCs w:val="20"/>
        </w:rPr>
        <w:t xml:space="preserve"> </w:t>
      </w:r>
      <w:r w:rsidRPr="009D1AD4">
        <w:rPr>
          <w:rFonts w:ascii="Arial" w:hAnsi="Arial" w:cs="Arial"/>
          <w:color w:val="000000"/>
          <w:sz w:val="20"/>
          <w:szCs w:val="20"/>
        </w:rPr>
        <w:t>Yes, if the child loses group health plan coverage, then the child has a HIPAA special enrollment right to join his employer’s group health plan.</w:t>
      </w:r>
    </w:p>
    <w:p w14:paraId="01DA45C0" w14:textId="77777777" w:rsidR="00354D6A" w:rsidRPr="009D1AD4" w:rsidRDefault="00354D6A" w:rsidP="004C6CEA">
      <w:pPr>
        <w:spacing w:after="200"/>
        <w:rPr>
          <w:rFonts w:ascii="Arial" w:hAnsi="Arial" w:cs="Arial"/>
          <w:color w:val="000000"/>
          <w:sz w:val="20"/>
          <w:szCs w:val="20"/>
        </w:rPr>
      </w:pPr>
      <w:r w:rsidRPr="009D1AD4">
        <w:rPr>
          <w:rFonts w:ascii="Arial" w:hAnsi="Arial" w:cs="Arial"/>
          <w:color w:val="000000"/>
          <w:sz w:val="20"/>
          <w:szCs w:val="20"/>
        </w:rPr>
        <w:t>However, a parent’s unwillingness to continue paying for a child’s coverage is not a permitted election change event under the Section 125 cafeteria plan rules. This means that a parent cannot drop a child’s coverage mid-year based on the reason that the parent doesn’t want to pay for the child’s coverage.</w:t>
      </w:r>
    </w:p>
    <w:p w14:paraId="355F4564" w14:textId="1B4B5A97" w:rsidR="00354D6A" w:rsidRDefault="0049445B" w:rsidP="004C6CEA">
      <w:pPr>
        <w:spacing w:after="200"/>
        <w:rPr>
          <w:rFonts w:ascii="Arial" w:hAnsi="Arial" w:cs="Arial"/>
          <w:color w:val="000000"/>
          <w:sz w:val="20"/>
          <w:szCs w:val="20"/>
        </w:rPr>
      </w:pPr>
      <w:r>
        <w:rPr>
          <w:rFonts w:ascii="Arial" w:hAnsi="Arial" w:cs="Arial"/>
          <w:color w:val="000000"/>
          <w:sz w:val="20"/>
          <w:szCs w:val="20"/>
        </w:rPr>
        <w:t>O</w:t>
      </w:r>
      <w:r w:rsidR="00354D6A" w:rsidRPr="009D1AD4">
        <w:rPr>
          <w:rFonts w:ascii="Arial" w:hAnsi="Arial" w:cs="Arial"/>
          <w:color w:val="000000"/>
          <w:sz w:val="20"/>
          <w:szCs w:val="20"/>
        </w:rPr>
        <w:t>ur UBA Advisor “</w:t>
      </w:r>
      <w:hyperlink r:id="rId17" w:history="1">
        <w:r w:rsidR="00354D6A" w:rsidRPr="0049445B">
          <w:rPr>
            <w:rStyle w:val="Hyperlink"/>
          </w:rPr>
          <w:t>Cafeteria Plans: Qualifying Events and Changing Employee Elections</w:t>
        </w:r>
      </w:hyperlink>
      <w:r w:rsidR="00354D6A" w:rsidRPr="009D1AD4">
        <w:rPr>
          <w:rFonts w:ascii="Arial" w:hAnsi="Arial" w:cs="Arial"/>
          <w:color w:val="000000"/>
          <w:sz w:val="20"/>
          <w:szCs w:val="20"/>
        </w:rPr>
        <w:t>” describes HIPAA special enrollment rights at page 9.</w:t>
      </w:r>
    </w:p>
    <w:p w14:paraId="34DF1385" w14:textId="77777777" w:rsidR="00004129" w:rsidRPr="009D1AD4" w:rsidRDefault="00004129" w:rsidP="004C6CEA">
      <w:pPr>
        <w:spacing w:after="200"/>
        <w:rPr>
          <w:rFonts w:ascii="Arial" w:hAnsi="Arial" w:cs="Arial"/>
          <w:color w:val="000000"/>
          <w:sz w:val="20"/>
          <w:szCs w:val="20"/>
        </w:rPr>
      </w:pPr>
    </w:p>
    <w:p w14:paraId="0F67DD76" w14:textId="19EAF0D0" w:rsidR="00354D6A" w:rsidRPr="009D1AD4" w:rsidRDefault="00354D6A" w:rsidP="004C6CEA">
      <w:pPr>
        <w:spacing w:after="200"/>
        <w:rPr>
          <w:rFonts w:ascii="Arial" w:hAnsi="Arial" w:cs="Arial"/>
          <w:sz w:val="20"/>
          <w:szCs w:val="20"/>
        </w:rPr>
      </w:pPr>
      <w:r w:rsidRPr="00C5063D">
        <w:rPr>
          <w:rFonts w:ascii="Arial" w:hAnsi="Arial" w:cs="Arial"/>
          <w:b/>
          <w:bCs/>
          <w:color w:val="001BBA"/>
          <w:sz w:val="22"/>
          <w:szCs w:val="22"/>
        </w:rPr>
        <w:t>Question:</w:t>
      </w:r>
      <w:r w:rsidRPr="009D1AD4">
        <w:rPr>
          <w:rFonts w:ascii="Arial" w:hAnsi="Arial" w:cs="Arial"/>
          <w:sz w:val="20"/>
          <w:szCs w:val="20"/>
        </w:rPr>
        <w:t xml:space="preserve"> Under what circumstances would an executive reimbursement plan be permitted?</w:t>
      </w:r>
    </w:p>
    <w:p w14:paraId="225695C8" w14:textId="2138381D" w:rsidR="00354D6A" w:rsidRPr="009D1AD4" w:rsidRDefault="00354D6A" w:rsidP="004C6CEA">
      <w:pPr>
        <w:spacing w:after="200"/>
        <w:rPr>
          <w:rFonts w:ascii="Arial" w:hAnsi="Arial" w:cs="Arial"/>
          <w:sz w:val="20"/>
          <w:szCs w:val="20"/>
        </w:rPr>
      </w:pPr>
      <w:r w:rsidRPr="009D1AD4">
        <w:rPr>
          <w:rFonts w:ascii="Arial" w:hAnsi="Arial" w:cs="Arial"/>
          <w:b/>
          <w:sz w:val="20"/>
          <w:szCs w:val="20"/>
        </w:rPr>
        <w:t>Answer:</w:t>
      </w:r>
      <w:r w:rsidRPr="009D1AD4">
        <w:rPr>
          <w:rFonts w:ascii="Arial" w:hAnsi="Arial" w:cs="Arial"/>
          <w:sz w:val="20"/>
          <w:szCs w:val="20"/>
        </w:rPr>
        <w:t xml:space="preserve"> While</w:t>
      </w:r>
      <w:r w:rsidR="00055049">
        <w:rPr>
          <w:rFonts w:ascii="Arial" w:hAnsi="Arial" w:cs="Arial"/>
          <w:sz w:val="20"/>
          <w:szCs w:val="20"/>
        </w:rPr>
        <w:t xml:space="preserve"> </w:t>
      </w:r>
      <w:r w:rsidRPr="009D1AD4">
        <w:rPr>
          <w:rFonts w:ascii="Arial" w:hAnsi="Arial" w:cs="Arial"/>
          <w:sz w:val="20"/>
          <w:szCs w:val="20"/>
        </w:rPr>
        <w:t>executive</w:t>
      </w:r>
      <w:r w:rsidR="00055049">
        <w:rPr>
          <w:rFonts w:ascii="Arial" w:hAnsi="Arial" w:cs="Arial"/>
          <w:sz w:val="20"/>
          <w:szCs w:val="20"/>
        </w:rPr>
        <w:t xml:space="preserve"> </w:t>
      </w:r>
      <w:r w:rsidRPr="009D1AD4">
        <w:rPr>
          <w:rFonts w:ascii="Arial" w:hAnsi="Arial" w:cs="Arial"/>
          <w:sz w:val="20"/>
          <w:szCs w:val="20"/>
        </w:rPr>
        <w:t>reimbursement</w:t>
      </w:r>
      <w:r w:rsidR="00055049">
        <w:rPr>
          <w:rFonts w:ascii="Arial" w:hAnsi="Arial" w:cs="Arial"/>
          <w:sz w:val="20"/>
          <w:szCs w:val="20"/>
        </w:rPr>
        <w:t xml:space="preserve"> </w:t>
      </w:r>
      <w:r w:rsidRPr="009D1AD4">
        <w:rPr>
          <w:rFonts w:ascii="Arial" w:hAnsi="Arial" w:cs="Arial"/>
          <w:sz w:val="20"/>
          <w:szCs w:val="20"/>
        </w:rPr>
        <w:t>plans are</w:t>
      </w:r>
      <w:r w:rsidR="00055049">
        <w:rPr>
          <w:rFonts w:ascii="Arial" w:hAnsi="Arial" w:cs="Arial"/>
          <w:sz w:val="20"/>
          <w:szCs w:val="20"/>
        </w:rPr>
        <w:t xml:space="preserve"> </w:t>
      </w:r>
      <w:r w:rsidRPr="009D1AD4">
        <w:rPr>
          <w:rFonts w:ascii="Arial" w:hAnsi="Arial" w:cs="Arial"/>
          <w:sz w:val="20"/>
          <w:szCs w:val="20"/>
        </w:rPr>
        <w:t>disfavored</w:t>
      </w:r>
      <w:r w:rsidR="00055049">
        <w:rPr>
          <w:rFonts w:ascii="Arial" w:hAnsi="Arial" w:cs="Arial"/>
          <w:sz w:val="20"/>
          <w:szCs w:val="20"/>
        </w:rPr>
        <w:t xml:space="preserve"> </w:t>
      </w:r>
      <w:r w:rsidRPr="009D1AD4">
        <w:rPr>
          <w:rFonts w:ascii="Arial" w:hAnsi="Arial" w:cs="Arial"/>
          <w:sz w:val="20"/>
          <w:szCs w:val="20"/>
        </w:rPr>
        <w:t>and self-funded executive reimbursement</w:t>
      </w:r>
      <w:r w:rsidR="00055049">
        <w:rPr>
          <w:rFonts w:ascii="Arial" w:hAnsi="Arial" w:cs="Arial"/>
          <w:sz w:val="20"/>
          <w:szCs w:val="20"/>
        </w:rPr>
        <w:t xml:space="preserve"> </w:t>
      </w:r>
      <w:r w:rsidRPr="009D1AD4">
        <w:rPr>
          <w:rFonts w:ascii="Arial" w:hAnsi="Arial" w:cs="Arial"/>
          <w:sz w:val="20"/>
          <w:szCs w:val="20"/>
        </w:rPr>
        <w:t>plans are likely prohibited, it</w:t>
      </w:r>
      <w:r w:rsidR="00055049">
        <w:rPr>
          <w:rFonts w:ascii="Arial" w:hAnsi="Arial" w:cs="Arial"/>
          <w:sz w:val="20"/>
          <w:szCs w:val="20"/>
        </w:rPr>
        <w:t xml:space="preserve"> </w:t>
      </w:r>
      <w:r w:rsidRPr="009D1AD4">
        <w:rPr>
          <w:rFonts w:ascii="Arial" w:hAnsi="Arial" w:cs="Arial"/>
          <w:i/>
          <w:iCs/>
          <w:sz w:val="20"/>
          <w:szCs w:val="20"/>
        </w:rPr>
        <w:t>may</w:t>
      </w:r>
      <w:r w:rsidR="00055049">
        <w:rPr>
          <w:rFonts w:ascii="Arial" w:hAnsi="Arial" w:cs="Arial"/>
          <w:sz w:val="20"/>
          <w:szCs w:val="20"/>
        </w:rPr>
        <w:t xml:space="preserve"> </w:t>
      </w:r>
      <w:r w:rsidRPr="009D1AD4">
        <w:rPr>
          <w:rFonts w:ascii="Arial" w:hAnsi="Arial" w:cs="Arial"/>
          <w:sz w:val="20"/>
          <w:szCs w:val="20"/>
        </w:rPr>
        <w:t>be permissible to</w:t>
      </w:r>
      <w:r w:rsidR="00055049">
        <w:rPr>
          <w:rFonts w:ascii="Arial" w:hAnsi="Arial" w:cs="Arial"/>
          <w:sz w:val="20"/>
          <w:szCs w:val="20"/>
        </w:rPr>
        <w:t xml:space="preserve"> </w:t>
      </w:r>
      <w:r w:rsidRPr="009D1AD4">
        <w:rPr>
          <w:rFonts w:ascii="Arial" w:hAnsi="Arial" w:cs="Arial"/>
          <w:sz w:val="20"/>
          <w:szCs w:val="20"/>
        </w:rPr>
        <w:t>have an executive reimbursement</w:t>
      </w:r>
      <w:r w:rsidR="00055049">
        <w:rPr>
          <w:rFonts w:ascii="Arial" w:hAnsi="Arial" w:cs="Arial"/>
          <w:sz w:val="20"/>
          <w:szCs w:val="20"/>
        </w:rPr>
        <w:t xml:space="preserve"> </w:t>
      </w:r>
      <w:r w:rsidRPr="009D1AD4">
        <w:rPr>
          <w:rFonts w:ascii="Arial" w:hAnsi="Arial" w:cs="Arial"/>
          <w:sz w:val="20"/>
          <w:szCs w:val="20"/>
        </w:rPr>
        <w:t>plan</w:t>
      </w:r>
      <w:r w:rsidR="00055049">
        <w:rPr>
          <w:rFonts w:ascii="Arial" w:hAnsi="Arial" w:cs="Arial"/>
          <w:sz w:val="20"/>
          <w:szCs w:val="20"/>
        </w:rPr>
        <w:t xml:space="preserve"> </w:t>
      </w:r>
      <w:r w:rsidRPr="009D1AD4">
        <w:rPr>
          <w:rFonts w:ascii="Arial" w:hAnsi="Arial" w:cs="Arial"/>
          <w:sz w:val="20"/>
          <w:szCs w:val="20"/>
        </w:rPr>
        <w:t>if it is fully insured and not run through</w:t>
      </w:r>
      <w:r w:rsidR="00055049">
        <w:rPr>
          <w:rFonts w:ascii="Arial" w:hAnsi="Arial" w:cs="Arial"/>
          <w:sz w:val="20"/>
          <w:szCs w:val="20"/>
        </w:rPr>
        <w:t xml:space="preserve"> </w:t>
      </w:r>
      <w:r w:rsidRPr="009D1AD4">
        <w:rPr>
          <w:rFonts w:ascii="Arial" w:hAnsi="Arial" w:cs="Arial"/>
          <w:sz w:val="20"/>
          <w:szCs w:val="20"/>
        </w:rPr>
        <w:t>a cafeteria</w:t>
      </w:r>
      <w:r w:rsidR="00055049">
        <w:rPr>
          <w:rFonts w:ascii="Arial" w:hAnsi="Arial" w:cs="Arial"/>
          <w:sz w:val="20"/>
          <w:szCs w:val="20"/>
        </w:rPr>
        <w:t xml:space="preserve"> </w:t>
      </w:r>
      <w:r w:rsidRPr="009D1AD4">
        <w:rPr>
          <w:rFonts w:ascii="Arial" w:hAnsi="Arial" w:cs="Arial"/>
          <w:sz w:val="20"/>
          <w:szCs w:val="20"/>
        </w:rPr>
        <w:t>plan. A</w:t>
      </w:r>
      <w:r w:rsidR="00055049">
        <w:rPr>
          <w:rFonts w:ascii="Arial" w:hAnsi="Arial" w:cs="Arial"/>
          <w:sz w:val="20"/>
          <w:szCs w:val="20"/>
        </w:rPr>
        <w:t xml:space="preserve"> </w:t>
      </w:r>
      <w:r w:rsidRPr="009D1AD4">
        <w:rPr>
          <w:rFonts w:ascii="Arial" w:hAnsi="Arial" w:cs="Arial"/>
          <w:sz w:val="20"/>
          <w:szCs w:val="20"/>
        </w:rPr>
        <w:t>plan</w:t>
      </w:r>
      <w:r w:rsidR="00055049">
        <w:rPr>
          <w:rFonts w:ascii="Arial" w:hAnsi="Arial" w:cs="Arial"/>
          <w:sz w:val="20"/>
          <w:szCs w:val="20"/>
        </w:rPr>
        <w:t xml:space="preserve"> </w:t>
      </w:r>
      <w:r w:rsidRPr="009D1AD4">
        <w:rPr>
          <w:rFonts w:ascii="Arial" w:hAnsi="Arial" w:cs="Arial"/>
          <w:sz w:val="20"/>
          <w:szCs w:val="20"/>
        </w:rPr>
        <w:t>sponsor who is considering an</w:t>
      </w:r>
      <w:r w:rsidR="00055049">
        <w:rPr>
          <w:rFonts w:ascii="Arial" w:hAnsi="Arial" w:cs="Arial"/>
          <w:sz w:val="20"/>
          <w:szCs w:val="20"/>
        </w:rPr>
        <w:t xml:space="preserve"> </w:t>
      </w:r>
      <w:r w:rsidRPr="009D1AD4">
        <w:rPr>
          <w:rFonts w:ascii="Arial" w:hAnsi="Arial" w:cs="Arial"/>
          <w:sz w:val="20"/>
          <w:szCs w:val="20"/>
        </w:rPr>
        <w:t>executive</w:t>
      </w:r>
      <w:r w:rsidR="00055049">
        <w:rPr>
          <w:rFonts w:ascii="Arial" w:hAnsi="Arial" w:cs="Arial"/>
          <w:sz w:val="20"/>
          <w:szCs w:val="20"/>
        </w:rPr>
        <w:t xml:space="preserve"> </w:t>
      </w:r>
      <w:r w:rsidRPr="009D1AD4">
        <w:rPr>
          <w:rFonts w:ascii="Arial" w:hAnsi="Arial" w:cs="Arial"/>
          <w:sz w:val="20"/>
          <w:szCs w:val="20"/>
        </w:rPr>
        <w:t>reimbursement</w:t>
      </w:r>
      <w:r w:rsidR="00055049">
        <w:rPr>
          <w:rFonts w:ascii="Arial" w:hAnsi="Arial" w:cs="Arial"/>
          <w:sz w:val="20"/>
          <w:szCs w:val="20"/>
        </w:rPr>
        <w:t xml:space="preserve"> </w:t>
      </w:r>
      <w:r w:rsidRPr="009D1AD4">
        <w:rPr>
          <w:rFonts w:ascii="Arial" w:hAnsi="Arial" w:cs="Arial"/>
          <w:sz w:val="20"/>
          <w:szCs w:val="20"/>
        </w:rPr>
        <w:t>plan</w:t>
      </w:r>
      <w:r w:rsidR="00055049">
        <w:rPr>
          <w:rFonts w:ascii="Arial" w:hAnsi="Arial" w:cs="Arial"/>
          <w:sz w:val="20"/>
          <w:szCs w:val="20"/>
        </w:rPr>
        <w:t xml:space="preserve"> </w:t>
      </w:r>
      <w:r w:rsidRPr="009D1AD4">
        <w:rPr>
          <w:rFonts w:ascii="Arial" w:hAnsi="Arial" w:cs="Arial"/>
          <w:sz w:val="20"/>
          <w:szCs w:val="20"/>
        </w:rPr>
        <w:t>should consult with</w:t>
      </w:r>
      <w:r w:rsidR="00055049">
        <w:rPr>
          <w:rFonts w:ascii="Arial" w:hAnsi="Arial" w:cs="Arial"/>
          <w:sz w:val="20"/>
          <w:szCs w:val="20"/>
        </w:rPr>
        <w:t xml:space="preserve"> </w:t>
      </w:r>
      <w:r w:rsidRPr="009D1AD4">
        <w:rPr>
          <w:rFonts w:ascii="Arial" w:hAnsi="Arial" w:cs="Arial"/>
          <w:sz w:val="20"/>
          <w:szCs w:val="20"/>
        </w:rPr>
        <w:t>its attorney before proceeding.</w:t>
      </w:r>
    </w:p>
    <w:p w14:paraId="5BE2A55A" w14:textId="656B17DE" w:rsidR="00354D6A" w:rsidRPr="009D1AD4" w:rsidRDefault="00354D6A" w:rsidP="004C6CEA">
      <w:pPr>
        <w:spacing w:after="200"/>
        <w:rPr>
          <w:rFonts w:ascii="Arial" w:hAnsi="Arial" w:cs="Arial"/>
          <w:sz w:val="20"/>
          <w:szCs w:val="20"/>
        </w:rPr>
      </w:pPr>
      <w:r w:rsidRPr="009D1AD4">
        <w:rPr>
          <w:rFonts w:ascii="Arial" w:hAnsi="Arial" w:cs="Arial"/>
          <w:sz w:val="20"/>
          <w:szCs w:val="20"/>
        </w:rPr>
        <w:t>Please be aware that, under the Patient Protection and Affordable Care Act (ACA), the Section</w:t>
      </w:r>
      <w:r w:rsidR="00055049">
        <w:rPr>
          <w:rFonts w:ascii="Arial" w:hAnsi="Arial" w:cs="Arial"/>
          <w:sz w:val="20"/>
          <w:szCs w:val="20"/>
        </w:rPr>
        <w:t xml:space="preserve"> </w:t>
      </w:r>
      <w:r w:rsidRPr="009D1AD4">
        <w:rPr>
          <w:rFonts w:ascii="Arial" w:hAnsi="Arial" w:cs="Arial"/>
          <w:sz w:val="20"/>
          <w:szCs w:val="20"/>
        </w:rPr>
        <w:t>105(h)</w:t>
      </w:r>
      <w:r w:rsidR="00055049">
        <w:rPr>
          <w:rFonts w:ascii="Arial" w:hAnsi="Arial" w:cs="Arial"/>
          <w:sz w:val="20"/>
          <w:szCs w:val="20"/>
        </w:rPr>
        <w:t xml:space="preserve"> </w:t>
      </w:r>
      <w:r w:rsidRPr="009D1AD4">
        <w:rPr>
          <w:rFonts w:ascii="Arial" w:hAnsi="Arial" w:cs="Arial"/>
          <w:sz w:val="20"/>
          <w:szCs w:val="20"/>
        </w:rPr>
        <w:t>rules are to apply to fully insured, non-grandfathered</w:t>
      </w:r>
      <w:r w:rsidR="00055049">
        <w:rPr>
          <w:rFonts w:ascii="Arial" w:hAnsi="Arial" w:cs="Arial"/>
          <w:sz w:val="20"/>
          <w:szCs w:val="20"/>
        </w:rPr>
        <w:t xml:space="preserve"> </w:t>
      </w:r>
      <w:r w:rsidRPr="009D1AD4">
        <w:rPr>
          <w:rFonts w:ascii="Arial" w:hAnsi="Arial" w:cs="Arial"/>
          <w:sz w:val="20"/>
          <w:szCs w:val="20"/>
        </w:rPr>
        <w:t>plans. In late 2010, the government delayed enforcement of Section 105(h) against fully insured, non-grandfathered</w:t>
      </w:r>
      <w:r w:rsidR="00055049">
        <w:rPr>
          <w:rFonts w:ascii="Arial" w:hAnsi="Arial" w:cs="Arial"/>
          <w:sz w:val="20"/>
          <w:szCs w:val="20"/>
        </w:rPr>
        <w:t xml:space="preserve"> </w:t>
      </w:r>
      <w:r w:rsidRPr="009D1AD4">
        <w:rPr>
          <w:rFonts w:ascii="Arial" w:hAnsi="Arial" w:cs="Arial"/>
          <w:sz w:val="20"/>
          <w:szCs w:val="20"/>
        </w:rPr>
        <w:t>plans until the first</w:t>
      </w:r>
      <w:r w:rsidR="00055049">
        <w:rPr>
          <w:rFonts w:ascii="Arial" w:hAnsi="Arial" w:cs="Arial"/>
          <w:sz w:val="20"/>
          <w:szCs w:val="20"/>
        </w:rPr>
        <w:t xml:space="preserve"> </w:t>
      </w:r>
      <w:r w:rsidRPr="009D1AD4">
        <w:rPr>
          <w:rFonts w:ascii="Arial" w:hAnsi="Arial" w:cs="Arial"/>
          <w:sz w:val="20"/>
          <w:szCs w:val="20"/>
        </w:rPr>
        <w:t>plan</w:t>
      </w:r>
      <w:r w:rsidR="00055049">
        <w:rPr>
          <w:rFonts w:ascii="Arial" w:hAnsi="Arial" w:cs="Arial"/>
          <w:sz w:val="20"/>
          <w:szCs w:val="20"/>
        </w:rPr>
        <w:t xml:space="preserve"> </w:t>
      </w:r>
      <w:r w:rsidRPr="009D1AD4">
        <w:rPr>
          <w:rFonts w:ascii="Arial" w:hAnsi="Arial" w:cs="Arial"/>
          <w:sz w:val="20"/>
          <w:szCs w:val="20"/>
        </w:rPr>
        <w:t xml:space="preserve">year </w:t>
      </w:r>
      <w:r w:rsidRPr="009D1AD4">
        <w:rPr>
          <w:rFonts w:ascii="Arial" w:hAnsi="Arial" w:cs="Arial"/>
          <w:sz w:val="20"/>
          <w:szCs w:val="20"/>
        </w:rPr>
        <w:lastRenderedPageBreak/>
        <w:t>beginning after regulations are issued. To date, no regulations</w:t>
      </w:r>
      <w:r w:rsidR="00055049">
        <w:rPr>
          <w:rFonts w:ascii="Arial" w:hAnsi="Arial" w:cs="Arial"/>
          <w:sz w:val="20"/>
          <w:szCs w:val="20"/>
        </w:rPr>
        <w:t xml:space="preserve"> </w:t>
      </w:r>
      <w:r w:rsidRPr="009D1AD4">
        <w:rPr>
          <w:rFonts w:ascii="Arial" w:hAnsi="Arial" w:cs="Arial"/>
          <w:sz w:val="20"/>
          <w:szCs w:val="20"/>
        </w:rPr>
        <w:t>have been issued so there is currently no penalty for noncompliance. This means that if the IRS issues regulations, then an executive reimbursement plan</w:t>
      </w:r>
      <w:r w:rsidR="00055049">
        <w:rPr>
          <w:rFonts w:ascii="Arial" w:hAnsi="Arial" w:cs="Arial"/>
          <w:sz w:val="20"/>
          <w:szCs w:val="20"/>
        </w:rPr>
        <w:t xml:space="preserve"> </w:t>
      </w:r>
      <w:r w:rsidRPr="009D1AD4">
        <w:rPr>
          <w:rFonts w:ascii="Arial" w:hAnsi="Arial" w:cs="Arial"/>
          <w:sz w:val="20"/>
          <w:szCs w:val="20"/>
        </w:rPr>
        <w:t>sponsor could face enforcement because the</w:t>
      </w:r>
      <w:r w:rsidR="00055049">
        <w:rPr>
          <w:rFonts w:ascii="Arial" w:hAnsi="Arial" w:cs="Arial"/>
          <w:sz w:val="20"/>
          <w:szCs w:val="20"/>
        </w:rPr>
        <w:t xml:space="preserve"> </w:t>
      </w:r>
      <w:r w:rsidRPr="009D1AD4">
        <w:rPr>
          <w:rFonts w:ascii="Arial" w:hAnsi="Arial" w:cs="Arial"/>
          <w:sz w:val="20"/>
          <w:szCs w:val="20"/>
        </w:rPr>
        <w:t>arrangement</w:t>
      </w:r>
      <w:r w:rsidR="00055049">
        <w:rPr>
          <w:rFonts w:ascii="Arial" w:hAnsi="Arial" w:cs="Arial"/>
          <w:sz w:val="20"/>
          <w:szCs w:val="20"/>
        </w:rPr>
        <w:t xml:space="preserve"> </w:t>
      </w:r>
      <w:r w:rsidRPr="009D1AD4">
        <w:rPr>
          <w:rFonts w:ascii="Arial" w:hAnsi="Arial" w:cs="Arial"/>
          <w:sz w:val="20"/>
          <w:szCs w:val="20"/>
        </w:rPr>
        <w:t>would likely be prohibited.</w:t>
      </w:r>
    </w:p>
    <w:p w14:paraId="6FC8299D" w14:textId="7CB3B10F" w:rsidR="00354D6A" w:rsidRPr="009D1AD4" w:rsidRDefault="00354D6A" w:rsidP="004C6CEA">
      <w:pPr>
        <w:spacing w:after="200"/>
        <w:rPr>
          <w:rFonts w:ascii="Arial" w:hAnsi="Arial" w:cs="Arial"/>
          <w:sz w:val="20"/>
          <w:szCs w:val="20"/>
        </w:rPr>
      </w:pPr>
      <w:r w:rsidRPr="009D1AD4">
        <w:rPr>
          <w:rFonts w:ascii="Arial" w:hAnsi="Arial" w:cs="Arial"/>
          <w:sz w:val="20"/>
          <w:szCs w:val="20"/>
        </w:rPr>
        <w:t>Further, in discussions with</w:t>
      </w:r>
      <w:r w:rsidR="00055049">
        <w:rPr>
          <w:rFonts w:ascii="Arial" w:hAnsi="Arial" w:cs="Arial"/>
          <w:sz w:val="20"/>
          <w:szCs w:val="20"/>
        </w:rPr>
        <w:t xml:space="preserve"> </w:t>
      </w:r>
      <w:r w:rsidRPr="009D1AD4">
        <w:rPr>
          <w:rFonts w:ascii="Arial" w:hAnsi="Arial" w:cs="Arial"/>
          <w:sz w:val="20"/>
          <w:szCs w:val="20"/>
        </w:rPr>
        <w:t>other Partner Firm members, there are some</w:t>
      </w:r>
      <w:r w:rsidR="00055049">
        <w:rPr>
          <w:rFonts w:ascii="Arial" w:hAnsi="Arial" w:cs="Arial"/>
          <w:sz w:val="20"/>
          <w:szCs w:val="20"/>
        </w:rPr>
        <w:t xml:space="preserve"> </w:t>
      </w:r>
      <w:r w:rsidRPr="009D1AD4">
        <w:rPr>
          <w:rFonts w:ascii="Arial" w:hAnsi="Arial" w:cs="Arial"/>
          <w:sz w:val="20"/>
          <w:szCs w:val="20"/>
        </w:rPr>
        <w:t>carriers</w:t>
      </w:r>
      <w:r w:rsidR="00055049">
        <w:rPr>
          <w:rFonts w:ascii="Arial" w:hAnsi="Arial" w:cs="Arial"/>
          <w:sz w:val="20"/>
          <w:szCs w:val="20"/>
        </w:rPr>
        <w:t xml:space="preserve"> </w:t>
      </w:r>
      <w:r w:rsidRPr="009D1AD4">
        <w:rPr>
          <w:rFonts w:ascii="Arial" w:hAnsi="Arial" w:cs="Arial"/>
          <w:sz w:val="20"/>
          <w:szCs w:val="20"/>
        </w:rPr>
        <w:t>who run</w:t>
      </w:r>
      <w:r w:rsidR="00055049">
        <w:rPr>
          <w:rFonts w:ascii="Arial" w:hAnsi="Arial" w:cs="Arial"/>
          <w:sz w:val="20"/>
          <w:szCs w:val="20"/>
        </w:rPr>
        <w:t xml:space="preserve"> </w:t>
      </w:r>
      <w:r w:rsidRPr="009D1AD4">
        <w:rPr>
          <w:rFonts w:ascii="Arial" w:hAnsi="Arial" w:cs="Arial"/>
          <w:sz w:val="20"/>
          <w:szCs w:val="20"/>
        </w:rPr>
        <w:t>Section</w:t>
      </w:r>
      <w:r w:rsidR="00055049">
        <w:rPr>
          <w:rFonts w:ascii="Arial" w:hAnsi="Arial" w:cs="Arial"/>
          <w:sz w:val="20"/>
          <w:szCs w:val="20"/>
        </w:rPr>
        <w:t xml:space="preserve"> </w:t>
      </w:r>
      <w:r w:rsidRPr="009D1AD4">
        <w:rPr>
          <w:rFonts w:ascii="Arial" w:hAnsi="Arial" w:cs="Arial"/>
          <w:sz w:val="20"/>
          <w:szCs w:val="20"/>
        </w:rPr>
        <w:t>105(h)</w:t>
      </w:r>
      <w:r w:rsidR="00055049">
        <w:rPr>
          <w:rFonts w:ascii="Arial" w:hAnsi="Arial" w:cs="Arial"/>
          <w:sz w:val="20"/>
          <w:szCs w:val="20"/>
        </w:rPr>
        <w:t xml:space="preserve"> </w:t>
      </w:r>
      <w:r w:rsidRPr="009D1AD4">
        <w:rPr>
          <w:rFonts w:ascii="Arial" w:hAnsi="Arial" w:cs="Arial"/>
          <w:sz w:val="20"/>
          <w:szCs w:val="20"/>
        </w:rPr>
        <w:t>nondiscrimination testing on all their fully insured, non-grandfathered plans because that is what the</w:t>
      </w:r>
      <w:r w:rsidR="00055049">
        <w:rPr>
          <w:rFonts w:ascii="Arial" w:hAnsi="Arial" w:cs="Arial"/>
          <w:sz w:val="20"/>
          <w:szCs w:val="20"/>
        </w:rPr>
        <w:t xml:space="preserve"> </w:t>
      </w:r>
      <w:r w:rsidRPr="009D1AD4">
        <w:rPr>
          <w:rFonts w:ascii="Arial" w:hAnsi="Arial" w:cs="Arial"/>
          <w:sz w:val="20"/>
          <w:szCs w:val="20"/>
        </w:rPr>
        <w:t>ACA</w:t>
      </w:r>
      <w:r w:rsidR="00055049">
        <w:rPr>
          <w:rFonts w:ascii="Arial" w:hAnsi="Arial" w:cs="Arial"/>
          <w:sz w:val="20"/>
          <w:szCs w:val="20"/>
        </w:rPr>
        <w:t xml:space="preserve"> </w:t>
      </w:r>
      <w:r w:rsidRPr="009D1AD4">
        <w:rPr>
          <w:rFonts w:ascii="Arial" w:hAnsi="Arial" w:cs="Arial"/>
          <w:sz w:val="20"/>
          <w:szCs w:val="20"/>
        </w:rPr>
        <w:t>says applies to those plans, despite the IRS’ statement that it will</w:t>
      </w:r>
      <w:r w:rsidR="00055049">
        <w:rPr>
          <w:rFonts w:ascii="Arial" w:hAnsi="Arial" w:cs="Arial"/>
          <w:sz w:val="20"/>
          <w:szCs w:val="20"/>
        </w:rPr>
        <w:t xml:space="preserve"> </w:t>
      </w:r>
      <w:r w:rsidRPr="009D1AD4">
        <w:rPr>
          <w:rFonts w:ascii="Arial" w:hAnsi="Arial" w:cs="Arial"/>
          <w:sz w:val="20"/>
          <w:szCs w:val="20"/>
        </w:rPr>
        <w:t>hold off enforcement until after it issues regulations.</w:t>
      </w:r>
    </w:p>
    <w:p w14:paraId="517D38EC" w14:textId="1ECBB673" w:rsidR="00354D6A" w:rsidRDefault="00354D6A" w:rsidP="004C6CEA">
      <w:pPr>
        <w:spacing w:after="200"/>
        <w:rPr>
          <w:rFonts w:ascii="Arial" w:hAnsi="Arial" w:cs="Arial"/>
          <w:sz w:val="20"/>
          <w:szCs w:val="20"/>
        </w:rPr>
      </w:pPr>
    </w:p>
    <w:p w14:paraId="2E49FB54" w14:textId="1DDE2377" w:rsidR="00354D6A" w:rsidRPr="009D1AD4" w:rsidRDefault="00354D6A" w:rsidP="004C6CEA">
      <w:pPr>
        <w:spacing w:after="200"/>
        <w:rPr>
          <w:rFonts w:ascii="Arial" w:hAnsi="Arial" w:cs="Arial"/>
          <w:sz w:val="20"/>
          <w:szCs w:val="20"/>
        </w:rPr>
      </w:pPr>
      <w:r w:rsidRPr="00C5063D">
        <w:rPr>
          <w:rFonts w:ascii="Arial" w:hAnsi="Arial" w:cs="Arial"/>
          <w:b/>
          <w:bCs/>
          <w:color w:val="001BBA"/>
          <w:sz w:val="22"/>
          <w:szCs w:val="22"/>
        </w:rPr>
        <w:t>Question:</w:t>
      </w:r>
      <w:r w:rsidRPr="009D1AD4">
        <w:rPr>
          <w:rFonts w:ascii="Arial" w:hAnsi="Arial" w:cs="Arial"/>
          <w:sz w:val="20"/>
          <w:szCs w:val="20"/>
        </w:rPr>
        <w:t xml:space="preserve"> Can an employee be HSA-eligible if the employee’s spouse is enrolled in Medicare?</w:t>
      </w:r>
    </w:p>
    <w:p w14:paraId="71F35F0B" w14:textId="77777777" w:rsidR="00354D6A" w:rsidRPr="009D1AD4" w:rsidRDefault="00354D6A" w:rsidP="00004129">
      <w:pPr>
        <w:spacing w:after="200"/>
        <w:ind w:right="-270"/>
        <w:rPr>
          <w:rFonts w:ascii="Arial" w:hAnsi="Arial" w:cs="Arial"/>
          <w:sz w:val="20"/>
          <w:szCs w:val="20"/>
        </w:rPr>
      </w:pPr>
      <w:r w:rsidRPr="009D1AD4">
        <w:rPr>
          <w:rFonts w:ascii="Arial" w:hAnsi="Arial" w:cs="Arial"/>
          <w:b/>
          <w:sz w:val="20"/>
          <w:szCs w:val="20"/>
        </w:rPr>
        <w:t>Answer:</w:t>
      </w:r>
      <w:r w:rsidRPr="009D1AD4">
        <w:rPr>
          <w:rFonts w:ascii="Arial" w:hAnsi="Arial" w:cs="Arial"/>
          <w:sz w:val="20"/>
          <w:szCs w:val="20"/>
        </w:rPr>
        <w:t xml:space="preserve"> Yes. To be an eligible individual and qualify for an HSA, you must meet the following requirements:</w:t>
      </w:r>
    </w:p>
    <w:p w14:paraId="203832D0" w14:textId="77777777" w:rsidR="00354D6A" w:rsidRPr="009D1AD4" w:rsidRDefault="00354D6A" w:rsidP="0049445B">
      <w:pPr>
        <w:numPr>
          <w:ilvl w:val="0"/>
          <w:numId w:val="6"/>
        </w:numPr>
        <w:rPr>
          <w:rFonts w:ascii="Arial" w:hAnsi="Arial" w:cs="Arial"/>
          <w:sz w:val="20"/>
          <w:szCs w:val="20"/>
        </w:rPr>
      </w:pPr>
      <w:r w:rsidRPr="009D1AD4">
        <w:rPr>
          <w:rFonts w:ascii="Arial" w:hAnsi="Arial" w:cs="Arial"/>
          <w:sz w:val="20"/>
          <w:szCs w:val="20"/>
        </w:rPr>
        <w:t>You must be covered under a high deductible health plan (HDHP) on the first day of the month.</w:t>
      </w:r>
    </w:p>
    <w:p w14:paraId="270224B0" w14:textId="77777777" w:rsidR="00354D6A" w:rsidRPr="009D1AD4" w:rsidRDefault="00354D6A" w:rsidP="0049445B">
      <w:pPr>
        <w:numPr>
          <w:ilvl w:val="0"/>
          <w:numId w:val="6"/>
        </w:numPr>
        <w:rPr>
          <w:rFonts w:ascii="Arial" w:hAnsi="Arial" w:cs="Arial"/>
          <w:sz w:val="20"/>
          <w:szCs w:val="20"/>
        </w:rPr>
      </w:pPr>
      <w:r w:rsidRPr="009D1AD4">
        <w:rPr>
          <w:rFonts w:ascii="Arial" w:hAnsi="Arial" w:cs="Arial"/>
          <w:sz w:val="20"/>
          <w:szCs w:val="20"/>
        </w:rPr>
        <w:t>You are not enrolled in Medicare.</w:t>
      </w:r>
    </w:p>
    <w:p w14:paraId="18464696" w14:textId="77777777" w:rsidR="00354D6A" w:rsidRPr="009D1AD4" w:rsidRDefault="00354D6A" w:rsidP="0049445B">
      <w:pPr>
        <w:numPr>
          <w:ilvl w:val="0"/>
          <w:numId w:val="6"/>
        </w:numPr>
        <w:rPr>
          <w:rFonts w:ascii="Arial" w:hAnsi="Arial" w:cs="Arial"/>
          <w:sz w:val="20"/>
          <w:szCs w:val="20"/>
        </w:rPr>
      </w:pPr>
      <w:r w:rsidRPr="009D1AD4">
        <w:rPr>
          <w:rFonts w:ascii="Arial" w:hAnsi="Arial" w:cs="Arial"/>
          <w:sz w:val="20"/>
          <w:szCs w:val="20"/>
        </w:rPr>
        <w:t>You cannot be claimed as a dependent on someone else’s tax return for the year.</w:t>
      </w:r>
    </w:p>
    <w:p w14:paraId="5B0EA961" w14:textId="52F13BB5" w:rsidR="00354D6A" w:rsidRDefault="00354D6A" w:rsidP="0049445B">
      <w:pPr>
        <w:numPr>
          <w:ilvl w:val="0"/>
          <w:numId w:val="6"/>
        </w:numPr>
        <w:rPr>
          <w:rFonts w:ascii="Arial" w:hAnsi="Arial" w:cs="Arial"/>
          <w:sz w:val="20"/>
          <w:szCs w:val="20"/>
        </w:rPr>
      </w:pPr>
      <w:r w:rsidRPr="009D1AD4">
        <w:rPr>
          <w:rFonts w:ascii="Arial" w:hAnsi="Arial" w:cs="Arial"/>
          <w:sz w:val="20"/>
          <w:szCs w:val="20"/>
        </w:rPr>
        <w:t>You have no other disqualifying health coverage except what is permitted.</w:t>
      </w:r>
    </w:p>
    <w:p w14:paraId="0B8C70EA" w14:textId="77777777" w:rsidR="0049445B" w:rsidRPr="009D1AD4" w:rsidRDefault="0049445B" w:rsidP="0049445B">
      <w:pPr>
        <w:rPr>
          <w:rFonts w:ascii="Arial" w:hAnsi="Arial" w:cs="Arial"/>
          <w:sz w:val="20"/>
          <w:szCs w:val="20"/>
        </w:rPr>
      </w:pPr>
    </w:p>
    <w:tbl>
      <w:tblPr>
        <w:tblStyle w:val="TableGrid"/>
        <w:tblW w:w="0" w:type="auto"/>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CellMar>
          <w:top w:w="58" w:type="dxa"/>
          <w:left w:w="115" w:type="dxa"/>
          <w:bottom w:w="58" w:type="dxa"/>
          <w:right w:w="115" w:type="dxa"/>
        </w:tblCellMar>
        <w:tblLook w:val="04A0" w:firstRow="1" w:lastRow="0" w:firstColumn="1" w:lastColumn="0" w:noHBand="0" w:noVBand="1"/>
      </w:tblPr>
      <w:tblGrid>
        <w:gridCol w:w="4428"/>
        <w:gridCol w:w="4428"/>
      </w:tblGrid>
      <w:tr w:rsidR="00A14E50" w:rsidRPr="00A14E50" w14:paraId="3579034B" w14:textId="77777777" w:rsidTr="00A14E50">
        <w:trPr>
          <w:tblHeader/>
        </w:trPr>
        <w:tc>
          <w:tcPr>
            <w:tcW w:w="4428" w:type="dxa"/>
            <w:tcBorders>
              <w:top w:val="nil"/>
              <w:bottom w:val="single" w:sz="4" w:space="0" w:color="A6A6A6" w:themeColor="background1" w:themeShade="A6"/>
              <w:right w:val="single" w:sz="4" w:space="0" w:color="A6A6A6" w:themeColor="background1" w:themeShade="A6"/>
            </w:tcBorders>
            <w:shd w:val="clear" w:color="auto" w:fill="DDE3EC"/>
          </w:tcPr>
          <w:p w14:paraId="6EB72505" w14:textId="77777777" w:rsidR="00354D6A" w:rsidRPr="00A14E50" w:rsidRDefault="00354D6A" w:rsidP="0049445B">
            <w:pPr>
              <w:rPr>
                <w:rFonts w:ascii="Arial" w:hAnsi="Arial" w:cs="Arial"/>
                <w:b/>
                <w:sz w:val="20"/>
                <w:szCs w:val="20"/>
              </w:rPr>
            </w:pPr>
            <w:r w:rsidRPr="00A14E50">
              <w:rPr>
                <w:rFonts w:ascii="Arial" w:hAnsi="Arial" w:cs="Arial"/>
                <w:b/>
                <w:sz w:val="20"/>
                <w:szCs w:val="20"/>
              </w:rPr>
              <w:t>Disqualifying Coverage</w:t>
            </w:r>
          </w:p>
        </w:tc>
        <w:tc>
          <w:tcPr>
            <w:tcW w:w="4428" w:type="dxa"/>
            <w:tcBorders>
              <w:left w:val="single" w:sz="4" w:space="0" w:color="A6A6A6" w:themeColor="background1" w:themeShade="A6"/>
              <w:bottom w:val="single" w:sz="4" w:space="0" w:color="A6A6A6" w:themeColor="background1" w:themeShade="A6"/>
            </w:tcBorders>
            <w:shd w:val="clear" w:color="auto" w:fill="DDE3EC"/>
          </w:tcPr>
          <w:p w14:paraId="03141BBE" w14:textId="77777777" w:rsidR="00354D6A" w:rsidRPr="00A14E50" w:rsidRDefault="00354D6A" w:rsidP="0049445B">
            <w:pPr>
              <w:rPr>
                <w:rFonts w:ascii="Arial" w:hAnsi="Arial" w:cs="Arial"/>
                <w:b/>
                <w:sz w:val="20"/>
                <w:szCs w:val="20"/>
              </w:rPr>
            </w:pPr>
            <w:r w:rsidRPr="00A14E50">
              <w:rPr>
                <w:rFonts w:ascii="Arial" w:hAnsi="Arial" w:cs="Arial"/>
                <w:b/>
                <w:sz w:val="20"/>
                <w:szCs w:val="20"/>
              </w:rPr>
              <w:t>Acceptable Secondary Coverage</w:t>
            </w:r>
          </w:p>
        </w:tc>
      </w:tr>
      <w:tr w:rsidR="00354D6A" w:rsidRPr="009D1AD4" w14:paraId="15129D03" w14:textId="77777777" w:rsidTr="00642DA0">
        <w:tc>
          <w:tcPr>
            <w:tcW w:w="442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E8021B9" w14:textId="77777777" w:rsidR="00354D6A" w:rsidRDefault="00354D6A" w:rsidP="0049445B">
            <w:pPr>
              <w:rPr>
                <w:rFonts w:ascii="Arial" w:hAnsi="Arial" w:cs="Arial"/>
                <w:sz w:val="20"/>
                <w:szCs w:val="20"/>
              </w:rPr>
            </w:pPr>
            <w:r w:rsidRPr="009D1AD4">
              <w:rPr>
                <w:rFonts w:ascii="Arial" w:hAnsi="Arial" w:cs="Arial"/>
                <w:sz w:val="20"/>
                <w:szCs w:val="20"/>
              </w:rPr>
              <w:t>Health flexible spending account (FSA)</w:t>
            </w:r>
          </w:p>
          <w:p w14:paraId="149AA002" w14:textId="77777777" w:rsidR="00354D6A" w:rsidRPr="009D1AD4" w:rsidRDefault="00354D6A" w:rsidP="0049445B">
            <w:pPr>
              <w:rPr>
                <w:rFonts w:ascii="Arial" w:hAnsi="Arial" w:cs="Arial"/>
                <w:sz w:val="20"/>
                <w:szCs w:val="20"/>
              </w:rPr>
            </w:pPr>
            <w:r w:rsidRPr="009D1AD4">
              <w:rPr>
                <w:rFonts w:ascii="Arial" w:hAnsi="Arial" w:cs="Arial"/>
                <w:sz w:val="20"/>
                <w:szCs w:val="20"/>
              </w:rPr>
              <w:t>(unless it is limited-purpose or post-deductible)</w:t>
            </w:r>
          </w:p>
        </w:tc>
        <w:tc>
          <w:tcPr>
            <w:tcW w:w="442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AF9327D" w14:textId="77777777" w:rsidR="00354D6A" w:rsidRPr="009D1AD4" w:rsidRDefault="00354D6A" w:rsidP="0049445B">
            <w:pPr>
              <w:rPr>
                <w:rFonts w:ascii="Arial" w:hAnsi="Arial" w:cs="Arial"/>
                <w:sz w:val="20"/>
                <w:szCs w:val="20"/>
              </w:rPr>
            </w:pPr>
            <w:r w:rsidRPr="009D1AD4">
              <w:rPr>
                <w:rFonts w:ascii="Arial" w:hAnsi="Arial" w:cs="Arial"/>
                <w:sz w:val="20"/>
                <w:szCs w:val="20"/>
              </w:rPr>
              <w:t>Discount cards for prescription drugs (so long as the plan does not pay benefits prior to the deductible being satisfied)</w:t>
            </w:r>
          </w:p>
        </w:tc>
      </w:tr>
      <w:tr w:rsidR="00354D6A" w:rsidRPr="009D1AD4" w14:paraId="2379CB30" w14:textId="77777777" w:rsidTr="00642DA0">
        <w:tc>
          <w:tcPr>
            <w:tcW w:w="442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61E2707" w14:textId="77777777" w:rsidR="00354D6A" w:rsidRPr="009D1AD4" w:rsidRDefault="00354D6A" w:rsidP="0049445B">
            <w:pPr>
              <w:rPr>
                <w:rFonts w:ascii="Arial" w:hAnsi="Arial" w:cs="Arial"/>
                <w:sz w:val="20"/>
                <w:szCs w:val="20"/>
              </w:rPr>
            </w:pPr>
            <w:r w:rsidRPr="009D1AD4">
              <w:rPr>
                <w:rFonts w:ascii="Arial" w:hAnsi="Arial" w:cs="Arial"/>
                <w:sz w:val="20"/>
                <w:szCs w:val="20"/>
              </w:rPr>
              <w:t>Health reimbursement arrangement (HRA) (unless it is limited-purpose, retirement, or post-deductible)</w:t>
            </w:r>
          </w:p>
        </w:tc>
        <w:tc>
          <w:tcPr>
            <w:tcW w:w="442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DCBEE17" w14:textId="77777777" w:rsidR="00354D6A" w:rsidRPr="009D1AD4" w:rsidRDefault="00354D6A" w:rsidP="0049445B">
            <w:pPr>
              <w:rPr>
                <w:rFonts w:ascii="Arial" w:hAnsi="Arial" w:cs="Arial"/>
                <w:sz w:val="20"/>
                <w:szCs w:val="20"/>
              </w:rPr>
            </w:pPr>
            <w:r w:rsidRPr="009D1AD4">
              <w:rPr>
                <w:rFonts w:ascii="Arial" w:hAnsi="Arial" w:cs="Arial"/>
                <w:sz w:val="20"/>
                <w:szCs w:val="20"/>
              </w:rPr>
              <w:t>Dental coverage (so long as it doesn’t provide medical benefits)</w:t>
            </w:r>
          </w:p>
        </w:tc>
      </w:tr>
      <w:tr w:rsidR="00354D6A" w:rsidRPr="009D1AD4" w14:paraId="1A40AEE9" w14:textId="77777777" w:rsidTr="00642DA0">
        <w:tc>
          <w:tcPr>
            <w:tcW w:w="4428" w:type="dxa"/>
            <w:tcBorders>
              <w:top w:val="single" w:sz="4" w:space="0" w:color="A6A6A6" w:themeColor="background1" w:themeShade="A6"/>
              <w:right w:val="single" w:sz="4" w:space="0" w:color="A6A6A6" w:themeColor="background1" w:themeShade="A6"/>
            </w:tcBorders>
          </w:tcPr>
          <w:p w14:paraId="1274BA52" w14:textId="77777777" w:rsidR="00354D6A" w:rsidRPr="009D1AD4" w:rsidRDefault="00354D6A" w:rsidP="0049445B">
            <w:pPr>
              <w:rPr>
                <w:rFonts w:ascii="Arial" w:hAnsi="Arial" w:cs="Arial"/>
                <w:sz w:val="20"/>
                <w:szCs w:val="20"/>
              </w:rPr>
            </w:pPr>
            <w:r w:rsidRPr="009D1AD4">
              <w:rPr>
                <w:rFonts w:ascii="Arial" w:hAnsi="Arial" w:cs="Arial"/>
                <w:sz w:val="20"/>
                <w:szCs w:val="20"/>
              </w:rPr>
              <w:t>Medicaid</w:t>
            </w:r>
          </w:p>
        </w:tc>
        <w:tc>
          <w:tcPr>
            <w:tcW w:w="4428" w:type="dxa"/>
            <w:tcBorders>
              <w:top w:val="single" w:sz="4" w:space="0" w:color="A6A6A6" w:themeColor="background1" w:themeShade="A6"/>
              <w:left w:val="single" w:sz="4" w:space="0" w:color="A6A6A6" w:themeColor="background1" w:themeShade="A6"/>
            </w:tcBorders>
          </w:tcPr>
          <w:p w14:paraId="231C9303" w14:textId="77777777" w:rsidR="00354D6A" w:rsidRPr="009D1AD4" w:rsidRDefault="00354D6A" w:rsidP="0049445B">
            <w:pPr>
              <w:rPr>
                <w:rFonts w:ascii="Arial" w:hAnsi="Arial" w:cs="Arial"/>
                <w:sz w:val="20"/>
                <w:szCs w:val="20"/>
              </w:rPr>
            </w:pPr>
            <w:r w:rsidRPr="009D1AD4">
              <w:rPr>
                <w:rFonts w:ascii="Arial" w:hAnsi="Arial" w:cs="Arial"/>
                <w:sz w:val="20"/>
                <w:szCs w:val="20"/>
              </w:rPr>
              <w:t>Accident, business travel coverage, accidental death and disability (AD&amp;D), disability</w:t>
            </w:r>
          </w:p>
        </w:tc>
      </w:tr>
      <w:tr w:rsidR="00354D6A" w:rsidRPr="009D1AD4" w14:paraId="7E33B1A9" w14:textId="77777777" w:rsidTr="00642DA0">
        <w:tc>
          <w:tcPr>
            <w:tcW w:w="4428" w:type="dxa"/>
            <w:tcBorders>
              <w:top w:val="single" w:sz="4" w:space="0" w:color="A6A6A6" w:themeColor="background1" w:themeShade="A6"/>
              <w:right w:val="single" w:sz="4" w:space="0" w:color="A6A6A6" w:themeColor="background1" w:themeShade="A6"/>
            </w:tcBorders>
          </w:tcPr>
          <w:p w14:paraId="3E82EBCC" w14:textId="77777777" w:rsidR="00354D6A" w:rsidRPr="009D1AD4" w:rsidRDefault="00354D6A" w:rsidP="0049445B">
            <w:pPr>
              <w:rPr>
                <w:rFonts w:ascii="Arial" w:hAnsi="Arial" w:cs="Arial"/>
                <w:sz w:val="20"/>
                <w:szCs w:val="20"/>
              </w:rPr>
            </w:pPr>
            <w:r w:rsidRPr="009D1AD4">
              <w:rPr>
                <w:rFonts w:ascii="Arial" w:hAnsi="Arial" w:cs="Arial"/>
                <w:sz w:val="20"/>
                <w:szCs w:val="20"/>
              </w:rPr>
              <w:t>Medicare</w:t>
            </w:r>
          </w:p>
        </w:tc>
        <w:tc>
          <w:tcPr>
            <w:tcW w:w="4428" w:type="dxa"/>
            <w:tcBorders>
              <w:left w:val="single" w:sz="4" w:space="0" w:color="A6A6A6" w:themeColor="background1" w:themeShade="A6"/>
            </w:tcBorders>
          </w:tcPr>
          <w:p w14:paraId="3F9CD211" w14:textId="77777777" w:rsidR="00354D6A" w:rsidRPr="009D1AD4" w:rsidRDefault="00354D6A" w:rsidP="0049445B">
            <w:pPr>
              <w:rPr>
                <w:rFonts w:ascii="Arial" w:hAnsi="Arial" w:cs="Arial"/>
                <w:sz w:val="20"/>
                <w:szCs w:val="20"/>
              </w:rPr>
            </w:pPr>
            <w:r w:rsidRPr="009D1AD4">
              <w:rPr>
                <w:rFonts w:ascii="Arial" w:hAnsi="Arial" w:cs="Arial"/>
                <w:sz w:val="20"/>
                <w:szCs w:val="20"/>
              </w:rPr>
              <w:t>Disease specific coverage (so long as the principal health coverage is through the HDHP)</w:t>
            </w:r>
          </w:p>
        </w:tc>
      </w:tr>
      <w:tr w:rsidR="00354D6A" w:rsidRPr="009D1AD4" w14:paraId="3A8DB024" w14:textId="77777777" w:rsidTr="00642DA0">
        <w:tc>
          <w:tcPr>
            <w:tcW w:w="4428" w:type="dxa"/>
            <w:tcBorders>
              <w:top w:val="single" w:sz="4" w:space="0" w:color="A6A6A6" w:themeColor="background1" w:themeShade="A6"/>
              <w:right w:val="single" w:sz="4" w:space="0" w:color="A6A6A6" w:themeColor="background1" w:themeShade="A6"/>
            </w:tcBorders>
          </w:tcPr>
          <w:p w14:paraId="20339848" w14:textId="77777777" w:rsidR="00354D6A" w:rsidRPr="009D1AD4" w:rsidRDefault="00354D6A" w:rsidP="0049445B">
            <w:pPr>
              <w:rPr>
                <w:rFonts w:ascii="Arial" w:hAnsi="Arial" w:cs="Arial"/>
                <w:sz w:val="20"/>
                <w:szCs w:val="20"/>
              </w:rPr>
            </w:pPr>
            <w:r w:rsidRPr="009D1AD4">
              <w:rPr>
                <w:rFonts w:ascii="Arial" w:hAnsi="Arial" w:cs="Arial"/>
                <w:sz w:val="20"/>
                <w:szCs w:val="20"/>
              </w:rPr>
              <w:t>On-site clinics (unless they provide nominal benefits such as flu shots, Band-Aids, and aspirin)</w:t>
            </w:r>
          </w:p>
        </w:tc>
        <w:tc>
          <w:tcPr>
            <w:tcW w:w="4428" w:type="dxa"/>
            <w:tcBorders>
              <w:left w:val="single" w:sz="4" w:space="0" w:color="A6A6A6" w:themeColor="background1" w:themeShade="A6"/>
            </w:tcBorders>
          </w:tcPr>
          <w:p w14:paraId="7665CD9B" w14:textId="77777777" w:rsidR="00354D6A" w:rsidRPr="009D1AD4" w:rsidRDefault="00354D6A" w:rsidP="0049445B">
            <w:pPr>
              <w:rPr>
                <w:rFonts w:ascii="Arial" w:hAnsi="Arial" w:cs="Arial"/>
                <w:sz w:val="20"/>
                <w:szCs w:val="20"/>
              </w:rPr>
            </w:pPr>
            <w:r w:rsidRPr="009D1AD4">
              <w:rPr>
                <w:rFonts w:ascii="Arial" w:hAnsi="Arial" w:cs="Arial"/>
                <w:sz w:val="20"/>
                <w:szCs w:val="20"/>
              </w:rPr>
              <w:t>Wellness programs (so long as it doesn’t provide significant benefits in the nature of medical care or treatment)</w:t>
            </w:r>
          </w:p>
        </w:tc>
      </w:tr>
      <w:tr w:rsidR="00354D6A" w:rsidRPr="009D1AD4" w14:paraId="104BCFD2" w14:textId="77777777" w:rsidTr="00642DA0">
        <w:tc>
          <w:tcPr>
            <w:tcW w:w="4428" w:type="dxa"/>
            <w:tcBorders>
              <w:top w:val="single" w:sz="4" w:space="0" w:color="A6A6A6" w:themeColor="background1" w:themeShade="A6"/>
              <w:right w:val="single" w:sz="4" w:space="0" w:color="A6A6A6" w:themeColor="background1" w:themeShade="A6"/>
            </w:tcBorders>
          </w:tcPr>
          <w:p w14:paraId="68AB203B" w14:textId="77777777" w:rsidR="00354D6A" w:rsidRPr="009D1AD4" w:rsidRDefault="00354D6A" w:rsidP="0049445B">
            <w:pPr>
              <w:rPr>
                <w:rFonts w:ascii="Arial" w:hAnsi="Arial" w:cs="Arial"/>
                <w:sz w:val="20"/>
                <w:szCs w:val="20"/>
              </w:rPr>
            </w:pPr>
            <w:r w:rsidRPr="009D1AD4">
              <w:rPr>
                <w:rFonts w:ascii="Arial" w:hAnsi="Arial" w:cs="Arial"/>
                <w:sz w:val="20"/>
                <w:szCs w:val="20"/>
              </w:rPr>
              <w:t>Telemedicine (unless there is a co-pay and it does not provide significant benefits in the nature of medical care or treatment)</w:t>
            </w:r>
          </w:p>
        </w:tc>
        <w:tc>
          <w:tcPr>
            <w:tcW w:w="4428" w:type="dxa"/>
            <w:tcBorders>
              <w:left w:val="single" w:sz="4" w:space="0" w:color="A6A6A6" w:themeColor="background1" w:themeShade="A6"/>
            </w:tcBorders>
          </w:tcPr>
          <w:p w14:paraId="08005865" w14:textId="77777777" w:rsidR="00354D6A" w:rsidRPr="009D1AD4" w:rsidRDefault="00354D6A" w:rsidP="0049445B">
            <w:pPr>
              <w:rPr>
                <w:rFonts w:ascii="Arial" w:hAnsi="Arial" w:cs="Arial"/>
                <w:sz w:val="20"/>
                <w:szCs w:val="20"/>
              </w:rPr>
            </w:pPr>
            <w:r w:rsidRPr="009D1AD4">
              <w:rPr>
                <w:rFonts w:ascii="Arial" w:hAnsi="Arial" w:cs="Arial"/>
                <w:sz w:val="20"/>
                <w:szCs w:val="20"/>
              </w:rPr>
              <w:t>Workers’ compensation</w:t>
            </w:r>
          </w:p>
        </w:tc>
      </w:tr>
      <w:tr w:rsidR="00354D6A" w:rsidRPr="009D1AD4" w14:paraId="1AB9BEE7" w14:textId="77777777" w:rsidTr="00642DA0">
        <w:tc>
          <w:tcPr>
            <w:tcW w:w="4428" w:type="dxa"/>
            <w:tcBorders>
              <w:top w:val="single" w:sz="4" w:space="0" w:color="A6A6A6" w:themeColor="background1" w:themeShade="A6"/>
              <w:right w:val="single" w:sz="4" w:space="0" w:color="A6A6A6" w:themeColor="background1" w:themeShade="A6"/>
            </w:tcBorders>
          </w:tcPr>
          <w:p w14:paraId="47705673" w14:textId="77777777" w:rsidR="00354D6A" w:rsidRPr="009D1AD4" w:rsidRDefault="00354D6A" w:rsidP="0049445B">
            <w:pPr>
              <w:rPr>
                <w:rFonts w:ascii="Arial" w:hAnsi="Arial" w:cs="Arial"/>
                <w:sz w:val="20"/>
                <w:szCs w:val="20"/>
              </w:rPr>
            </w:pPr>
            <w:r w:rsidRPr="009D1AD4">
              <w:rPr>
                <w:rFonts w:ascii="Arial" w:hAnsi="Arial" w:cs="Arial"/>
                <w:sz w:val="20"/>
                <w:szCs w:val="20"/>
              </w:rPr>
              <w:t>TRICARE</w:t>
            </w:r>
          </w:p>
        </w:tc>
        <w:tc>
          <w:tcPr>
            <w:tcW w:w="4428" w:type="dxa"/>
            <w:tcBorders>
              <w:left w:val="single" w:sz="4" w:space="0" w:color="A6A6A6" w:themeColor="background1" w:themeShade="A6"/>
            </w:tcBorders>
          </w:tcPr>
          <w:p w14:paraId="3BB1453B" w14:textId="77777777" w:rsidR="00354D6A" w:rsidRPr="009D1AD4" w:rsidRDefault="00354D6A" w:rsidP="0049445B">
            <w:pPr>
              <w:rPr>
                <w:rFonts w:ascii="Arial" w:hAnsi="Arial" w:cs="Arial"/>
                <w:sz w:val="20"/>
                <w:szCs w:val="20"/>
              </w:rPr>
            </w:pPr>
            <w:r w:rsidRPr="009D1AD4">
              <w:rPr>
                <w:rFonts w:ascii="Arial" w:hAnsi="Arial" w:cs="Arial"/>
                <w:sz w:val="20"/>
                <w:szCs w:val="20"/>
              </w:rPr>
              <w:t>Vision coverage</w:t>
            </w:r>
          </w:p>
        </w:tc>
      </w:tr>
      <w:tr w:rsidR="00354D6A" w:rsidRPr="009D1AD4" w14:paraId="4EDC9DD8" w14:textId="77777777" w:rsidTr="00642DA0">
        <w:tc>
          <w:tcPr>
            <w:tcW w:w="4428" w:type="dxa"/>
            <w:tcBorders>
              <w:top w:val="single" w:sz="4" w:space="0" w:color="A6A6A6" w:themeColor="background1" w:themeShade="A6"/>
              <w:right w:val="single" w:sz="4" w:space="0" w:color="A6A6A6" w:themeColor="background1" w:themeShade="A6"/>
            </w:tcBorders>
          </w:tcPr>
          <w:p w14:paraId="62DD6EEB" w14:textId="77777777" w:rsidR="00354D6A" w:rsidRPr="009D1AD4" w:rsidRDefault="00354D6A" w:rsidP="0049445B">
            <w:pPr>
              <w:rPr>
                <w:rFonts w:ascii="Arial" w:hAnsi="Arial" w:cs="Arial"/>
                <w:sz w:val="20"/>
                <w:szCs w:val="20"/>
              </w:rPr>
            </w:pPr>
            <w:r w:rsidRPr="009D1AD4">
              <w:rPr>
                <w:rFonts w:ascii="Arial" w:hAnsi="Arial" w:cs="Arial"/>
                <w:sz w:val="20"/>
                <w:szCs w:val="20"/>
              </w:rPr>
              <w:t>VA Medical Benefits (unless it is hospital care or services for a service-connected disability)</w:t>
            </w:r>
          </w:p>
        </w:tc>
        <w:tc>
          <w:tcPr>
            <w:tcW w:w="4428" w:type="dxa"/>
            <w:tcBorders>
              <w:left w:val="single" w:sz="4" w:space="0" w:color="A6A6A6" w:themeColor="background1" w:themeShade="A6"/>
            </w:tcBorders>
          </w:tcPr>
          <w:p w14:paraId="63F526C1" w14:textId="77777777" w:rsidR="00354D6A" w:rsidRPr="009D1AD4" w:rsidRDefault="00354D6A" w:rsidP="0049445B">
            <w:pPr>
              <w:rPr>
                <w:rFonts w:ascii="Arial" w:hAnsi="Arial" w:cs="Arial"/>
                <w:sz w:val="20"/>
                <w:szCs w:val="20"/>
              </w:rPr>
            </w:pPr>
            <w:r w:rsidRPr="009D1AD4">
              <w:rPr>
                <w:rFonts w:ascii="Arial" w:hAnsi="Arial" w:cs="Arial"/>
                <w:sz w:val="20"/>
                <w:szCs w:val="20"/>
              </w:rPr>
              <w:t>Preventive care</w:t>
            </w:r>
          </w:p>
        </w:tc>
      </w:tr>
    </w:tbl>
    <w:p w14:paraId="3ABB8035" w14:textId="77777777" w:rsidR="00004129" w:rsidRPr="00004129" w:rsidRDefault="00004129" w:rsidP="004C6CEA">
      <w:pPr>
        <w:spacing w:after="200"/>
        <w:rPr>
          <w:rFonts w:ascii="Arial" w:hAnsi="Arial" w:cs="Arial"/>
          <w:sz w:val="20"/>
          <w:szCs w:val="20"/>
        </w:rPr>
      </w:pPr>
    </w:p>
    <w:p w14:paraId="519BBD90" w14:textId="1ED05E39" w:rsidR="006E7881" w:rsidRPr="009D1AD4" w:rsidRDefault="006E7881" w:rsidP="004C6CEA">
      <w:pPr>
        <w:spacing w:after="200"/>
        <w:rPr>
          <w:rFonts w:ascii="Arial" w:hAnsi="Arial" w:cs="Arial"/>
          <w:sz w:val="20"/>
          <w:szCs w:val="20"/>
        </w:rPr>
      </w:pPr>
      <w:r w:rsidRPr="00C5063D">
        <w:rPr>
          <w:rFonts w:ascii="Arial" w:hAnsi="Arial" w:cs="Arial"/>
          <w:b/>
          <w:bCs/>
          <w:color w:val="001BBA"/>
          <w:sz w:val="22"/>
          <w:szCs w:val="22"/>
        </w:rPr>
        <w:t>Question:</w:t>
      </w:r>
      <w:r w:rsidRPr="009D1AD4">
        <w:rPr>
          <w:rFonts w:ascii="Arial" w:hAnsi="Arial" w:cs="Arial"/>
          <w:sz w:val="20"/>
          <w:szCs w:val="20"/>
        </w:rPr>
        <w:t xml:space="preserve"> How are health savings account (HSA) contributions calculated?</w:t>
      </w:r>
    </w:p>
    <w:p w14:paraId="26D26126" w14:textId="688DC58C" w:rsidR="006E7881" w:rsidRPr="009D1AD4" w:rsidRDefault="006E7881" w:rsidP="004C6CEA">
      <w:pPr>
        <w:spacing w:after="200"/>
        <w:rPr>
          <w:rFonts w:ascii="Arial" w:hAnsi="Arial" w:cs="Arial"/>
          <w:sz w:val="20"/>
          <w:szCs w:val="20"/>
        </w:rPr>
      </w:pPr>
      <w:r w:rsidRPr="009D1AD4">
        <w:rPr>
          <w:rFonts w:ascii="Arial" w:hAnsi="Arial" w:cs="Arial"/>
          <w:b/>
          <w:sz w:val="20"/>
          <w:szCs w:val="20"/>
        </w:rPr>
        <w:t>Answer:</w:t>
      </w:r>
      <w:r w:rsidRPr="009D1AD4">
        <w:rPr>
          <w:rFonts w:ascii="Arial" w:hAnsi="Arial" w:cs="Arial"/>
          <w:sz w:val="20"/>
          <w:szCs w:val="20"/>
        </w:rPr>
        <w:t xml:space="preserve"> HSA contributions are calculated by month. In 2018, if an individual moves from family coverage to single coverage, the individual’s maximum contribution amount is calculated as</w:t>
      </w:r>
      <w:r w:rsidR="00004129">
        <w:rPr>
          <w:rFonts w:ascii="Arial" w:hAnsi="Arial" w:cs="Arial"/>
          <w:sz w:val="20"/>
          <w:szCs w:val="20"/>
        </w:rPr>
        <w:br/>
      </w:r>
      <w:r w:rsidRPr="009D1AD4">
        <w:rPr>
          <w:rFonts w:ascii="Arial" w:hAnsi="Arial" w:cs="Arial"/>
          <w:sz w:val="20"/>
          <w:szCs w:val="20"/>
        </w:rPr>
        <w:t>(X / 12 x $6,900) + (Y / 12 x $3,450) = $____.</w:t>
      </w:r>
    </w:p>
    <w:p w14:paraId="59839F53" w14:textId="77777777" w:rsidR="006E7881" w:rsidRPr="009D1AD4" w:rsidRDefault="006E7881" w:rsidP="004C6CEA">
      <w:pPr>
        <w:spacing w:after="200"/>
        <w:rPr>
          <w:rFonts w:ascii="Arial" w:hAnsi="Arial" w:cs="Arial"/>
          <w:sz w:val="20"/>
          <w:szCs w:val="20"/>
        </w:rPr>
      </w:pPr>
      <w:r w:rsidRPr="009D1AD4">
        <w:rPr>
          <w:rFonts w:ascii="Arial" w:hAnsi="Arial" w:cs="Arial"/>
          <w:sz w:val="20"/>
          <w:szCs w:val="20"/>
        </w:rPr>
        <w:t>X represents the number of months the individual was eligible under family coverage; Y represents the months the individual was eligible under single coverage.</w:t>
      </w:r>
    </w:p>
    <w:p w14:paraId="4BA82A4A" w14:textId="77777777" w:rsidR="006E7881" w:rsidRPr="009D1AD4" w:rsidRDefault="006E7881" w:rsidP="004C6CEA">
      <w:pPr>
        <w:spacing w:after="200"/>
        <w:rPr>
          <w:rFonts w:ascii="Arial" w:hAnsi="Arial" w:cs="Arial"/>
          <w:sz w:val="20"/>
          <w:szCs w:val="20"/>
        </w:rPr>
      </w:pPr>
      <w:r w:rsidRPr="009D1AD4">
        <w:rPr>
          <w:rFonts w:ascii="Arial" w:hAnsi="Arial" w:cs="Arial"/>
          <w:sz w:val="20"/>
          <w:szCs w:val="20"/>
        </w:rPr>
        <w:t>The dollar figures used in the formula will change annually based on IRS contribution limits.</w:t>
      </w:r>
    </w:p>
    <w:p w14:paraId="2B52973A" w14:textId="56C97D73" w:rsidR="00461829" w:rsidRDefault="00461829" w:rsidP="00461829">
      <w:pPr>
        <w:pStyle w:val="ListParagraph"/>
        <w:spacing w:after="200"/>
        <w:ind w:left="0"/>
        <w:contextualSpacing w:val="0"/>
        <w:rPr>
          <w:rFonts w:ascii="Arial" w:hAnsi="Arial" w:cs="Arial"/>
          <w:color w:val="000000"/>
          <w:sz w:val="20"/>
          <w:szCs w:val="20"/>
        </w:rPr>
      </w:pPr>
      <w:r w:rsidRPr="00C5063D">
        <w:rPr>
          <w:rFonts w:ascii="Arial" w:eastAsia="Times New Roman" w:hAnsi="Arial" w:cs="Arial"/>
          <w:b/>
          <w:bCs/>
          <w:color w:val="001BBA"/>
          <w:sz w:val="22"/>
          <w:szCs w:val="22"/>
        </w:rPr>
        <w:lastRenderedPageBreak/>
        <w:t>Question:</w:t>
      </w:r>
      <w:r w:rsidR="00055049">
        <w:rPr>
          <w:rFonts w:ascii="Arial" w:hAnsi="Arial" w:cs="Arial"/>
          <w:b/>
          <w:bCs/>
          <w:color w:val="000000"/>
          <w:sz w:val="20"/>
          <w:szCs w:val="20"/>
        </w:rPr>
        <w:t xml:space="preserve"> </w:t>
      </w:r>
      <w:r w:rsidRPr="009D1AD4">
        <w:rPr>
          <w:rFonts w:ascii="Arial" w:hAnsi="Arial" w:cs="Arial"/>
          <w:color w:val="000000"/>
          <w:sz w:val="20"/>
          <w:szCs w:val="20"/>
        </w:rPr>
        <w:t xml:space="preserve">If a person used </w:t>
      </w:r>
      <w:r w:rsidR="0049445B" w:rsidRPr="009D1AD4">
        <w:rPr>
          <w:rFonts w:ascii="Arial" w:hAnsi="Arial" w:cs="Arial"/>
          <w:color w:val="000000"/>
          <w:sz w:val="20"/>
          <w:szCs w:val="20"/>
        </w:rPr>
        <w:t xml:space="preserve">health savings account </w:t>
      </w:r>
      <w:r w:rsidRPr="009D1AD4">
        <w:rPr>
          <w:rFonts w:ascii="Arial" w:hAnsi="Arial" w:cs="Arial"/>
          <w:color w:val="000000"/>
          <w:sz w:val="20"/>
          <w:szCs w:val="20"/>
        </w:rPr>
        <w:t>(HSA) funds for an expense that she believed was a qualified medical expense, but later discovered that the expense was fully paid by the insurer, then may the person return the distribution to her HSA?</w:t>
      </w:r>
    </w:p>
    <w:p w14:paraId="4665E045" w14:textId="334C6E0E" w:rsidR="00461829" w:rsidRDefault="00E73AA6" w:rsidP="00461829">
      <w:pPr>
        <w:pStyle w:val="ListParagraph"/>
        <w:spacing w:after="200"/>
        <w:ind w:left="0"/>
        <w:contextualSpacing w:val="0"/>
        <w:rPr>
          <w:rFonts w:ascii="Arial" w:hAnsi="Arial" w:cs="Arial"/>
          <w:color w:val="000000"/>
          <w:sz w:val="20"/>
          <w:szCs w:val="20"/>
        </w:rPr>
      </w:pPr>
      <w:r w:rsidRPr="009D1AD4">
        <w:rPr>
          <w:rFonts w:ascii="Arial" w:hAnsi="Arial" w:cs="Arial"/>
          <w:b/>
          <w:bCs/>
          <w:color w:val="000000"/>
          <w:sz w:val="20"/>
          <w:szCs w:val="20"/>
        </w:rPr>
        <w:t>Answer:</w:t>
      </w:r>
      <w:r>
        <w:rPr>
          <w:rFonts w:ascii="Arial" w:hAnsi="Arial" w:cs="Arial"/>
          <w:b/>
          <w:bCs/>
          <w:color w:val="000000"/>
          <w:sz w:val="20"/>
          <w:szCs w:val="20"/>
        </w:rPr>
        <w:t xml:space="preserve"> </w:t>
      </w:r>
      <w:r w:rsidR="00461829" w:rsidRPr="009D1AD4">
        <w:rPr>
          <w:rFonts w:ascii="Arial" w:hAnsi="Arial" w:cs="Arial"/>
          <w:color w:val="000000"/>
          <w:sz w:val="20"/>
          <w:szCs w:val="20"/>
        </w:rPr>
        <w:t>Yes, the person is allowed to return the mistaken distribution to her HSA, if she believed that the expense was a qualified medical expense when she requested and received reimbursement for the expense from the HSA.</w:t>
      </w:r>
    </w:p>
    <w:p w14:paraId="01E4D144" w14:textId="77777777" w:rsidR="00461829" w:rsidRPr="009D1AD4" w:rsidRDefault="00461829" w:rsidP="00461829">
      <w:pPr>
        <w:pStyle w:val="ListParagraph"/>
        <w:spacing w:after="200"/>
        <w:ind w:left="0"/>
        <w:contextualSpacing w:val="0"/>
        <w:rPr>
          <w:rFonts w:ascii="Arial" w:hAnsi="Arial" w:cs="Arial"/>
          <w:color w:val="000000"/>
          <w:sz w:val="20"/>
          <w:szCs w:val="20"/>
        </w:rPr>
      </w:pPr>
      <w:r w:rsidRPr="009D1AD4">
        <w:rPr>
          <w:rFonts w:ascii="Arial" w:hAnsi="Arial" w:cs="Arial"/>
          <w:color w:val="000000"/>
          <w:sz w:val="20"/>
          <w:szCs w:val="20"/>
        </w:rPr>
        <w:t>If the person returns the mistaken distribution to t</w:t>
      </w:r>
      <w:bookmarkStart w:id="5" w:name="_GoBack"/>
      <w:bookmarkEnd w:id="5"/>
      <w:r w:rsidRPr="009D1AD4">
        <w:rPr>
          <w:rFonts w:ascii="Arial" w:hAnsi="Arial" w:cs="Arial"/>
          <w:color w:val="000000"/>
          <w:sz w:val="20"/>
          <w:szCs w:val="20"/>
        </w:rPr>
        <w:t>he HSA by April 15 following the first year when she knew or should have known that the distribution was a mistake, the distribution is not taxable and not subject to additional tax or the excess contributions excise tax.</w:t>
      </w:r>
    </w:p>
    <w:p w14:paraId="310C7094" w14:textId="77777777" w:rsidR="00461829" w:rsidRPr="009D1AD4" w:rsidRDefault="00461829" w:rsidP="00461829">
      <w:pPr>
        <w:pStyle w:val="ListParagraph"/>
        <w:spacing w:after="200"/>
        <w:ind w:left="0"/>
        <w:contextualSpacing w:val="0"/>
        <w:rPr>
          <w:rFonts w:ascii="Arial" w:hAnsi="Arial" w:cs="Arial"/>
          <w:color w:val="000000"/>
          <w:sz w:val="20"/>
          <w:szCs w:val="20"/>
        </w:rPr>
      </w:pPr>
      <w:r w:rsidRPr="009D1AD4">
        <w:rPr>
          <w:rFonts w:ascii="Arial" w:hAnsi="Arial" w:cs="Arial"/>
          <w:color w:val="000000"/>
          <w:sz w:val="20"/>
          <w:szCs w:val="20"/>
        </w:rPr>
        <w:t>However, the HSA trustee is not required to allow the person’s mistaken distribution to be returned to the HSA. If the person is not allowed to return the mistaken distribution to the HSA, then the distribution should be included in the person’s gross income and is generally subject to an additional 20% tax.</w:t>
      </w:r>
    </w:p>
    <w:p w14:paraId="68BDC51C" w14:textId="26C0A73B" w:rsidR="00461829" w:rsidRPr="009D1AD4" w:rsidRDefault="0049445B" w:rsidP="00461829">
      <w:pPr>
        <w:pStyle w:val="ListParagraph"/>
        <w:spacing w:after="200"/>
        <w:ind w:left="0"/>
        <w:contextualSpacing w:val="0"/>
        <w:rPr>
          <w:rFonts w:ascii="Arial" w:hAnsi="Arial" w:cs="Arial"/>
          <w:color w:val="000000"/>
          <w:sz w:val="20"/>
          <w:szCs w:val="20"/>
        </w:rPr>
      </w:pPr>
      <w:r>
        <w:rPr>
          <w:rFonts w:ascii="Arial" w:hAnsi="Arial" w:cs="Arial"/>
          <w:color w:val="000000"/>
          <w:sz w:val="20"/>
          <w:szCs w:val="20"/>
        </w:rPr>
        <w:t>O</w:t>
      </w:r>
      <w:r w:rsidR="00461829" w:rsidRPr="009D1AD4">
        <w:rPr>
          <w:rFonts w:ascii="Arial" w:hAnsi="Arial" w:cs="Arial"/>
          <w:color w:val="000000"/>
          <w:sz w:val="20"/>
          <w:szCs w:val="20"/>
        </w:rPr>
        <w:t>ur UBA Advisor "</w:t>
      </w:r>
      <w:hyperlink r:id="rId18" w:history="1">
        <w:r w:rsidR="00461829" w:rsidRPr="0049445B">
          <w:rPr>
            <w:rStyle w:val="Hyperlink"/>
          </w:rPr>
          <w:t>Health Savings Accounts: What You Need to Know</w:t>
        </w:r>
      </w:hyperlink>
      <w:r w:rsidR="00461829" w:rsidRPr="009D1AD4">
        <w:rPr>
          <w:rFonts w:ascii="Arial" w:hAnsi="Arial" w:cs="Arial"/>
          <w:color w:val="000000"/>
          <w:sz w:val="20"/>
          <w:szCs w:val="20"/>
        </w:rPr>
        <w:t xml:space="preserve">" describes distributions at pages </w:t>
      </w:r>
      <w:r w:rsidR="00A14E50">
        <w:rPr>
          <w:rFonts w:ascii="Arial" w:hAnsi="Arial" w:cs="Arial"/>
          <w:color w:val="000000"/>
          <w:sz w:val="20"/>
          <w:szCs w:val="20"/>
        </w:rPr>
        <w:br/>
      </w:r>
      <w:r w:rsidR="00461829" w:rsidRPr="009D1AD4">
        <w:rPr>
          <w:rFonts w:ascii="Arial" w:hAnsi="Arial" w:cs="Arial"/>
          <w:color w:val="000000"/>
          <w:sz w:val="20"/>
          <w:szCs w:val="20"/>
        </w:rPr>
        <w:t>6-7.</w:t>
      </w:r>
    </w:p>
    <w:p w14:paraId="5850CB27" w14:textId="77777777" w:rsidR="00461829" w:rsidRDefault="00461829" w:rsidP="004C6CEA">
      <w:pPr>
        <w:spacing w:after="200"/>
        <w:rPr>
          <w:rFonts w:ascii="Arial" w:hAnsi="Arial" w:cs="Arial"/>
          <w:sz w:val="20"/>
          <w:szCs w:val="20"/>
        </w:rPr>
      </w:pPr>
    </w:p>
    <w:tbl>
      <w:tblPr>
        <w:tblW w:w="9360" w:type="dxa"/>
        <w:shd w:val="clear" w:color="auto" w:fill="001BBA"/>
        <w:tblCellMar>
          <w:top w:w="86" w:type="dxa"/>
          <w:left w:w="115" w:type="dxa"/>
          <w:bottom w:w="86" w:type="dxa"/>
          <w:right w:w="115" w:type="dxa"/>
        </w:tblCellMar>
        <w:tblLook w:val="01E0" w:firstRow="1" w:lastRow="1" w:firstColumn="1" w:lastColumn="1" w:noHBand="0" w:noVBand="0"/>
      </w:tblPr>
      <w:tblGrid>
        <w:gridCol w:w="9360"/>
      </w:tblGrid>
      <w:tr w:rsidR="00FE74CA" w:rsidRPr="00C04F07" w14:paraId="01F230C5" w14:textId="77777777" w:rsidTr="00A14E50">
        <w:trPr>
          <w:trHeight w:val="144"/>
        </w:trPr>
        <w:tc>
          <w:tcPr>
            <w:tcW w:w="9360" w:type="dxa"/>
            <w:shd w:val="clear" w:color="auto" w:fill="001BBA"/>
            <w:vAlign w:val="center"/>
          </w:tcPr>
          <w:p w14:paraId="46889CBF" w14:textId="28D990F2" w:rsidR="00FE74CA" w:rsidRPr="00C04F07" w:rsidRDefault="00FE74CA" w:rsidP="00A14E50">
            <w:pPr>
              <w:pStyle w:val="Heading2"/>
              <w:rPr>
                <w:i w:val="0"/>
                <w:iCs/>
                <w:color w:val="auto"/>
              </w:rPr>
            </w:pPr>
            <w:bookmarkStart w:id="6" w:name="_Toc12890036"/>
            <w:bookmarkStart w:id="7" w:name="_Toc12890152"/>
            <w:bookmarkStart w:id="8" w:name="_Toc12890533"/>
            <w:r>
              <w:rPr>
                <w:i w:val="0"/>
                <w:iCs/>
                <w:color w:val="auto"/>
                <w:szCs w:val="22"/>
              </w:rPr>
              <w:t>COBRA</w:t>
            </w:r>
            <w:bookmarkEnd w:id="6"/>
            <w:bookmarkEnd w:id="7"/>
            <w:bookmarkEnd w:id="8"/>
          </w:p>
        </w:tc>
      </w:tr>
    </w:tbl>
    <w:p w14:paraId="39EE999C" w14:textId="77777777" w:rsidR="004C6CEA" w:rsidRDefault="004C6CEA" w:rsidP="001204C3">
      <w:pPr>
        <w:rPr>
          <w:rFonts w:ascii="Arial" w:hAnsi="Arial" w:cs="Arial"/>
          <w:sz w:val="20"/>
          <w:szCs w:val="20"/>
        </w:rPr>
      </w:pPr>
    </w:p>
    <w:p w14:paraId="00291F35" w14:textId="1486E6C1" w:rsidR="009F5C2B" w:rsidRDefault="009F5C2B" w:rsidP="004C6CEA">
      <w:pPr>
        <w:pStyle w:val="ListParagraph"/>
        <w:spacing w:after="200"/>
        <w:ind w:left="0"/>
        <w:contextualSpacing w:val="0"/>
        <w:rPr>
          <w:rFonts w:ascii="Arial" w:hAnsi="Arial" w:cs="Arial"/>
          <w:color w:val="000000"/>
          <w:sz w:val="20"/>
          <w:szCs w:val="20"/>
        </w:rPr>
      </w:pPr>
      <w:r w:rsidRPr="00C5063D">
        <w:rPr>
          <w:rFonts w:ascii="Arial" w:eastAsia="Times New Roman" w:hAnsi="Arial" w:cs="Arial"/>
          <w:b/>
          <w:bCs/>
          <w:color w:val="001BBA"/>
          <w:sz w:val="22"/>
          <w:szCs w:val="22"/>
        </w:rPr>
        <w:t>Question:</w:t>
      </w:r>
      <w:r w:rsidR="00055049">
        <w:rPr>
          <w:rFonts w:ascii="Arial" w:hAnsi="Arial" w:cs="Arial"/>
          <w:color w:val="000000"/>
          <w:sz w:val="20"/>
          <w:szCs w:val="20"/>
        </w:rPr>
        <w:t xml:space="preserve"> </w:t>
      </w:r>
      <w:r w:rsidRPr="009D1AD4">
        <w:rPr>
          <w:rFonts w:ascii="Arial" w:hAnsi="Arial" w:cs="Arial"/>
          <w:color w:val="000000"/>
          <w:sz w:val="20"/>
          <w:szCs w:val="20"/>
        </w:rPr>
        <w:t>Can a person's COBRA coverage period run from the coverage loss date, rather than the qualifying event date?</w:t>
      </w:r>
    </w:p>
    <w:p w14:paraId="2051F56B" w14:textId="78CB120C" w:rsidR="009F5C2B" w:rsidRDefault="009F5C2B" w:rsidP="004C6CEA">
      <w:pPr>
        <w:pStyle w:val="ListParagraph"/>
        <w:spacing w:after="200"/>
        <w:ind w:left="0"/>
        <w:contextualSpacing w:val="0"/>
        <w:rPr>
          <w:rFonts w:ascii="Arial" w:hAnsi="Arial" w:cs="Arial"/>
          <w:color w:val="000000"/>
          <w:sz w:val="20"/>
          <w:szCs w:val="20"/>
        </w:rPr>
      </w:pPr>
      <w:r w:rsidRPr="009D1AD4">
        <w:rPr>
          <w:rFonts w:ascii="Arial" w:hAnsi="Arial" w:cs="Arial"/>
          <w:b/>
          <w:bCs/>
          <w:color w:val="000000"/>
          <w:sz w:val="20"/>
          <w:szCs w:val="20"/>
        </w:rPr>
        <w:t>Answer:</w:t>
      </w:r>
      <w:r w:rsidR="00055049">
        <w:rPr>
          <w:rFonts w:ascii="Arial" w:hAnsi="Arial" w:cs="Arial"/>
          <w:b/>
          <w:bCs/>
          <w:color w:val="000000"/>
          <w:sz w:val="20"/>
          <w:szCs w:val="20"/>
        </w:rPr>
        <w:t xml:space="preserve"> </w:t>
      </w:r>
      <w:r w:rsidRPr="009D1AD4">
        <w:rPr>
          <w:rFonts w:ascii="Arial" w:hAnsi="Arial" w:cs="Arial"/>
          <w:color w:val="000000"/>
          <w:sz w:val="20"/>
          <w:szCs w:val="20"/>
        </w:rPr>
        <w:t>Yes. The default rule is that COBRA coverage runs from the date of the COBRA qualifying event, whether the coverage loss occurs at that time or later.</w:t>
      </w:r>
    </w:p>
    <w:p w14:paraId="6802B61A" w14:textId="77777777" w:rsidR="009F5C2B" w:rsidRPr="00A14E50" w:rsidRDefault="009F5C2B" w:rsidP="004C6CEA">
      <w:pPr>
        <w:pStyle w:val="ListParagraph"/>
        <w:spacing w:after="200"/>
        <w:ind w:left="0"/>
        <w:contextualSpacing w:val="0"/>
        <w:rPr>
          <w:rFonts w:ascii="Arial" w:hAnsi="Arial" w:cs="Arial"/>
          <w:color w:val="000000"/>
          <w:spacing w:val="-2"/>
          <w:sz w:val="20"/>
          <w:szCs w:val="20"/>
        </w:rPr>
      </w:pPr>
      <w:r w:rsidRPr="00A14E50">
        <w:rPr>
          <w:rFonts w:ascii="Arial" w:hAnsi="Arial" w:cs="Arial"/>
          <w:color w:val="000000"/>
          <w:spacing w:val="-2"/>
          <w:sz w:val="20"/>
          <w:szCs w:val="20"/>
        </w:rPr>
        <w:t>However, COBRA coverage can run from the coverage loss date if a plan document specifically states that:</w:t>
      </w:r>
    </w:p>
    <w:p w14:paraId="4B10F603" w14:textId="77777777" w:rsidR="009F5C2B" w:rsidRPr="009D1AD4" w:rsidRDefault="009F5C2B" w:rsidP="004C6CEA">
      <w:pPr>
        <w:pStyle w:val="ListParagraph"/>
        <w:numPr>
          <w:ilvl w:val="0"/>
          <w:numId w:val="20"/>
        </w:numPr>
        <w:spacing w:after="200"/>
        <w:contextualSpacing w:val="0"/>
        <w:rPr>
          <w:rFonts w:ascii="Arial" w:hAnsi="Arial" w:cs="Arial"/>
          <w:color w:val="000000"/>
          <w:sz w:val="20"/>
          <w:szCs w:val="20"/>
        </w:rPr>
      </w:pPr>
      <w:r w:rsidRPr="009D1AD4">
        <w:rPr>
          <w:rFonts w:ascii="Arial" w:hAnsi="Arial" w:cs="Arial"/>
          <w:color w:val="000000"/>
          <w:sz w:val="20"/>
          <w:szCs w:val="20"/>
        </w:rPr>
        <w:t>the COBRA continuation coverage period will be counted from the coverage loss date, and</w:t>
      </w:r>
    </w:p>
    <w:p w14:paraId="64BAB784" w14:textId="0EAEBC9E" w:rsidR="009F5C2B" w:rsidRDefault="009F5C2B" w:rsidP="004C6CEA">
      <w:pPr>
        <w:pStyle w:val="ListParagraph"/>
        <w:numPr>
          <w:ilvl w:val="0"/>
          <w:numId w:val="20"/>
        </w:numPr>
        <w:spacing w:after="200"/>
        <w:contextualSpacing w:val="0"/>
        <w:rPr>
          <w:rFonts w:ascii="Arial" w:hAnsi="Arial" w:cs="Arial"/>
          <w:color w:val="000000"/>
          <w:sz w:val="20"/>
          <w:szCs w:val="20"/>
        </w:rPr>
      </w:pPr>
      <w:r w:rsidRPr="009D1AD4">
        <w:rPr>
          <w:rFonts w:ascii="Arial" w:hAnsi="Arial" w:cs="Arial"/>
          <w:color w:val="000000"/>
          <w:sz w:val="20"/>
          <w:szCs w:val="20"/>
        </w:rPr>
        <w:t>the employer's period for notifying the plan administrator of certain COBRA qualifying events (such as the employee's death, employment termination, reduction of hours, Medicare entitlement, or employer's start of bankruptcy proceedings involving certain retirees) will begin with the coverage loss date.</w:t>
      </w:r>
    </w:p>
    <w:p w14:paraId="6086B33E" w14:textId="77777777" w:rsidR="00A14E50" w:rsidRPr="00A14E50" w:rsidRDefault="00A14E50" w:rsidP="00A14E50">
      <w:pPr>
        <w:spacing w:after="200"/>
        <w:rPr>
          <w:rFonts w:ascii="Arial" w:hAnsi="Arial" w:cs="Arial"/>
          <w:color w:val="000000"/>
          <w:sz w:val="20"/>
          <w:szCs w:val="20"/>
        </w:rPr>
      </w:pPr>
    </w:p>
    <w:p w14:paraId="4A5CB23D" w14:textId="33B3B740" w:rsidR="009F5C2B" w:rsidRDefault="009F5C2B" w:rsidP="004C6CEA">
      <w:pPr>
        <w:spacing w:after="200"/>
        <w:rPr>
          <w:rFonts w:ascii="Arial" w:hAnsi="Arial" w:cs="Arial"/>
          <w:bCs/>
          <w:sz w:val="20"/>
          <w:szCs w:val="20"/>
        </w:rPr>
      </w:pPr>
      <w:r w:rsidRPr="00C5063D">
        <w:rPr>
          <w:rFonts w:ascii="Arial" w:hAnsi="Arial" w:cs="Arial"/>
          <w:b/>
          <w:bCs/>
          <w:color w:val="001BBA"/>
          <w:sz w:val="22"/>
          <w:szCs w:val="22"/>
        </w:rPr>
        <w:t>Question:</w:t>
      </w:r>
      <w:r w:rsidRPr="009D1AD4">
        <w:rPr>
          <w:rFonts w:ascii="Arial" w:hAnsi="Arial" w:cs="Arial"/>
          <w:bCs/>
          <w:sz w:val="20"/>
          <w:szCs w:val="20"/>
        </w:rPr>
        <w:t xml:space="preserve"> For employers with employees affected by the current federal furlough, will the employees’ health benefits discontinue and would the furlough be considered:</w:t>
      </w:r>
    </w:p>
    <w:p w14:paraId="612EADD8" w14:textId="77777777" w:rsidR="009F5C2B" w:rsidRDefault="009F5C2B" w:rsidP="0049445B">
      <w:pPr>
        <w:pStyle w:val="ListParagraph"/>
        <w:numPr>
          <w:ilvl w:val="0"/>
          <w:numId w:val="13"/>
        </w:numPr>
        <w:contextualSpacing w:val="0"/>
        <w:rPr>
          <w:rFonts w:ascii="Arial" w:hAnsi="Arial" w:cs="Arial"/>
          <w:bCs/>
          <w:sz w:val="20"/>
          <w:szCs w:val="20"/>
        </w:rPr>
      </w:pPr>
      <w:r w:rsidRPr="009D1AD4">
        <w:rPr>
          <w:rFonts w:ascii="Arial" w:hAnsi="Arial" w:cs="Arial"/>
          <w:bCs/>
          <w:sz w:val="20"/>
          <w:szCs w:val="20"/>
        </w:rPr>
        <w:t>unpaid leave for purposes of applying the ACA’s employer shared responsibility provisions?</w:t>
      </w:r>
    </w:p>
    <w:p w14:paraId="56D00F95" w14:textId="77777777" w:rsidR="009F5C2B" w:rsidRDefault="009F5C2B" w:rsidP="0049445B">
      <w:pPr>
        <w:pStyle w:val="ListParagraph"/>
        <w:numPr>
          <w:ilvl w:val="0"/>
          <w:numId w:val="13"/>
        </w:numPr>
        <w:contextualSpacing w:val="0"/>
        <w:rPr>
          <w:rFonts w:ascii="Arial" w:hAnsi="Arial" w:cs="Arial"/>
          <w:bCs/>
          <w:sz w:val="20"/>
          <w:szCs w:val="20"/>
        </w:rPr>
      </w:pPr>
      <w:r w:rsidRPr="009D1AD4">
        <w:rPr>
          <w:rFonts w:ascii="Arial" w:hAnsi="Arial" w:cs="Arial"/>
          <w:bCs/>
          <w:sz w:val="20"/>
          <w:szCs w:val="20"/>
        </w:rPr>
        <w:t>a reduction of hours under the cafeteria plan regulations?</w:t>
      </w:r>
    </w:p>
    <w:p w14:paraId="06F2B859" w14:textId="77777777" w:rsidR="009F5C2B" w:rsidRPr="009D1AD4" w:rsidRDefault="009F5C2B" w:rsidP="004C6CEA">
      <w:pPr>
        <w:pStyle w:val="ListParagraph"/>
        <w:numPr>
          <w:ilvl w:val="0"/>
          <w:numId w:val="13"/>
        </w:numPr>
        <w:spacing w:after="200"/>
        <w:contextualSpacing w:val="0"/>
        <w:rPr>
          <w:rFonts w:ascii="Arial" w:hAnsi="Arial" w:cs="Arial"/>
          <w:bCs/>
          <w:sz w:val="20"/>
          <w:szCs w:val="20"/>
        </w:rPr>
      </w:pPr>
      <w:r w:rsidRPr="009D1AD4">
        <w:rPr>
          <w:rFonts w:ascii="Arial" w:hAnsi="Arial" w:cs="Arial"/>
          <w:bCs/>
          <w:sz w:val="20"/>
          <w:szCs w:val="20"/>
        </w:rPr>
        <w:t>a COBRA qualifying event?</w:t>
      </w:r>
    </w:p>
    <w:p w14:paraId="2896F36B" w14:textId="77777777" w:rsidR="009F5C2B" w:rsidRPr="009D1AD4" w:rsidRDefault="009F5C2B" w:rsidP="004C6CEA">
      <w:pPr>
        <w:spacing w:after="200"/>
        <w:rPr>
          <w:rFonts w:ascii="Arial" w:hAnsi="Arial" w:cs="Arial"/>
          <w:bCs/>
          <w:sz w:val="20"/>
          <w:szCs w:val="20"/>
        </w:rPr>
      </w:pPr>
      <w:r w:rsidRPr="009D1AD4">
        <w:rPr>
          <w:rFonts w:ascii="Arial" w:hAnsi="Arial" w:cs="Arial"/>
          <w:bCs/>
          <w:sz w:val="20"/>
          <w:szCs w:val="20"/>
        </w:rPr>
        <w:t>For purposes of the answers below, the employer is an applicable large employer and the employer is subject to COBRA.</w:t>
      </w:r>
    </w:p>
    <w:p w14:paraId="5815DFB5" w14:textId="77777777" w:rsidR="009F5C2B" w:rsidRPr="009D1AD4" w:rsidRDefault="009F5C2B" w:rsidP="004C6CEA">
      <w:pPr>
        <w:spacing w:after="200"/>
        <w:rPr>
          <w:rFonts w:ascii="Arial" w:hAnsi="Arial" w:cs="Arial"/>
          <w:bCs/>
          <w:sz w:val="20"/>
          <w:szCs w:val="20"/>
        </w:rPr>
      </w:pPr>
      <w:r w:rsidRPr="009D1AD4">
        <w:rPr>
          <w:rFonts w:ascii="Arial" w:hAnsi="Arial" w:cs="Arial"/>
          <w:b/>
          <w:bCs/>
          <w:sz w:val="20"/>
          <w:szCs w:val="20"/>
        </w:rPr>
        <w:t>Answer – regarding federal employees</w:t>
      </w:r>
      <w:r w:rsidRPr="009D1AD4">
        <w:rPr>
          <w:rFonts w:ascii="Arial" w:hAnsi="Arial" w:cs="Arial"/>
          <w:bCs/>
          <w:sz w:val="20"/>
          <w:szCs w:val="20"/>
        </w:rPr>
        <w:t xml:space="preserve">: For federal employees who receive Federal Employees Health Benefits (FEHB) coverage, FEHB coverage continues even when the employees don’t receive a paycheck. According to the U.S. Office of Personnel Management’s </w:t>
      </w:r>
      <w:hyperlink r:id="rId19" w:history="1">
        <w:r w:rsidRPr="009D1AD4">
          <w:rPr>
            <w:rStyle w:val="Hyperlink"/>
            <w:bCs/>
          </w:rPr>
          <w:t>Fact Sheet: Pay and Benefits Information for Employees Affected by the Lapse in Appropriations</w:t>
        </w:r>
      </w:hyperlink>
      <w:r w:rsidRPr="009D1AD4">
        <w:rPr>
          <w:rFonts w:ascii="Arial" w:hAnsi="Arial" w:cs="Arial"/>
          <w:bCs/>
          <w:sz w:val="20"/>
          <w:szCs w:val="20"/>
        </w:rPr>
        <w:t>, an employee’s share of premiums will accumulate and be withheld later when the lapse ends and employees can be paid.</w:t>
      </w:r>
    </w:p>
    <w:p w14:paraId="1762A569" w14:textId="4F85AEC2" w:rsidR="009F5C2B" w:rsidRDefault="009F5C2B" w:rsidP="004C6CEA">
      <w:pPr>
        <w:spacing w:after="200"/>
        <w:rPr>
          <w:rFonts w:ascii="Arial" w:hAnsi="Arial" w:cs="Arial"/>
          <w:bCs/>
          <w:sz w:val="20"/>
          <w:szCs w:val="20"/>
        </w:rPr>
      </w:pPr>
      <w:r w:rsidRPr="009D1AD4">
        <w:rPr>
          <w:rFonts w:ascii="Arial" w:hAnsi="Arial" w:cs="Arial"/>
          <w:bCs/>
          <w:sz w:val="20"/>
          <w:szCs w:val="20"/>
        </w:rPr>
        <w:lastRenderedPageBreak/>
        <w:t xml:space="preserve">On Friday, January 11, </w:t>
      </w:r>
      <w:r w:rsidR="00CE6288">
        <w:rPr>
          <w:rFonts w:ascii="Arial" w:hAnsi="Arial" w:cs="Arial"/>
          <w:bCs/>
          <w:sz w:val="20"/>
          <w:szCs w:val="20"/>
        </w:rPr>
        <w:t xml:space="preserve">2019, </w:t>
      </w:r>
      <w:r w:rsidRPr="009D1AD4">
        <w:rPr>
          <w:rFonts w:ascii="Arial" w:hAnsi="Arial" w:cs="Arial"/>
          <w:bCs/>
          <w:sz w:val="20"/>
          <w:szCs w:val="20"/>
        </w:rPr>
        <w:t xml:space="preserve">Congress passed a bill that would provide back pay to furloughed federal employees when the furlough ends. </w:t>
      </w:r>
      <w:r w:rsidRPr="00642DA0">
        <w:rPr>
          <w:rFonts w:ascii="Arial" w:hAnsi="Arial" w:cs="Arial"/>
          <w:bCs/>
          <w:sz w:val="20"/>
          <w:szCs w:val="20"/>
        </w:rPr>
        <w:t>It appears that the President will sign the bill</w:t>
      </w:r>
      <w:r w:rsidRPr="009D1AD4">
        <w:rPr>
          <w:rFonts w:ascii="Arial" w:hAnsi="Arial" w:cs="Arial"/>
          <w:bCs/>
          <w:sz w:val="20"/>
          <w:szCs w:val="20"/>
        </w:rPr>
        <w:t>. If the bill becomes law, then the furlough would be considered paid leave. For now, it appears that employees of government contractors are not included in the bill that will pay furlough back pay.</w:t>
      </w:r>
    </w:p>
    <w:p w14:paraId="7A9EA9C1" w14:textId="66FFEA47" w:rsidR="009F5C2B" w:rsidRPr="00055049" w:rsidRDefault="009F5C2B" w:rsidP="004C6CEA">
      <w:pPr>
        <w:spacing w:after="200"/>
        <w:rPr>
          <w:rFonts w:ascii="Arial" w:hAnsi="Arial" w:cs="Arial"/>
          <w:bCs/>
          <w:spacing w:val="-2"/>
          <w:sz w:val="20"/>
          <w:szCs w:val="20"/>
        </w:rPr>
      </w:pPr>
      <w:r w:rsidRPr="00055049">
        <w:rPr>
          <w:rFonts w:ascii="Arial" w:hAnsi="Arial" w:cs="Arial"/>
          <w:bCs/>
          <w:spacing w:val="-2"/>
          <w:sz w:val="20"/>
          <w:szCs w:val="20"/>
        </w:rPr>
        <w:t xml:space="preserve">Under the </w:t>
      </w:r>
      <w:r w:rsidR="0049445B" w:rsidRPr="00055049">
        <w:rPr>
          <w:rFonts w:ascii="Arial" w:hAnsi="Arial" w:cs="Arial"/>
          <w:bCs/>
          <w:spacing w:val="-2"/>
          <w:sz w:val="20"/>
          <w:szCs w:val="20"/>
        </w:rPr>
        <w:t>Patient Protection and Affordable Care Act (</w:t>
      </w:r>
      <w:r w:rsidRPr="00055049">
        <w:rPr>
          <w:rFonts w:ascii="Arial" w:hAnsi="Arial" w:cs="Arial"/>
          <w:bCs/>
          <w:spacing w:val="-2"/>
          <w:sz w:val="20"/>
          <w:szCs w:val="20"/>
        </w:rPr>
        <w:t>ACA</w:t>
      </w:r>
      <w:r w:rsidR="0049445B" w:rsidRPr="00055049">
        <w:rPr>
          <w:rFonts w:ascii="Arial" w:hAnsi="Arial" w:cs="Arial"/>
          <w:bCs/>
          <w:spacing w:val="-2"/>
          <w:sz w:val="20"/>
          <w:szCs w:val="20"/>
        </w:rPr>
        <w:t>)</w:t>
      </w:r>
      <w:r w:rsidRPr="00055049">
        <w:rPr>
          <w:rFonts w:ascii="Arial" w:hAnsi="Arial" w:cs="Arial"/>
          <w:bCs/>
          <w:spacing w:val="-2"/>
          <w:sz w:val="20"/>
          <w:szCs w:val="20"/>
        </w:rPr>
        <w:t xml:space="preserve">, any hour for which an employee is paid or entitled to payment must be counted as an hour of service. </w:t>
      </w:r>
      <w:r w:rsidR="0049445B" w:rsidRPr="00055049">
        <w:rPr>
          <w:rFonts w:ascii="Arial" w:hAnsi="Arial" w:cs="Arial"/>
          <w:bCs/>
          <w:spacing w:val="-2"/>
          <w:sz w:val="20"/>
          <w:szCs w:val="20"/>
        </w:rPr>
        <w:t>O</w:t>
      </w:r>
      <w:r w:rsidRPr="00055049">
        <w:rPr>
          <w:rFonts w:ascii="Arial" w:hAnsi="Arial" w:cs="Arial"/>
          <w:bCs/>
          <w:spacing w:val="-2"/>
          <w:sz w:val="20"/>
          <w:szCs w:val="20"/>
        </w:rPr>
        <w:t>ur UBA Advisor “</w:t>
      </w:r>
      <w:hyperlink r:id="rId20" w:history="1">
        <w:r w:rsidRPr="00055049">
          <w:rPr>
            <w:rStyle w:val="Hyperlink"/>
            <w:bCs/>
            <w:spacing w:val="-2"/>
          </w:rPr>
          <w:t>Perfect Attendance! How to Handle Leaves of Absence under the ACA</w:t>
        </w:r>
      </w:hyperlink>
      <w:r w:rsidRPr="00055049">
        <w:rPr>
          <w:rFonts w:ascii="Arial" w:hAnsi="Arial" w:cs="Arial"/>
          <w:bCs/>
          <w:spacing w:val="-2"/>
          <w:sz w:val="20"/>
          <w:szCs w:val="20"/>
        </w:rPr>
        <w:t>” that further describes how leaves of absence should be treated.</w:t>
      </w:r>
    </w:p>
    <w:p w14:paraId="32B3622C" w14:textId="77777777" w:rsidR="009F5C2B" w:rsidRPr="009D1AD4" w:rsidRDefault="009F5C2B" w:rsidP="004C6CEA">
      <w:pPr>
        <w:spacing w:after="200"/>
        <w:rPr>
          <w:rFonts w:ascii="Arial" w:hAnsi="Arial" w:cs="Arial"/>
          <w:bCs/>
          <w:sz w:val="20"/>
          <w:szCs w:val="20"/>
        </w:rPr>
      </w:pPr>
      <w:r w:rsidRPr="009D1AD4">
        <w:rPr>
          <w:rFonts w:ascii="Arial" w:hAnsi="Arial" w:cs="Arial"/>
          <w:bCs/>
          <w:sz w:val="20"/>
          <w:szCs w:val="20"/>
        </w:rPr>
        <w:t>A furlough would not necessarily be a COBRA qualifying event. Although a furlough may cause a reduction of hours for an employee, the reduction in hours would only be a COBRA qualifying event if the reduction in hours results in a loss of group health plan coverage. For federal employees who are on furlough, their FEHB coverage continues so there is no loss of group health plan coverage and no COBRA qualifying event.</w:t>
      </w:r>
    </w:p>
    <w:p w14:paraId="312E8413" w14:textId="77777777" w:rsidR="009F5C2B" w:rsidRPr="009D1AD4" w:rsidRDefault="009F5C2B" w:rsidP="004C6CEA">
      <w:pPr>
        <w:spacing w:after="200"/>
        <w:rPr>
          <w:rFonts w:ascii="Arial" w:hAnsi="Arial" w:cs="Arial"/>
          <w:bCs/>
          <w:sz w:val="20"/>
          <w:szCs w:val="20"/>
        </w:rPr>
      </w:pPr>
      <w:r w:rsidRPr="009D1AD4">
        <w:rPr>
          <w:rFonts w:ascii="Arial" w:hAnsi="Arial" w:cs="Arial"/>
          <w:bCs/>
          <w:sz w:val="20"/>
          <w:szCs w:val="20"/>
        </w:rPr>
        <w:t>A furlough with back pay would not likely fit the definition of the permitted election change event of reduction of hours.</w:t>
      </w:r>
    </w:p>
    <w:p w14:paraId="3334905D" w14:textId="77777777" w:rsidR="009F5C2B" w:rsidRPr="00727034" w:rsidRDefault="009F5C2B" w:rsidP="004C6CEA">
      <w:pPr>
        <w:spacing w:after="200"/>
        <w:rPr>
          <w:rFonts w:ascii="Arial" w:hAnsi="Arial" w:cs="Arial"/>
          <w:sz w:val="20"/>
          <w:szCs w:val="20"/>
        </w:rPr>
      </w:pPr>
      <w:r w:rsidRPr="009D1AD4">
        <w:rPr>
          <w:rFonts w:ascii="Arial" w:hAnsi="Arial" w:cs="Arial"/>
          <w:b/>
          <w:bCs/>
          <w:sz w:val="20"/>
          <w:szCs w:val="20"/>
        </w:rPr>
        <w:t xml:space="preserve">Answer – regarding employees who are not considered to be federal employees: </w:t>
      </w:r>
      <w:r w:rsidRPr="009D1AD4">
        <w:rPr>
          <w:rFonts w:ascii="Arial" w:hAnsi="Arial" w:cs="Arial"/>
          <w:bCs/>
          <w:sz w:val="20"/>
          <w:szCs w:val="20"/>
        </w:rPr>
        <w:t>For employees who aren’t considered to be federal employees, the answer may be yes to each question, depending on the facts of each employee’s case.</w:t>
      </w:r>
    </w:p>
    <w:p w14:paraId="5E429834" w14:textId="77777777" w:rsidR="009F5C2B" w:rsidRPr="009D1AD4" w:rsidRDefault="009F5C2B" w:rsidP="004C6CEA">
      <w:pPr>
        <w:spacing w:after="200"/>
        <w:rPr>
          <w:rFonts w:ascii="Arial" w:hAnsi="Arial" w:cs="Arial"/>
          <w:b/>
          <w:bCs/>
          <w:sz w:val="20"/>
          <w:szCs w:val="20"/>
        </w:rPr>
      </w:pPr>
      <w:r w:rsidRPr="009D1AD4">
        <w:rPr>
          <w:rFonts w:ascii="Arial" w:hAnsi="Arial" w:cs="Arial"/>
          <w:bCs/>
          <w:sz w:val="20"/>
          <w:szCs w:val="20"/>
        </w:rPr>
        <w:t>If an employer is using the monthly measurement method, then the reduction in hours of a furloughed employee may result in loss of eligibility for group health plan coverage and trigger a COBRA qualifying event. If an employer is using the lookback measurement method, then the employer must offer coverage through the stability period to employees who have full-time status based on their prior measurement period. When an employee’s hours are calculated during the contemporaneous measurement period, the unpaid leave will count as zero hours of service.</w:t>
      </w:r>
    </w:p>
    <w:p w14:paraId="18FD1E08" w14:textId="2A479B74" w:rsidR="009F5C2B" w:rsidRPr="009D1AD4" w:rsidRDefault="009F5C2B" w:rsidP="004C6CEA">
      <w:pPr>
        <w:spacing w:after="200"/>
        <w:rPr>
          <w:rFonts w:ascii="Arial" w:hAnsi="Arial" w:cs="Arial"/>
          <w:b/>
          <w:bCs/>
          <w:sz w:val="20"/>
          <w:szCs w:val="20"/>
        </w:rPr>
      </w:pPr>
      <w:r w:rsidRPr="009D1AD4">
        <w:rPr>
          <w:rFonts w:ascii="Arial" w:hAnsi="Arial" w:cs="Arial"/>
          <w:bCs/>
          <w:sz w:val="20"/>
          <w:szCs w:val="20"/>
        </w:rPr>
        <w:t>If an employee experiences a COBRA qualifying event, then the employee may make election changes for any group health plans subject to COBRA (including FSAs). If an employee has the permitted election change event of reduction in hours, then the employee may make changes for group health plans (excluding FSAs) that provide minimum essential coverage. Please see pages 4-5 of our UBA Advisor “</w:t>
      </w:r>
      <w:hyperlink r:id="rId21" w:history="1">
        <w:r w:rsidRPr="00727034">
          <w:rPr>
            <w:rStyle w:val="Hyperlink"/>
            <w:bCs/>
          </w:rPr>
          <w:t>Cafeteria Plans: Qualifying Events and Changing Employee Elections</w:t>
        </w:r>
      </w:hyperlink>
      <w:r w:rsidRPr="009D1AD4">
        <w:rPr>
          <w:rFonts w:ascii="Arial" w:hAnsi="Arial" w:cs="Arial"/>
          <w:bCs/>
          <w:sz w:val="20"/>
          <w:szCs w:val="20"/>
        </w:rPr>
        <w:t>” that describe which benefits can be changed mid-year when an employee has a permitted election change event.</w:t>
      </w:r>
    </w:p>
    <w:p w14:paraId="5F3FDC7F" w14:textId="35E60799" w:rsidR="009F5C2B" w:rsidRPr="009D1AD4" w:rsidRDefault="009F5C2B" w:rsidP="004C6CEA">
      <w:pPr>
        <w:spacing w:after="200"/>
        <w:rPr>
          <w:rFonts w:ascii="Arial" w:hAnsi="Arial" w:cs="Arial"/>
          <w:b/>
          <w:bCs/>
          <w:sz w:val="20"/>
          <w:szCs w:val="20"/>
        </w:rPr>
      </w:pPr>
      <w:r w:rsidRPr="009D1AD4">
        <w:rPr>
          <w:rFonts w:ascii="Arial" w:hAnsi="Arial" w:cs="Arial"/>
          <w:b/>
          <w:bCs/>
          <w:sz w:val="20"/>
          <w:szCs w:val="20"/>
        </w:rPr>
        <w:t>Educational Information</w:t>
      </w:r>
    </w:p>
    <w:p w14:paraId="45B6AABB" w14:textId="5285CFA5" w:rsidR="009F5C2B" w:rsidRPr="009D1AD4" w:rsidRDefault="009F5C2B" w:rsidP="004C6CEA">
      <w:pPr>
        <w:spacing w:after="200"/>
        <w:rPr>
          <w:rFonts w:ascii="Arial" w:hAnsi="Arial" w:cs="Arial"/>
          <w:b/>
          <w:bCs/>
          <w:sz w:val="20"/>
          <w:szCs w:val="20"/>
        </w:rPr>
      </w:pPr>
      <w:r w:rsidRPr="009D1AD4">
        <w:rPr>
          <w:rFonts w:ascii="Arial" w:hAnsi="Arial" w:cs="Arial"/>
          <w:bCs/>
          <w:sz w:val="20"/>
          <w:szCs w:val="20"/>
        </w:rPr>
        <w:t>From the Wolters Kluwer</w:t>
      </w:r>
      <w:r w:rsidR="00055049">
        <w:rPr>
          <w:rFonts w:ascii="Arial" w:hAnsi="Arial" w:cs="Arial"/>
          <w:bCs/>
          <w:sz w:val="20"/>
          <w:szCs w:val="20"/>
        </w:rPr>
        <w:t xml:space="preserve"> </w:t>
      </w:r>
      <w:r w:rsidRPr="00727034">
        <w:rPr>
          <w:rFonts w:ascii="Arial" w:hAnsi="Arial" w:cs="Arial"/>
          <w:bCs/>
          <w:i/>
          <w:iCs/>
          <w:sz w:val="20"/>
          <w:szCs w:val="20"/>
        </w:rPr>
        <w:t>Employee Benefits Answer Book</w:t>
      </w:r>
      <w:r w:rsidRPr="009D1AD4">
        <w:rPr>
          <w:rFonts w:ascii="Arial" w:hAnsi="Arial" w:cs="Arial"/>
          <w:bCs/>
          <w:sz w:val="20"/>
          <w:szCs w:val="20"/>
        </w:rPr>
        <w:t>:</w:t>
      </w:r>
    </w:p>
    <w:p w14:paraId="7883B52B" w14:textId="73141140" w:rsidR="009F5C2B" w:rsidRPr="009D1AD4" w:rsidRDefault="009F5C2B" w:rsidP="00055049">
      <w:pPr>
        <w:spacing w:after="200"/>
        <w:ind w:left="360"/>
        <w:rPr>
          <w:rFonts w:ascii="Arial" w:hAnsi="Arial" w:cs="Arial"/>
          <w:bCs/>
          <w:sz w:val="20"/>
          <w:szCs w:val="20"/>
        </w:rPr>
      </w:pPr>
      <w:r w:rsidRPr="009D1AD4">
        <w:rPr>
          <w:rFonts w:ascii="Arial" w:hAnsi="Arial" w:cs="Arial"/>
          <w:b/>
          <w:bCs/>
          <w:sz w:val="20"/>
          <w:szCs w:val="20"/>
        </w:rPr>
        <w:t>Q</w:t>
      </w:r>
      <w:r w:rsidR="00055049">
        <w:rPr>
          <w:rFonts w:ascii="Arial" w:hAnsi="Arial" w:cs="Arial"/>
          <w:b/>
          <w:bCs/>
          <w:sz w:val="20"/>
          <w:szCs w:val="20"/>
        </w:rPr>
        <w:t xml:space="preserve"> </w:t>
      </w:r>
      <w:r w:rsidRPr="009D1AD4">
        <w:rPr>
          <w:rFonts w:ascii="Arial" w:hAnsi="Arial" w:cs="Arial"/>
          <w:b/>
          <w:bCs/>
          <w:sz w:val="20"/>
          <w:szCs w:val="20"/>
        </w:rPr>
        <w:t>6:42</w:t>
      </w:r>
      <w:r w:rsidR="00055049">
        <w:rPr>
          <w:rFonts w:ascii="Arial" w:hAnsi="Arial" w:cs="Arial"/>
          <w:b/>
          <w:bCs/>
          <w:sz w:val="20"/>
          <w:szCs w:val="20"/>
        </w:rPr>
        <w:t xml:space="preserve"> </w:t>
      </w:r>
      <w:r w:rsidRPr="009D1AD4">
        <w:rPr>
          <w:rFonts w:ascii="Arial" w:hAnsi="Arial" w:cs="Arial"/>
          <w:b/>
          <w:bCs/>
          <w:sz w:val="20"/>
          <w:szCs w:val="20"/>
        </w:rPr>
        <w:t>What is a</w:t>
      </w:r>
      <w:r w:rsidR="00055049">
        <w:rPr>
          <w:rFonts w:ascii="Arial" w:hAnsi="Arial" w:cs="Arial"/>
          <w:b/>
          <w:bCs/>
          <w:sz w:val="20"/>
          <w:szCs w:val="20"/>
        </w:rPr>
        <w:t xml:space="preserve"> </w:t>
      </w:r>
      <w:r w:rsidRPr="009D1AD4">
        <w:rPr>
          <w:rFonts w:ascii="Arial" w:hAnsi="Arial" w:cs="Arial"/>
          <w:b/>
          <w:bCs/>
          <w:sz w:val="20"/>
          <w:szCs w:val="20"/>
        </w:rPr>
        <w:t>qualifying</w:t>
      </w:r>
      <w:r w:rsidR="00055049">
        <w:rPr>
          <w:rFonts w:ascii="Arial" w:hAnsi="Arial" w:cs="Arial"/>
          <w:b/>
          <w:bCs/>
          <w:sz w:val="20"/>
          <w:szCs w:val="20"/>
        </w:rPr>
        <w:t xml:space="preserve"> </w:t>
      </w:r>
      <w:r w:rsidRPr="009D1AD4">
        <w:rPr>
          <w:rFonts w:ascii="Arial" w:hAnsi="Arial" w:cs="Arial"/>
          <w:b/>
          <w:bCs/>
          <w:sz w:val="20"/>
          <w:szCs w:val="20"/>
        </w:rPr>
        <w:t>event?</w:t>
      </w:r>
    </w:p>
    <w:p w14:paraId="380A3D0F" w14:textId="7D80E640" w:rsidR="009F5C2B" w:rsidRPr="009D1AD4" w:rsidRDefault="009F5C2B" w:rsidP="00055049">
      <w:pPr>
        <w:spacing w:after="200"/>
        <w:ind w:left="360"/>
        <w:rPr>
          <w:rFonts w:ascii="Arial" w:hAnsi="Arial" w:cs="Arial"/>
          <w:bCs/>
          <w:sz w:val="20"/>
          <w:szCs w:val="20"/>
        </w:rPr>
      </w:pPr>
      <w:r w:rsidRPr="009D1AD4">
        <w:rPr>
          <w:rFonts w:ascii="Arial" w:hAnsi="Arial" w:cs="Arial"/>
          <w:bCs/>
          <w:sz w:val="20"/>
          <w:szCs w:val="20"/>
        </w:rPr>
        <w:t>A</w:t>
      </w:r>
      <w:r w:rsidR="00055049">
        <w:rPr>
          <w:rFonts w:ascii="Arial" w:hAnsi="Arial" w:cs="Arial"/>
          <w:bCs/>
          <w:sz w:val="20"/>
          <w:szCs w:val="20"/>
        </w:rPr>
        <w:t xml:space="preserve"> </w:t>
      </w:r>
      <w:r w:rsidRPr="009D1AD4">
        <w:rPr>
          <w:rFonts w:ascii="Arial" w:hAnsi="Arial" w:cs="Arial"/>
          <w:bCs/>
          <w:sz w:val="20"/>
          <w:szCs w:val="20"/>
        </w:rPr>
        <w:t>qualifying</w:t>
      </w:r>
      <w:r w:rsidR="00055049">
        <w:rPr>
          <w:rFonts w:ascii="Arial" w:hAnsi="Arial" w:cs="Arial"/>
          <w:bCs/>
          <w:sz w:val="20"/>
          <w:szCs w:val="20"/>
        </w:rPr>
        <w:t xml:space="preserve"> </w:t>
      </w:r>
      <w:r w:rsidRPr="009D1AD4">
        <w:rPr>
          <w:rFonts w:ascii="Arial" w:hAnsi="Arial" w:cs="Arial"/>
          <w:bCs/>
          <w:sz w:val="20"/>
          <w:szCs w:val="20"/>
        </w:rPr>
        <w:t>event</w:t>
      </w:r>
      <w:r w:rsidR="00055049">
        <w:rPr>
          <w:rFonts w:ascii="Arial" w:hAnsi="Arial" w:cs="Arial"/>
          <w:bCs/>
          <w:sz w:val="20"/>
          <w:szCs w:val="20"/>
        </w:rPr>
        <w:t xml:space="preserve"> </w:t>
      </w:r>
      <w:r w:rsidRPr="009D1AD4">
        <w:rPr>
          <w:rFonts w:ascii="Arial" w:hAnsi="Arial" w:cs="Arial"/>
          <w:bCs/>
          <w:sz w:val="20"/>
          <w:szCs w:val="20"/>
        </w:rPr>
        <w:t>is any one of the following</w:t>
      </w:r>
      <w:r w:rsidR="00055049">
        <w:rPr>
          <w:rFonts w:ascii="Arial" w:hAnsi="Arial" w:cs="Arial"/>
          <w:bCs/>
          <w:sz w:val="20"/>
          <w:szCs w:val="20"/>
        </w:rPr>
        <w:t xml:space="preserve"> </w:t>
      </w:r>
      <w:r w:rsidRPr="009D1AD4">
        <w:rPr>
          <w:rFonts w:ascii="Arial" w:hAnsi="Arial" w:cs="Arial"/>
          <w:bCs/>
          <w:sz w:val="20"/>
          <w:szCs w:val="20"/>
        </w:rPr>
        <w:t>events</w:t>
      </w:r>
      <w:r w:rsidR="00055049">
        <w:rPr>
          <w:rFonts w:ascii="Arial" w:hAnsi="Arial" w:cs="Arial"/>
          <w:bCs/>
          <w:sz w:val="20"/>
          <w:szCs w:val="20"/>
        </w:rPr>
        <w:t xml:space="preserve"> </w:t>
      </w:r>
      <w:r w:rsidRPr="009D1AD4">
        <w:rPr>
          <w:rFonts w:ascii="Arial" w:hAnsi="Arial" w:cs="Arial"/>
          <w:bCs/>
          <w:sz w:val="20"/>
          <w:szCs w:val="20"/>
        </w:rPr>
        <w:t>(but only if the</w:t>
      </w:r>
      <w:r w:rsidR="00055049">
        <w:rPr>
          <w:rFonts w:ascii="Arial" w:hAnsi="Arial" w:cs="Arial"/>
          <w:bCs/>
          <w:sz w:val="20"/>
          <w:szCs w:val="20"/>
        </w:rPr>
        <w:t xml:space="preserve"> </w:t>
      </w:r>
      <w:r w:rsidRPr="009D1AD4">
        <w:rPr>
          <w:rFonts w:ascii="Arial" w:hAnsi="Arial" w:cs="Arial"/>
          <w:bCs/>
          <w:sz w:val="20"/>
          <w:szCs w:val="20"/>
        </w:rPr>
        <w:t>event</w:t>
      </w:r>
      <w:r w:rsidR="00055049">
        <w:rPr>
          <w:rFonts w:ascii="Arial" w:hAnsi="Arial" w:cs="Arial"/>
          <w:bCs/>
          <w:sz w:val="20"/>
          <w:szCs w:val="20"/>
        </w:rPr>
        <w:t xml:space="preserve"> </w:t>
      </w:r>
      <w:r w:rsidRPr="009D1AD4">
        <w:rPr>
          <w:rFonts w:ascii="Arial" w:hAnsi="Arial" w:cs="Arial"/>
          <w:bCs/>
          <w:sz w:val="20"/>
          <w:szCs w:val="20"/>
        </w:rPr>
        <w:t>results in a loss of group health plan coverage):</w:t>
      </w:r>
    </w:p>
    <w:p w14:paraId="3F236524" w14:textId="14459944" w:rsidR="009F5C2B" w:rsidRPr="00727034" w:rsidRDefault="009F5C2B" w:rsidP="00055049">
      <w:pPr>
        <w:pStyle w:val="ListParagraph"/>
        <w:numPr>
          <w:ilvl w:val="1"/>
          <w:numId w:val="26"/>
        </w:numPr>
        <w:spacing w:after="200"/>
        <w:ind w:left="900" w:hanging="180"/>
        <w:rPr>
          <w:rFonts w:ascii="Arial" w:hAnsi="Arial" w:cs="Arial"/>
          <w:bCs/>
          <w:sz w:val="20"/>
          <w:szCs w:val="20"/>
        </w:rPr>
      </w:pPr>
      <w:r w:rsidRPr="00727034">
        <w:rPr>
          <w:rFonts w:ascii="Arial" w:hAnsi="Arial" w:cs="Arial"/>
          <w:bCs/>
          <w:sz w:val="20"/>
          <w:szCs w:val="20"/>
        </w:rPr>
        <w:t>The death of a covered employee;</w:t>
      </w:r>
    </w:p>
    <w:p w14:paraId="4BEBF550" w14:textId="11E7ABE6" w:rsidR="009F5C2B" w:rsidRPr="00727034" w:rsidRDefault="009F5C2B" w:rsidP="00055049">
      <w:pPr>
        <w:pStyle w:val="ListParagraph"/>
        <w:numPr>
          <w:ilvl w:val="1"/>
          <w:numId w:val="26"/>
        </w:numPr>
        <w:spacing w:after="200"/>
        <w:ind w:left="900" w:hanging="180"/>
        <w:rPr>
          <w:rFonts w:ascii="Arial" w:hAnsi="Arial" w:cs="Arial"/>
          <w:bCs/>
          <w:sz w:val="20"/>
          <w:szCs w:val="20"/>
        </w:rPr>
      </w:pPr>
      <w:r w:rsidRPr="00727034">
        <w:rPr>
          <w:rFonts w:ascii="Arial" w:hAnsi="Arial" w:cs="Arial"/>
          <w:bCs/>
          <w:sz w:val="20"/>
          <w:szCs w:val="20"/>
        </w:rPr>
        <w:t>Termination of a covered employee’s employment for any reason other than gross misconduct;</w:t>
      </w:r>
    </w:p>
    <w:p w14:paraId="362ED2BB" w14:textId="6CA5AC93" w:rsidR="009F5C2B" w:rsidRPr="00727034" w:rsidRDefault="009F5C2B" w:rsidP="00055049">
      <w:pPr>
        <w:pStyle w:val="ListParagraph"/>
        <w:numPr>
          <w:ilvl w:val="1"/>
          <w:numId w:val="26"/>
        </w:numPr>
        <w:spacing w:after="200"/>
        <w:ind w:left="900" w:hanging="180"/>
        <w:rPr>
          <w:rFonts w:ascii="Arial" w:hAnsi="Arial" w:cs="Arial"/>
          <w:bCs/>
          <w:sz w:val="20"/>
          <w:szCs w:val="20"/>
        </w:rPr>
      </w:pPr>
      <w:r w:rsidRPr="00727034">
        <w:rPr>
          <w:rFonts w:ascii="Arial" w:hAnsi="Arial" w:cs="Arial"/>
          <w:bCs/>
          <w:sz w:val="20"/>
          <w:szCs w:val="20"/>
        </w:rPr>
        <w:t>Reduction in the number of hours a covered employee is employed;</w:t>
      </w:r>
    </w:p>
    <w:p w14:paraId="3D573384" w14:textId="1910C248" w:rsidR="009F5C2B" w:rsidRPr="00727034" w:rsidRDefault="009F5C2B" w:rsidP="00055049">
      <w:pPr>
        <w:pStyle w:val="ListParagraph"/>
        <w:numPr>
          <w:ilvl w:val="1"/>
          <w:numId w:val="26"/>
        </w:numPr>
        <w:spacing w:after="200"/>
        <w:ind w:left="900" w:hanging="180"/>
        <w:rPr>
          <w:rFonts w:ascii="Arial" w:hAnsi="Arial" w:cs="Arial"/>
          <w:bCs/>
          <w:sz w:val="20"/>
          <w:szCs w:val="20"/>
        </w:rPr>
      </w:pPr>
      <w:r w:rsidRPr="00727034">
        <w:rPr>
          <w:rFonts w:ascii="Arial" w:hAnsi="Arial" w:cs="Arial"/>
          <w:bCs/>
          <w:sz w:val="20"/>
          <w:szCs w:val="20"/>
        </w:rPr>
        <w:t>Divorce or separation of a covered employee and his or her spouse;</w:t>
      </w:r>
    </w:p>
    <w:p w14:paraId="556011CA" w14:textId="2C4DE7FF" w:rsidR="009F5C2B" w:rsidRPr="00727034" w:rsidRDefault="009F5C2B" w:rsidP="00055049">
      <w:pPr>
        <w:pStyle w:val="ListParagraph"/>
        <w:numPr>
          <w:ilvl w:val="1"/>
          <w:numId w:val="26"/>
        </w:numPr>
        <w:spacing w:after="200"/>
        <w:ind w:left="900" w:hanging="180"/>
        <w:rPr>
          <w:rFonts w:ascii="Arial" w:hAnsi="Arial" w:cs="Arial"/>
          <w:bCs/>
          <w:sz w:val="20"/>
          <w:szCs w:val="20"/>
        </w:rPr>
      </w:pPr>
      <w:r w:rsidRPr="00727034">
        <w:rPr>
          <w:rFonts w:ascii="Arial" w:hAnsi="Arial" w:cs="Arial"/>
          <w:bCs/>
          <w:sz w:val="20"/>
          <w:szCs w:val="20"/>
        </w:rPr>
        <w:t>Medicare entitlement of a covered employee;</w:t>
      </w:r>
    </w:p>
    <w:p w14:paraId="61974D1F" w14:textId="4E575DE2" w:rsidR="009F5C2B" w:rsidRPr="00727034" w:rsidRDefault="009F5C2B" w:rsidP="00055049">
      <w:pPr>
        <w:pStyle w:val="ListParagraph"/>
        <w:numPr>
          <w:ilvl w:val="1"/>
          <w:numId w:val="26"/>
        </w:numPr>
        <w:spacing w:after="200"/>
        <w:ind w:left="900" w:hanging="180"/>
        <w:rPr>
          <w:rFonts w:ascii="Arial" w:hAnsi="Arial" w:cs="Arial"/>
          <w:bCs/>
          <w:sz w:val="20"/>
          <w:szCs w:val="20"/>
        </w:rPr>
      </w:pPr>
      <w:r w:rsidRPr="00727034">
        <w:rPr>
          <w:rFonts w:ascii="Arial" w:hAnsi="Arial" w:cs="Arial"/>
          <w:bCs/>
          <w:sz w:val="20"/>
          <w:szCs w:val="20"/>
        </w:rPr>
        <w:t>A child of the covered employee ceasing to meet the group health plan’s definition of a dependent child; or</w:t>
      </w:r>
    </w:p>
    <w:p w14:paraId="047676D5" w14:textId="6FCACA61" w:rsidR="009F5C2B" w:rsidRPr="00727034" w:rsidRDefault="009F5C2B" w:rsidP="00055049">
      <w:pPr>
        <w:pStyle w:val="ListParagraph"/>
        <w:numPr>
          <w:ilvl w:val="1"/>
          <w:numId w:val="26"/>
        </w:numPr>
        <w:spacing w:after="200"/>
        <w:ind w:left="900" w:hanging="180"/>
        <w:rPr>
          <w:rFonts w:ascii="Arial" w:hAnsi="Arial" w:cs="Arial"/>
          <w:bCs/>
          <w:sz w:val="20"/>
          <w:szCs w:val="20"/>
        </w:rPr>
      </w:pPr>
      <w:r w:rsidRPr="00727034">
        <w:rPr>
          <w:rFonts w:ascii="Arial" w:hAnsi="Arial" w:cs="Arial"/>
          <w:bCs/>
          <w:sz w:val="20"/>
          <w:szCs w:val="20"/>
        </w:rPr>
        <w:t>Commencement of a bankruptcy proceeding concerning an employer from whose employment the covered employee retired.</w:t>
      </w:r>
    </w:p>
    <w:p w14:paraId="183D0326" w14:textId="086027E6" w:rsidR="009F5C2B" w:rsidRPr="009D1AD4" w:rsidRDefault="009F5C2B" w:rsidP="004C6CEA">
      <w:pPr>
        <w:spacing w:after="200"/>
        <w:rPr>
          <w:rFonts w:ascii="Arial" w:hAnsi="Arial" w:cs="Arial"/>
          <w:bCs/>
          <w:sz w:val="20"/>
          <w:szCs w:val="20"/>
        </w:rPr>
      </w:pPr>
      <w:r w:rsidRPr="009D1AD4">
        <w:rPr>
          <w:rFonts w:ascii="Arial" w:hAnsi="Arial" w:cs="Arial"/>
          <w:bCs/>
          <w:sz w:val="20"/>
          <w:szCs w:val="20"/>
        </w:rPr>
        <w:t xml:space="preserve">Also, </w:t>
      </w:r>
      <w:r w:rsidR="00727034">
        <w:rPr>
          <w:rFonts w:ascii="Arial" w:hAnsi="Arial" w:cs="Arial"/>
          <w:bCs/>
          <w:sz w:val="20"/>
          <w:szCs w:val="20"/>
        </w:rPr>
        <w:t>see</w:t>
      </w:r>
      <w:r w:rsidRPr="009D1AD4">
        <w:rPr>
          <w:rFonts w:ascii="Arial" w:hAnsi="Arial" w:cs="Arial"/>
          <w:bCs/>
          <w:sz w:val="20"/>
          <w:szCs w:val="20"/>
        </w:rPr>
        <w:t xml:space="preserve"> our UBA Advisor “</w:t>
      </w:r>
      <w:hyperlink r:id="rId22" w:history="1">
        <w:r w:rsidRPr="00727034">
          <w:rPr>
            <w:rStyle w:val="Hyperlink"/>
            <w:bCs/>
          </w:rPr>
          <w:t>What</w:t>
        </w:r>
        <w:r w:rsidR="00055049">
          <w:rPr>
            <w:rStyle w:val="Hyperlink"/>
            <w:bCs/>
          </w:rPr>
          <w:t xml:space="preserve"> </w:t>
        </w:r>
        <w:r w:rsidRPr="00727034">
          <w:rPr>
            <w:rStyle w:val="Hyperlink"/>
            <w:bCs/>
          </w:rPr>
          <w:t>Qualifying</w:t>
        </w:r>
        <w:r w:rsidR="00055049">
          <w:rPr>
            <w:rStyle w:val="Hyperlink"/>
            <w:bCs/>
          </w:rPr>
          <w:t xml:space="preserve"> </w:t>
        </w:r>
        <w:r w:rsidRPr="00727034">
          <w:rPr>
            <w:rStyle w:val="Hyperlink"/>
            <w:bCs/>
          </w:rPr>
          <w:t>Events</w:t>
        </w:r>
        <w:r w:rsidR="00055049">
          <w:rPr>
            <w:rStyle w:val="Hyperlink"/>
            <w:bCs/>
          </w:rPr>
          <w:t xml:space="preserve"> </w:t>
        </w:r>
        <w:r w:rsidRPr="00727034">
          <w:rPr>
            <w:rStyle w:val="Hyperlink"/>
            <w:bCs/>
          </w:rPr>
          <w:t>Trigger</w:t>
        </w:r>
        <w:r w:rsidR="00055049">
          <w:rPr>
            <w:rStyle w:val="Hyperlink"/>
            <w:bCs/>
          </w:rPr>
          <w:t xml:space="preserve"> </w:t>
        </w:r>
        <w:r w:rsidRPr="00727034">
          <w:rPr>
            <w:rStyle w:val="Hyperlink"/>
            <w:bCs/>
          </w:rPr>
          <w:t>COBRA?</w:t>
        </w:r>
      </w:hyperlink>
      <w:r w:rsidRPr="009D1AD4">
        <w:rPr>
          <w:rFonts w:ascii="Arial" w:hAnsi="Arial" w:cs="Arial"/>
          <w:bCs/>
          <w:sz w:val="20"/>
          <w:szCs w:val="20"/>
        </w:rPr>
        <w:t>” that describes</w:t>
      </w:r>
      <w:r w:rsidR="00055049">
        <w:rPr>
          <w:rFonts w:ascii="Arial" w:hAnsi="Arial" w:cs="Arial"/>
          <w:bCs/>
          <w:sz w:val="20"/>
          <w:szCs w:val="20"/>
        </w:rPr>
        <w:t xml:space="preserve"> </w:t>
      </w:r>
      <w:r w:rsidRPr="009D1AD4">
        <w:rPr>
          <w:rFonts w:ascii="Arial" w:hAnsi="Arial" w:cs="Arial"/>
          <w:bCs/>
          <w:sz w:val="20"/>
          <w:szCs w:val="20"/>
        </w:rPr>
        <w:t>qualifying</w:t>
      </w:r>
      <w:r w:rsidR="00055049">
        <w:rPr>
          <w:rFonts w:ascii="Arial" w:hAnsi="Arial" w:cs="Arial"/>
          <w:bCs/>
          <w:sz w:val="20"/>
          <w:szCs w:val="20"/>
        </w:rPr>
        <w:t xml:space="preserve"> </w:t>
      </w:r>
      <w:r w:rsidRPr="009D1AD4">
        <w:rPr>
          <w:rFonts w:ascii="Arial" w:hAnsi="Arial" w:cs="Arial"/>
          <w:bCs/>
          <w:sz w:val="20"/>
          <w:szCs w:val="20"/>
        </w:rPr>
        <w:t>events.</w:t>
      </w:r>
    </w:p>
    <w:p w14:paraId="76D5D418" w14:textId="77777777" w:rsidR="00727034" w:rsidRDefault="009F5C2B" w:rsidP="00004129">
      <w:pPr>
        <w:keepNext/>
        <w:spacing w:after="200"/>
        <w:rPr>
          <w:rFonts w:ascii="Arial" w:hAnsi="Arial" w:cs="Arial"/>
          <w:bCs/>
          <w:sz w:val="20"/>
          <w:szCs w:val="20"/>
        </w:rPr>
      </w:pPr>
      <w:r w:rsidRPr="009D1AD4">
        <w:rPr>
          <w:rFonts w:ascii="Arial" w:hAnsi="Arial" w:cs="Arial"/>
          <w:bCs/>
          <w:sz w:val="20"/>
          <w:szCs w:val="20"/>
        </w:rPr>
        <w:lastRenderedPageBreak/>
        <w:t>From our UBA Advisor “</w:t>
      </w:r>
      <w:hyperlink r:id="rId23" w:history="1">
        <w:r w:rsidRPr="00727034">
          <w:rPr>
            <w:rStyle w:val="Hyperlink"/>
            <w:bCs/>
          </w:rPr>
          <w:t>Perfect Attendance! How to Handle Leaves of Absence under the ACA</w:t>
        </w:r>
      </w:hyperlink>
      <w:r w:rsidR="00727034">
        <w:rPr>
          <w:rFonts w:ascii="Arial" w:hAnsi="Arial" w:cs="Arial"/>
          <w:bCs/>
          <w:sz w:val="20"/>
          <w:szCs w:val="20"/>
        </w:rPr>
        <w:t>:</w:t>
      </w:r>
      <w:r w:rsidRPr="009D1AD4">
        <w:rPr>
          <w:rFonts w:ascii="Arial" w:hAnsi="Arial" w:cs="Arial"/>
          <w:bCs/>
          <w:sz w:val="20"/>
          <w:szCs w:val="20"/>
        </w:rPr>
        <w:t>”</w:t>
      </w:r>
    </w:p>
    <w:p w14:paraId="6FA2E461" w14:textId="7FF1BE3D" w:rsidR="009F5C2B" w:rsidRPr="009D1AD4" w:rsidRDefault="009F5C2B" w:rsidP="00055049">
      <w:pPr>
        <w:spacing w:after="200"/>
        <w:ind w:left="360"/>
        <w:rPr>
          <w:rFonts w:ascii="Arial" w:hAnsi="Arial" w:cs="Arial"/>
          <w:bCs/>
          <w:sz w:val="20"/>
          <w:szCs w:val="20"/>
        </w:rPr>
      </w:pPr>
      <w:r w:rsidRPr="009D1AD4">
        <w:rPr>
          <w:rFonts w:ascii="Arial" w:hAnsi="Arial" w:cs="Arial"/>
          <w:bCs/>
          <w:sz w:val="20"/>
          <w:szCs w:val="20"/>
        </w:rPr>
        <w:t>Under the ACA, any hour for which an employee is paid or entitled to payment must be counted as an hour of service.</w:t>
      </w:r>
      <w:r w:rsidR="00727034">
        <w:rPr>
          <w:rFonts w:ascii="Arial" w:hAnsi="Arial" w:cs="Arial"/>
          <w:bCs/>
          <w:sz w:val="20"/>
          <w:szCs w:val="20"/>
        </w:rPr>
        <w:t xml:space="preserve"> …</w:t>
      </w:r>
    </w:p>
    <w:p w14:paraId="0AFBFFDC" w14:textId="77777777" w:rsidR="009F5C2B" w:rsidRPr="009D1AD4" w:rsidRDefault="009F5C2B" w:rsidP="00055049">
      <w:pPr>
        <w:spacing w:after="200"/>
        <w:ind w:left="360"/>
        <w:rPr>
          <w:rFonts w:ascii="Arial" w:hAnsi="Arial" w:cs="Arial"/>
          <w:bCs/>
          <w:sz w:val="20"/>
          <w:szCs w:val="20"/>
        </w:rPr>
      </w:pPr>
      <w:r w:rsidRPr="009D1AD4">
        <w:rPr>
          <w:rFonts w:ascii="Arial" w:hAnsi="Arial" w:cs="Arial"/>
          <w:b/>
          <w:bCs/>
          <w:sz w:val="20"/>
          <w:szCs w:val="20"/>
        </w:rPr>
        <w:t>Unpaid Leave</w:t>
      </w:r>
    </w:p>
    <w:p w14:paraId="2E9DCBF1" w14:textId="77777777" w:rsidR="009F5C2B" w:rsidRPr="009D1AD4" w:rsidRDefault="009F5C2B" w:rsidP="00055049">
      <w:pPr>
        <w:spacing w:after="200"/>
        <w:ind w:left="360"/>
        <w:rPr>
          <w:rFonts w:ascii="Arial" w:hAnsi="Arial" w:cs="Arial"/>
          <w:bCs/>
          <w:sz w:val="20"/>
          <w:szCs w:val="20"/>
        </w:rPr>
      </w:pPr>
      <w:r w:rsidRPr="009D1AD4">
        <w:rPr>
          <w:rFonts w:ascii="Arial" w:hAnsi="Arial" w:cs="Arial"/>
          <w:bCs/>
          <w:sz w:val="20"/>
          <w:szCs w:val="20"/>
        </w:rPr>
        <w:t>If the employee is on an unpaid leave of absence (except unpaid FMLA) and in a stability period, the employee must be offered coverage through the stability period. When the employee’s hours are calculated during the contemporaneous measurement period, the leave of absence will count as zero hours of service.</w:t>
      </w:r>
    </w:p>
    <w:p w14:paraId="0BD039C0" w14:textId="7F261754" w:rsidR="009F5C2B" w:rsidRDefault="009F5C2B" w:rsidP="004C6CEA">
      <w:pPr>
        <w:spacing w:after="200"/>
        <w:rPr>
          <w:rFonts w:ascii="Arial" w:hAnsi="Arial" w:cs="Arial"/>
          <w:sz w:val="20"/>
          <w:szCs w:val="20"/>
        </w:rPr>
      </w:pPr>
    </w:p>
    <w:p w14:paraId="43029CF8" w14:textId="77777777" w:rsidR="00354D6A" w:rsidRPr="009D1AD4" w:rsidRDefault="00354D6A" w:rsidP="004C6CEA">
      <w:pPr>
        <w:spacing w:after="200"/>
        <w:rPr>
          <w:rFonts w:ascii="Arial" w:hAnsi="Arial" w:cs="Arial"/>
          <w:sz w:val="20"/>
          <w:szCs w:val="20"/>
        </w:rPr>
      </w:pPr>
      <w:r w:rsidRPr="00C5063D">
        <w:rPr>
          <w:rFonts w:ascii="Arial" w:hAnsi="Arial" w:cs="Arial"/>
          <w:b/>
          <w:bCs/>
          <w:color w:val="001BBA"/>
          <w:sz w:val="22"/>
          <w:szCs w:val="22"/>
        </w:rPr>
        <w:t>Question:</w:t>
      </w:r>
      <w:r w:rsidRPr="009D1AD4">
        <w:rPr>
          <w:rFonts w:ascii="Arial" w:hAnsi="Arial" w:cs="Arial"/>
          <w:sz w:val="20"/>
          <w:szCs w:val="20"/>
        </w:rPr>
        <w:t xml:space="preserve"> May a COBRA participant change plans during open enrollment?</w:t>
      </w:r>
    </w:p>
    <w:p w14:paraId="558506D3" w14:textId="77777777" w:rsidR="00354D6A" w:rsidRPr="009D1AD4" w:rsidRDefault="00354D6A" w:rsidP="004C6CEA">
      <w:pPr>
        <w:spacing w:after="200"/>
        <w:rPr>
          <w:rFonts w:ascii="Arial" w:hAnsi="Arial" w:cs="Arial"/>
          <w:sz w:val="20"/>
          <w:szCs w:val="20"/>
        </w:rPr>
      </w:pPr>
      <w:r w:rsidRPr="009D1AD4">
        <w:rPr>
          <w:rFonts w:ascii="Arial" w:hAnsi="Arial" w:cs="Arial"/>
          <w:b/>
          <w:sz w:val="20"/>
          <w:szCs w:val="20"/>
        </w:rPr>
        <w:t>Answer:</w:t>
      </w:r>
      <w:r w:rsidRPr="009D1AD4">
        <w:rPr>
          <w:rFonts w:ascii="Arial" w:hAnsi="Arial" w:cs="Arial"/>
          <w:sz w:val="20"/>
          <w:szCs w:val="20"/>
        </w:rPr>
        <w:t xml:space="preserve"> Yes, at open enrollment, the plan must give a COBRA participant the same opportunity to change plans as it gives to active employees. This means that if active employees may select a different group health plan, then COBRA participants must also have the same opportunity to select a different group health plan.</w:t>
      </w:r>
    </w:p>
    <w:p w14:paraId="6B2A6818" w14:textId="77777777" w:rsidR="00354D6A" w:rsidRPr="009D1AD4" w:rsidRDefault="00354D6A" w:rsidP="004C6CEA">
      <w:pPr>
        <w:spacing w:after="200"/>
        <w:rPr>
          <w:rFonts w:ascii="Arial" w:hAnsi="Arial" w:cs="Arial"/>
          <w:sz w:val="20"/>
          <w:szCs w:val="20"/>
        </w:rPr>
      </w:pPr>
      <w:r w:rsidRPr="009D1AD4">
        <w:rPr>
          <w:rFonts w:ascii="Arial" w:hAnsi="Arial" w:cs="Arial"/>
          <w:sz w:val="20"/>
          <w:szCs w:val="20"/>
        </w:rPr>
        <w:t>As a best practice, when the plan sends enrollment forms and related documents to active employees, the plan should send these documents to COBRA participants to ensure that they have the opportunity to make open enrollment decisions.</w:t>
      </w:r>
    </w:p>
    <w:p w14:paraId="7359EF18" w14:textId="5F5AEABC" w:rsidR="00354D6A" w:rsidRDefault="00354D6A" w:rsidP="004C6CEA">
      <w:pPr>
        <w:spacing w:after="200"/>
        <w:rPr>
          <w:rFonts w:ascii="Arial" w:hAnsi="Arial" w:cs="Arial"/>
          <w:sz w:val="20"/>
          <w:szCs w:val="20"/>
        </w:rPr>
      </w:pPr>
    </w:p>
    <w:p w14:paraId="0604EE9C" w14:textId="327921F0" w:rsidR="00354D6A" w:rsidRPr="009D1AD4" w:rsidRDefault="00354D6A" w:rsidP="004C6CEA">
      <w:pPr>
        <w:spacing w:after="200"/>
        <w:rPr>
          <w:rFonts w:ascii="Arial" w:hAnsi="Arial" w:cs="Arial"/>
          <w:sz w:val="20"/>
          <w:szCs w:val="20"/>
        </w:rPr>
      </w:pPr>
      <w:r w:rsidRPr="00C5063D">
        <w:rPr>
          <w:rFonts w:ascii="Arial" w:hAnsi="Arial" w:cs="Arial"/>
          <w:b/>
          <w:bCs/>
          <w:color w:val="001BBA"/>
          <w:sz w:val="22"/>
          <w:szCs w:val="22"/>
        </w:rPr>
        <w:t xml:space="preserve">Question: </w:t>
      </w:r>
      <w:r w:rsidRPr="009D1AD4">
        <w:rPr>
          <w:rFonts w:ascii="Arial" w:hAnsi="Arial" w:cs="Arial"/>
          <w:sz w:val="20"/>
          <w:szCs w:val="20"/>
        </w:rPr>
        <w:t>Can a plan provide for a longer coverage continuation period than what federal COBRA</w:t>
      </w:r>
      <w:r w:rsidR="00004129">
        <w:rPr>
          <w:rFonts w:ascii="Arial" w:hAnsi="Arial" w:cs="Arial"/>
          <w:sz w:val="20"/>
          <w:szCs w:val="20"/>
        </w:rPr>
        <w:t> </w:t>
      </w:r>
      <w:r w:rsidRPr="009D1AD4">
        <w:rPr>
          <w:rFonts w:ascii="Arial" w:hAnsi="Arial" w:cs="Arial"/>
          <w:sz w:val="20"/>
          <w:szCs w:val="20"/>
        </w:rPr>
        <w:t>provides?</w:t>
      </w:r>
    </w:p>
    <w:p w14:paraId="43D14D6C" w14:textId="77777777" w:rsidR="00354D6A" w:rsidRPr="009D1AD4" w:rsidRDefault="00354D6A" w:rsidP="004C6CEA">
      <w:pPr>
        <w:spacing w:after="200"/>
        <w:rPr>
          <w:rFonts w:ascii="Arial" w:hAnsi="Arial" w:cs="Arial"/>
          <w:sz w:val="20"/>
          <w:szCs w:val="20"/>
        </w:rPr>
      </w:pPr>
      <w:r w:rsidRPr="009D1AD4">
        <w:rPr>
          <w:rFonts w:ascii="Arial" w:hAnsi="Arial" w:cs="Arial"/>
          <w:b/>
          <w:sz w:val="20"/>
          <w:szCs w:val="20"/>
        </w:rPr>
        <w:t>Answer:</w:t>
      </w:r>
      <w:r w:rsidRPr="009D1AD4">
        <w:rPr>
          <w:rFonts w:ascii="Arial" w:hAnsi="Arial" w:cs="Arial"/>
          <w:sz w:val="20"/>
          <w:szCs w:val="20"/>
        </w:rPr>
        <w:t xml:space="preserve"> Yes, a plan can provide for a longer coverage continuation period than what federal COBRA provides. Federal COBRA sets the maximum period for which group health plan coverage is required to be continued. However, a plan can provide for a longer continuation period.</w:t>
      </w:r>
    </w:p>
    <w:p w14:paraId="7C2BE40E" w14:textId="6D5B0F0B" w:rsidR="00354D6A" w:rsidRPr="009D1AD4" w:rsidRDefault="00354D6A" w:rsidP="004C6CEA">
      <w:pPr>
        <w:spacing w:after="200"/>
        <w:rPr>
          <w:rFonts w:ascii="Arial" w:hAnsi="Arial" w:cs="Arial"/>
          <w:sz w:val="20"/>
          <w:szCs w:val="20"/>
        </w:rPr>
      </w:pPr>
      <w:r w:rsidRPr="009D1AD4">
        <w:rPr>
          <w:rFonts w:ascii="Arial" w:hAnsi="Arial" w:cs="Arial"/>
          <w:sz w:val="20"/>
          <w:szCs w:val="20"/>
        </w:rPr>
        <w:t>Please be aware that if a plan sponsor wants to lengthen the coverage continuation period, then the carrier (if the plan is fully</w:t>
      </w:r>
      <w:r w:rsidR="00727034">
        <w:rPr>
          <w:rFonts w:ascii="Arial" w:hAnsi="Arial" w:cs="Arial"/>
          <w:sz w:val="20"/>
          <w:szCs w:val="20"/>
        </w:rPr>
        <w:t xml:space="preserve"> </w:t>
      </w:r>
      <w:r w:rsidRPr="009D1AD4">
        <w:rPr>
          <w:rFonts w:ascii="Arial" w:hAnsi="Arial" w:cs="Arial"/>
          <w:sz w:val="20"/>
          <w:szCs w:val="20"/>
        </w:rPr>
        <w:t>insured) or stop-loss carrier (if the plan is self-funded and uses stop-loss insurance) may not agree to the longer coverage continuation period. The plan sponsor would need to negotiate this issue with the carrier before providing for a longer coverage continuation period than what federal COBRA provides.</w:t>
      </w:r>
    </w:p>
    <w:p w14:paraId="3DEC268F" w14:textId="78FCC238" w:rsidR="00354D6A" w:rsidRDefault="00354D6A" w:rsidP="004C6CEA">
      <w:pPr>
        <w:spacing w:after="200"/>
        <w:rPr>
          <w:rFonts w:ascii="Arial" w:hAnsi="Arial" w:cs="Arial"/>
          <w:sz w:val="20"/>
          <w:szCs w:val="20"/>
        </w:rPr>
      </w:pPr>
    </w:p>
    <w:p w14:paraId="4B6323C9" w14:textId="77777777" w:rsidR="00354D6A" w:rsidRPr="009D1AD4" w:rsidRDefault="00354D6A" w:rsidP="004C6CEA">
      <w:pPr>
        <w:spacing w:after="200"/>
        <w:rPr>
          <w:rFonts w:ascii="Arial" w:hAnsi="Arial" w:cs="Arial"/>
          <w:sz w:val="20"/>
          <w:szCs w:val="20"/>
        </w:rPr>
      </w:pPr>
      <w:r w:rsidRPr="00C5063D">
        <w:rPr>
          <w:rFonts w:ascii="Arial" w:hAnsi="Arial" w:cs="Arial"/>
          <w:b/>
          <w:bCs/>
          <w:color w:val="001BBA"/>
          <w:sz w:val="22"/>
          <w:szCs w:val="22"/>
        </w:rPr>
        <w:t>Question:</w:t>
      </w:r>
      <w:r w:rsidRPr="009D1AD4">
        <w:rPr>
          <w:rFonts w:ascii="Arial" w:hAnsi="Arial" w:cs="Arial"/>
          <w:b/>
          <w:sz w:val="20"/>
          <w:szCs w:val="20"/>
        </w:rPr>
        <w:t xml:space="preserve"> </w:t>
      </w:r>
      <w:r w:rsidRPr="009D1AD4">
        <w:rPr>
          <w:rFonts w:ascii="Arial" w:hAnsi="Arial" w:cs="Arial"/>
          <w:sz w:val="20"/>
          <w:szCs w:val="20"/>
        </w:rPr>
        <w:t>If an employer is subject to COBRA, would the employer need to offer COBRA on an Employee Assistance Program (EAP)?</w:t>
      </w:r>
    </w:p>
    <w:p w14:paraId="5AEDE995" w14:textId="77777777" w:rsidR="00354D6A" w:rsidRPr="009D1AD4" w:rsidRDefault="00354D6A" w:rsidP="004C6CEA">
      <w:pPr>
        <w:spacing w:after="200"/>
        <w:rPr>
          <w:rFonts w:ascii="Arial" w:hAnsi="Arial" w:cs="Arial"/>
          <w:sz w:val="20"/>
          <w:szCs w:val="20"/>
        </w:rPr>
      </w:pPr>
      <w:r w:rsidRPr="009D1AD4">
        <w:rPr>
          <w:rFonts w:ascii="Arial" w:hAnsi="Arial" w:cs="Arial"/>
          <w:b/>
          <w:sz w:val="20"/>
          <w:szCs w:val="20"/>
        </w:rPr>
        <w:t xml:space="preserve">Answer: </w:t>
      </w:r>
      <w:r w:rsidRPr="009D1AD4">
        <w:rPr>
          <w:rFonts w:ascii="Arial" w:hAnsi="Arial" w:cs="Arial"/>
          <w:sz w:val="20"/>
          <w:szCs w:val="20"/>
        </w:rPr>
        <w:t>Generally, an EAP will be subject to COBRA if it provides medical care.</w:t>
      </w:r>
    </w:p>
    <w:p w14:paraId="119A98B5" w14:textId="77777777" w:rsidR="00354D6A" w:rsidRPr="009D1AD4" w:rsidRDefault="00354D6A" w:rsidP="004C6CEA">
      <w:pPr>
        <w:spacing w:after="200"/>
        <w:rPr>
          <w:rFonts w:ascii="Arial" w:hAnsi="Arial" w:cs="Arial"/>
          <w:sz w:val="20"/>
          <w:szCs w:val="20"/>
        </w:rPr>
      </w:pPr>
      <w:r w:rsidRPr="009D1AD4">
        <w:rPr>
          <w:rFonts w:ascii="Arial" w:hAnsi="Arial" w:cs="Arial"/>
          <w:sz w:val="20"/>
          <w:szCs w:val="20"/>
        </w:rPr>
        <w:t>If an EAP is referral-only and does not provide medical care, then COBRA will not apply.</w:t>
      </w:r>
    </w:p>
    <w:p w14:paraId="13B3D6FB" w14:textId="116C9A08" w:rsidR="00354D6A" w:rsidRDefault="00354D6A" w:rsidP="004C6CEA">
      <w:pPr>
        <w:spacing w:after="200"/>
        <w:rPr>
          <w:rFonts w:ascii="Arial" w:hAnsi="Arial" w:cs="Arial"/>
          <w:sz w:val="20"/>
          <w:szCs w:val="20"/>
        </w:rPr>
      </w:pPr>
    </w:p>
    <w:p w14:paraId="1FEAA1D9" w14:textId="595CFD53" w:rsidR="00354D6A" w:rsidRPr="009D1AD4" w:rsidRDefault="00354D6A" w:rsidP="004C6CEA">
      <w:pPr>
        <w:spacing w:after="200"/>
        <w:rPr>
          <w:rFonts w:ascii="Arial" w:hAnsi="Arial" w:cs="Arial"/>
          <w:sz w:val="20"/>
          <w:szCs w:val="20"/>
        </w:rPr>
      </w:pPr>
      <w:r w:rsidRPr="00C5063D">
        <w:rPr>
          <w:rFonts w:ascii="Arial" w:hAnsi="Arial" w:cs="Arial"/>
          <w:b/>
          <w:bCs/>
          <w:color w:val="001BBA"/>
          <w:sz w:val="22"/>
          <w:szCs w:val="22"/>
        </w:rPr>
        <w:t>Question:</w:t>
      </w:r>
      <w:r w:rsidRPr="009D1AD4">
        <w:rPr>
          <w:rFonts w:ascii="Arial" w:hAnsi="Arial" w:cs="Arial"/>
          <w:b/>
          <w:sz w:val="20"/>
          <w:szCs w:val="20"/>
        </w:rPr>
        <w:t xml:space="preserve"> </w:t>
      </w:r>
      <w:r w:rsidRPr="009D1AD4">
        <w:rPr>
          <w:rFonts w:ascii="Arial" w:hAnsi="Arial" w:cs="Arial"/>
          <w:sz w:val="20"/>
          <w:szCs w:val="20"/>
        </w:rPr>
        <w:t>How does an employer handle COBRA continuation coverage when an employee alerts the plan administrator that the employee divorced several months (or years) ago and the employee’s former spouse wasn’t taken off the plan after the divorce?</w:t>
      </w:r>
    </w:p>
    <w:p w14:paraId="1B04C5AE" w14:textId="631EA704" w:rsidR="00354D6A" w:rsidRPr="009D1AD4" w:rsidRDefault="00354D6A" w:rsidP="004C6CEA">
      <w:pPr>
        <w:spacing w:after="200"/>
        <w:rPr>
          <w:rFonts w:ascii="Arial" w:hAnsi="Arial" w:cs="Arial"/>
          <w:sz w:val="20"/>
          <w:szCs w:val="20"/>
        </w:rPr>
      </w:pPr>
      <w:r w:rsidRPr="009D1AD4">
        <w:rPr>
          <w:rFonts w:ascii="Arial" w:hAnsi="Arial" w:cs="Arial"/>
          <w:b/>
          <w:sz w:val="20"/>
          <w:szCs w:val="20"/>
        </w:rPr>
        <w:t>Answer:</w:t>
      </w:r>
      <w:r w:rsidRPr="009D1AD4">
        <w:rPr>
          <w:rFonts w:ascii="Arial" w:hAnsi="Arial" w:cs="Arial"/>
          <w:sz w:val="20"/>
          <w:szCs w:val="20"/>
        </w:rPr>
        <w:t xml:space="preserve"> Presuming that the initial</w:t>
      </w:r>
      <w:r w:rsidR="00055049">
        <w:rPr>
          <w:rFonts w:ascii="Arial" w:hAnsi="Arial" w:cs="Arial"/>
          <w:sz w:val="20"/>
          <w:szCs w:val="20"/>
        </w:rPr>
        <w:t xml:space="preserve"> </w:t>
      </w:r>
      <w:r w:rsidRPr="009D1AD4">
        <w:rPr>
          <w:rFonts w:ascii="Arial" w:hAnsi="Arial" w:cs="Arial"/>
          <w:sz w:val="20"/>
          <w:szCs w:val="20"/>
        </w:rPr>
        <w:t>COBRA</w:t>
      </w:r>
      <w:r w:rsidR="00055049">
        <w:rPr>
          <w:rFonts w:ascii="Arial" w:hAnsi="Arial" w:cs="Arial"/>
          <w:sz w:val="20"/>
          <w:szCs w:val="20"/>
        </w:rPr>
        <w:t xml:space="preserve"> </w:t>
      </w:r>
      <w:r w:rsidRPr="009D1AD4">
        <w:rPr>
          <w:rFonts w:ascii="Arial" w:hAnsi="Arial" w:cs="Arial"/>
          <w:sz w:val="20"/>
          <w:szCs w:val="20"/>
        </w:rPr>
        <w:t>notice</w:t>
      </w:r>
      <w:r w:rsidR="00055049">
        <w:rPr>
          <w:rFonts w:ascii="Arial" w:hAnsi="Arial" w:cs="Arial"/>
          <w:sz w:val="20"/>
          <w:szCs w:val="20"/>
        </w:rPr>
        <w:t xml:space="preserve"> </w:t>
      </w:r>
      <w:r w:rsidRPr="009D1AD4">
        <w:rPr>
          <w:rFonts w:ascii="Arial" w:hAnsi="Arial" w:cs="Arial"/>
          <w:sz w:val="20"/>
          <w:szCs w:val="20"/>
        </w:rPr>
        <w:t xml:space="preserve">or the plan’s </w:t>
      </w:r>
      <w:r w:rsidR="00727034">
        <w:rPr>
          <w:rFonts w:ascii="Arial" w:hAnsi="Arial" w:cs="Arial"/>
          <w:sz w:val="20"/>
          <w:szCs w:val="20"/>
        </w:rPr>
        <w:t>summary plan description (</w:t>
      </w:r>
      <w:r w:rsidRPr="009D1AD4">
        <w:rPr>
          <w:rFonts w:ascii="Arial" w:hAnsi="Arial" w:cs="Arial"/>
          <w:sz w:val="20"/>
          <w:szCs w:val="20"/>
        </w:rPr>
        <w:t>SPD</w:t>
      </w:r>
      <w:r w:rsidR="00727034">
        <w:rPr>
          <w:rFonts w:ascii="Arial" w:hAnsi="Arial" w:cs="Arial"/>
          <w:sz w:val="20"/>
          <w:szCs w:val="20"/>
        </w:rPr>
        <w:t>)</w:t>
      </w:r>
      <w:r w:rsidR="00055049">
        <w:rPr>
          <w:rFonts w:ascii="Arial" w:hAnsi="Arial" w:cs="Arial"/>
          <w:sz w:val="20"/>
          <w:szCs w:val="20"/>
        </w:rPr>
        <w:t xml:space="preserve"> </w:t>
      </w:r>
      <w:r w:rsidRPr="009D1AD4">
        <w:rPr>
          <w:rFonts w:ascii="Arial" w:hAnsi="Arial" w:cs="Arial"/>
          <w:sz w:val="20"/>
          <w:szCs w:val="20"/>
        </w:rPr>
        <w:t>provided reasonable procedures for the covered employee</w:t>
      </w:r>
      <w:r w:rsidR="00055049">
        <w:rPr>
          <w:rFonts w:ascii="Arial" w:hAnsi="Arial" w:cs="Arial"/>
          <w:sz w:val="20"/>
          <w:szCs w:val="20"/>
        </w:rPr>
        <w:t xml:space="preserve"> </w:t>
      </w:r>
      <w:r w:rsidRPr="009D1AD4">
        <w:rPr>
          <w:rFonts w:ascii="Arial" w:hAnsi="Arial" w:cs="Arial"/>
          <w:sz w:val="20"/>
          <w:szCs w:val="20"/>
        </w:rPr>
        <w:t>to</w:t>
      </w:r>
      <w:r w:rsidR="00055049">
        <w:rPr>
          <w:rFonts w:ascii="Arial" w:hAnsi="Arial" w:cs="Arial"/>
          <w:sz w:val="20"/>
          <w:szCs w:val="20"/>
        </w:rPr>
        <w:t xml:space="preserve"> </w:t>
      </w:r>
      <w:r w:rsidRPr="009D1AD4">
        <w:rPr>
          <w:rFonts w:ascii="Arial" w:hAnsi="Arial" w:cs="Arial"/>
          <w:sz w:val="20"/>
          <w:szCs w:val="20"/>
        </w:rPr>
        <w:t>furnish</w:t>
      </w:r>
      <w:r w:rsidR="00055049">
        <w:rPr>
          <w:rFonts w:ascii="Arial" w:hAnsi="Arial" w:cs="Arial"/>
          <w:sz w:val="20"/>
          <w:szCs w:val="20"/>
        </w:rPr>
        <w:t xml:space="preserve"> </w:t>
      </w:r>
      <w:r w:rsidRPr="009D1AD4">
        <w:rPr>
          <w:rFonts w:ascii="Arial" w:hAnsi="Arial" w:cs="Arial"/>
          <w:sz w:val="20"/>
          <w:szCs w:val="20"/>
        </w:rPr>
        <w:t>notice</w:t>
      </w:r>
      <w:r w:rsidR="00055049">
        <w:rPr>
          <w:rFonts w:ascii="Arial" w:hAnsi="Arial" w:cs="Arial"/>
          <w:sz w:val="20"/>
          <w:szCs w:val="20"/>
        </w:rPr>
        <w:t xml:space="preserve"> </w:t>
      </w:r>
      <w:r w:rsidRPr="009D1AD4">
        <w:rPr>
          <w:rFonts w:ascii="Arial" w:hAnsi="Arial" w:cs="Arial"/>
          <w:sz w:val="20"/>
          <w:szCs w:val="20"/>
        </w:rPr>
        <w:t>of the divorce, the plan is not required</w:t>
      </w:r>
      <w:r w:rsidR="00055049">
        <w:rPr>
          <w:rFonts w:ascii="Arial" w:hAnsi="Arial" w:cs="Arial"/>
          <w:sz w:val="20"/>
          <w:szCs w:val="20"/>
        </w:rPr>
        <w:t xml:space="preserve"> </w:t>
      </w:r>
      <w:r w:rsidRPr="009D1AD4">
        <w:rPr>
          <w:rFonts w:ascii="Arial" w:hAnsi="Arial" w:cs="Arial"/>
          <w:sz w:val="20"/>
          <w:szCs w:val="20"/>
        </w:rPr>
        <w:t>to</w:t>
      </w:r>
      <w:r w:rsidR="00055049">
        <w:rPr>
          <w:rFonts w:ascii="Arial" w:hAnsi="Arial" w:cs="Arial"/>
          <w:sz w:val="20"/>
          <w:szCs w:val="20"/>
        </w:rPr>
        <w:t xml:space="preserve"> </w:t>
      </w:r>
      <w:r w:rsidRPr="009D1AD4">
        <w:rPr>
          <w:rFonts w:ascii="Arial" w:hAnsi="Arial" w:cs="Arial"/>
          <w:sz w:val="20"/>
          <w:szCs w:val="20"/>
        </w:rPr>
        <w:t xml:space="preserve">offer the qualified beneficiary (former spouse) the opportunity to elect COBRA continuation coverage </w:t>
      </w:r>
      <w:r w:rsidRPr="009D1AD4">
        <w:rPr>
          <w:rFonts w:ascii="Arial" w:hAnsi="Arial" w:cs="Arial"/>
          <w:sz w:val="20"/>
          <w:szCs w:val="20"/>
        </w:rPr>
        <w:lastRenderedPageBreak/>
        <w:t>because the employee did not</w:t>
      </w:r>
      <w:r w:rsidR="00055049">
        <w:rPr>
          <w:rFonts w:ascii="Arial" w:hAnsi="Arial" w:cs="Arial"/>
          <w:sz w:val="20"/>
          <w:szCs w:val="20"/>
        </w:rPr>
        <w:t xml:space="preserve"> </w:t>
      </w:r>
      <w:r w:rsidRPr="009D1AD4">
        <w:rPr>
          <w:rFonts w:ascii="Arial" w:hAnsi="Arial" w:cs="Arial"/>
          <w:sz w:val="20"/>
          <w:szCs w:val="20"/>
        </w:rPr>
        <w:t>provide</w:t>
      </w:r>
      <w:r w:rsidR="00055049">
        <w:rPr>
          <w:rFonts w:ascii="Arial" w:hAnsi="Arial" w:cs="Arial"/>
          <w:sz w:val="20"/>
          <w:szCs w:val="20"/>
        </w:rPr>
        <w:t xml:space="preserve"> </w:t>
      </w:r>
      <w:r w:rsidRPr="009D1AD4">
        <w:rPr>
          <w:rFonts w:ascii="Arial" w:hAnsi="Arial" w:cs="Arial"/>
          <w:sz w:val="20"/>
          <w:szCs w:val="20"/>
        </w:rPr>
        <w:t>notice</w:t>
      </w:r>
      <w:r w:rsidR="00055049">
        <w:rPr>
          <w:rFonts w:ascii="Arial" w:hAnsi="Arial" w:cs="Arial"/>
          <w:sz w:val="20"/>
          <w:szCs w:val="20"/>
        </w:rPr>
        <w:t xml:space="preserve"> </w:t>
      </w:r>
      <w:r w:rsidRPr="009D1AD4">
        <w:rPr>
          <w:rFonts w:ascii="Arial" w:hAnsi="Arial" w:cs="Arial"/>
          <w:sz w:val="20"/>
          <w:szCs w:val="20"/>
        </w:rPr>
        <w:t>by the deadline</w:t>
      </w:r>
      <w:r w:rsidR="00055049">
        <w:rPr>
          <w:rFonts w:ascii="Arial" w:hAnsi="Arial" w:cs="Arial"/>
          <w:sz w:val="20"/>
          <w:szCs w:val="20"/>
        </w:rPr>
        <w:t xml:space="preserve"> </w:t>
      </w:r>
      <w:r w:rsidRPr="009D1AD4">
        <w:rPr>
          <w:rFonts w:ascii="Arial" w:hAnsi="Arial" w:cs="Arial"/>
          <w:sz w:val="20"/>
          <w:szCs w:val="20"/>
        </w:rPr>
        <w:t>provided in the</w:t>
      </w:r>
      <w:r w:rsidR="00055049">
        <w:rPr>
          <w:rFonts w:ascii="Arial" w:hAnsi="Arial" w:cs="Arial"/>
          <w:sz w:val="20"/>
          <w:szCs w:val="20"/>
        </w:rPr>
        <w:t xml:space="preserve"> </w:t>
      </w:r>
      <w:r w:rsidRPr="009D1AD4">
        <w:rPr>
          <w:rFonts w:ascii="Arial" w:hAnsi="Arial" w:cs="Arial"/>
          <w:sz w:val="20"/>
          <w:szCs w:val="20"/>
        </w:rPr>
        <w:t>initial COBRA notice or plan’s SPD.</w:t>
      </w:r>
    </w:p>
    <w:p w14:paraId="72C4F61B" w14:textId="2B4C0880" w:rsidR="00354D6A" w:rsidRPr="009D1AD4" w:rsidRDefault="00354D6A" w:rsidP="004C6CEA">
      <w:pPr>
        <w:spacing w:after="200"/>
        <w:rPr>
          <w:rFonts w:ascii="Arial" w:hAnsi="Arial" w:cs="Arial"/>
          <w:sz w:val="20"/>
          <w:szCs w:val="20"/>
        </w:rPr>
      </w:pPr>
      <w:r w:rsidRPr="009D1AD4">
        <w:rPr>
          <w:rFonts w:ascii="Arial" w:hAnsi="Arial" w:cs="Arial"/>
          <w:sz w:val="20"/>
          <w:szCs w:val="20"/>
        </w:rPr>
        <w:t>If the plan sponsor receives a late qualifying event</w:t>
      </w:r>
      <w:r w:rsidR="00055049">
        <w:rPr>
          <w:rFonts w:ascii="Arial" w:hAnsi="Arial" w:cs="Arial"/>
          <w:sz w:val="20"/>
          <w:szCs w:val="20"/>
        </w:rPr>
        <w:t xml:space="preserve"> </w:t>
      </w:r>
      <w:r w:rsidRPr="009D1AD4">
        <w:rPr>
          <w:rFonts w:ascii="Arial" w:hAnsi="Arial" w:cs="Arial"/>
          <w:sz w:val="20"/>
          <w:szCs w:val="20"/>
        </w:rPr>
        <w:t>notice, then the plan sponsor must</w:t>
      </w:r>
      <w:r w:rsidR="00055049">
        <w:rPr>
          <w:rFonts w:ascii="Arial" w:hAnsi="Arial" w:cs="Arial"/>
          <w:sz w:val="20"/>
          <w:szCs w:val="20"/>
        </w:rPr>
        <w:t xml:space="preserve"> </w:t>
      </w:r>
      <w:r w:rsidRPr="009D1AD4">
        <w:rPr>
          <w:rFonts w:ascii="Arial" w:hAnsi="Arial" w:cs="Arial"/>
          <w:sz w:val="20"/>
          <w:szCs w:val="20"/>
        </w:rPr>
        <w:t>provide</w:t>
      </w:r>
      <w:r w:rsidR="00055049">
        <w:rPr>
          <w:rFonts w:ascii="Arial" w:hAnsi="Arial" w:cs="Arial"/>
          <w:sz w:val="20"/>
          <w:szCs w:val="20"/>
        </w:rPr>
        <w:t xml:space="preserve"> </w:t>
      </w:r>
      <w:r w:rsidRPr="009D1AD4">
        <w:rPr>
          <w:rFonts w:ascii="Arial" w:hAnsi="Arial" w:cs="Arial"/>
          <w:sz w:val="20"/>
          <w:szCs w:val="20"/>
        </w:rPr>
        <w:t>a</w:t>
      </w:r>
      <w:r w:rsidR="00055049">
        <w:rPr>
          <w:rFonts w:ascii="Arial" w:hAnsi="Arial" w:cs="Arial"/>
          <w:sz w:val="20"/>
          <w:szCs w:val="20"/>
        </w:rPr>
        <w:t xml:space="preserve"> </w:t>
      </w:r>
      <w:r w:rsidRPr="009D1AD4">
        <w:rPr>
          <w:rFonts w:ascii="Arial" w:hAnsi="Arial" w:cs="Arial"/>
          <w:sz w:val="20"/>
          <w:szCs w:val="20"/>
        </w:rPr>
        <w:t>notice</w:t>
      </w:r>
      <w:r w:rsidR="00055049">
        <w:rPr>
          <w:rFonts w:ascii="Arial" w:hAnsi="Arial" w:cs="Arial"/>
          <w:sz w:val="20"/>
          <w:szCs w:val="20"/>
        </w:rPr>
        <w:t xml:space="preserve"> </w:t>
      </w:r>
      <w:r w:rsidRPr="009D1AD4">
        <w:rPr>
          <w:rFonts w:ascii="Arial" w:hAnsi="Arial" w:cs="Arial"/>
          <w:sz w:val="20"/>
          <w:szCs w:val="20"/>
        </w:rPr>
        <w:t>of unavailability of</w:t>
      </w:r>
      <w:r w:rsidR="00055049">
        <w:rPr>
          <w:rFonts w:ascii="Arial" w:hAnsi="Arial" w:cs="Arial"/>
          <w:sz w:val="20"/>
          <w:szCs w:val="20"/>
        </w:rPr>
        <w:t xml:space="preserve"> </w:t>
      </w:r>
      <w:r w:rsidRPr="009D1AD4">
        <w:rPr>
          <w:rFonts w:ascii="Arial" w:hAnsi="Arial" w:cs="Arial"/>
          <w:sz w:val="20"/>
          <w:szCs w:val="20"/>
        </w:rPr>
        <w:t>COBRA</w:t>
      </w:r>
      <w:r w:rsidR="00055049">
        <w:rPr>
          <w:rFonts w:ascii="Arial" w:hAnsi="Arial" w:cs="Arial"/>
          <w:sz w:val="20"/>
          <w:szCs w:val="20"/>
        </w:rPr>
        <w:t xml:space="preserve"> </w:t>
      </w:r>
      <w:r w:rsidRPr="009D1AD4">
        <w:rPr>
          <w:rFonts w:ascii="Arial" w:hAnsi="Arial" w:cs="Arial"/>
          <w:sz w:val="20"/>
          <w:szCs w:val="20"/>
        </w:rPr>
        <w:t>coverage.</w:t>
      </w:r>
    </w:p>
    <w:p w14:paraId="043EF566" w14:textId="0784B48C" w:rsidR="00354D6A" w:rsidRPr="009D1AD4" w:rsidRDefault="00354D6A" w:rsidP="004C6CEA">
      <w:pPr>
        <w:spacing w:after="200"/>
        <w:rPr>
          <w:rFonts w:ascii="Arial" w:hAnsi="Arial" w:cs="Arial"/>
          <w:sz w:val="20"/>
          <w:szCs w:val="20"/>
        </w:rPr>
      </w:pPr>
      <w:r w:rsidRPr="009D1AD4">
        <w:rPr>
          <w:rFonts w:ascii="Arial" w:hAnsi="Arial" w:cs="Arial"/>
          <w:sz w:val="20"/>
          <w:szCs w:val="20"/>
        </w:rPr>
        <w:t>Also, the plan administrator/trustee may have a fiduciary duty</w:t>
      </w:r>
      <w:r w:rsidR="00055049">
        <w:rPr>
          <w:rFonts w:ascii="Arial" w:hAnsi="Arial" w:cs="Arial"/>
          <w:sz w:val="20"/>
          <w:szCs w:val="20"/>
        </w:rPr>
        <w:t xml:space="preserve"> </w:t>
      </w:r>
      <w:r w:rsidRPr="009D1AD4">
        <w:rPr>
          <w:rFonts w:ascii="Arial" w:hAnsi="Arial" w:cs="Arial"/>
          <w:sz w:val="20"/>
          <w:szCs w:val="20"/>
        </w:rPr>
        <w:t>to</w:t>
      </w:r>
      <w:r w:rsidR="00055049">
        <w:rPr>
          <w:rFonts w:ascii="Arial" w:hAnsi="Arial" w:cs="Arial"/>
          <w:sz w:val="20"/>
          <w:szCs w:val="20"/>
        </w:rPr>
        <w:t xml:space="preserve"> </w:t>
      </w:r>
      <w:r w:rsidRPr="009D1AD4">
        <w:rPr>
          <w:rFonts w:ascii="Arial" w:hAnsi="Arial" w:cs="Arial"/>
          <w:sz w:val="20"/>
          <w:szCs w:val="20"/>
        </w:rPr>
        <w:t>file a court action against the employee for failing</w:t>
      </w:r>
      <w:r w:rsidR="00055049">
        <w:rPr>
          <w:rFonts w:ascii="Arial" w:hAnsi="Arial" w:cs="Arial"/>
          <w:sz w:val="20"/>
          <w:szCs w:val="20"/>
        </w:rPr>
        <w:t xml:space="preserve"> </w:t>
      </w:r>
      <w:r w:rsidRPr="009D1AD4">
        <w:rPr>
          <w:rFonts w:ascii="Arial" w:hAnsi="Arial" w:cs="Arial"/>
          <w:sz w:val="20"/>
          <w:szCs w:val="20"/>
        </w:rPr>
        <w:t>to</w:t>
      </w:r>
      <w:r w:rsidR="00055049">
        <w:rPr>
          <w:rFonts w:ascii="Arial" w:hAnsi="Arial" w:cs="Arial"/>
          <w:sz w:val="20"/>
          <w:szCs w:val="20"/>
        </w:rPr>
        <w:t xml:space="preserve"> </w:t>
      </w:r>
      <w:r w:rsidRPr="009D1AD4">
        <w:rPr>
          <w:rFonts w:ascii="Arial" w:hAnsi="Arial" w:cs="Arial"/>
          <w:sz w:val="20"/>
          <w:szCs w:val="20"/>
        </w:rPr>
        <w:t>notify the plan of the divorce so that the plan can seek reimbursement for claims paid on behalf of the former</w:t>
      </w:r>
      <w:r w:rsidR="00055049">
        <w:rPr>
          <w:rFonts w:ascii="Arial" w:hAnsi="Arial" w:cs="Arial"/>
          <w:sz w:val="20"/>
          <w:szCs w:val="20"/>
        </w:rPr>
        <w:t xml:space="preserve"> </w:t>
      </w:r>
      <w:r w:rsidRPr="009D1AD4">
        <w:rPr>
          <w:rFonts w:ascii="Arial" w:hAnsi="Arial" w:cs="Arial"/>
          <w:sz w:val="20"/>
          <w:szCs w:val="20"/>
        </w:rPr>
        <w:t>spouse.</w:t>
      </w:r>
    </w:p>
    <w:p w14:paraId="361A468E" w14:textId="5DD1F3BD" w:rsidR="00354D6A" w:rsidRPr="009D1AD4" w:rsidRDefault="00354D6A" w:rsidP="004C6CEA">
      <w:pPr>
        <w:spacing w:after="200"/>
        <w:rPr>
          <w:rFonts w:ascii="Arial" w:hAnsi="Arial" w:cs="Arial"/>
          <w:sz w:val="20"/>
          <w:szCs w:val="20"/>
        </w:rPr>
      </w:pPr>
      <w:r w:rsidRPr="009D1AD4">
        <w:rPr>
          <w:rFonts w:ascii="Arial" w:hAnsi="Arial" w:cs="Arial"/>
          <w:sz w:val="20"/>
          <w:szCs w:val="20"/>
        </w:rPr>
        <w:t>If a former</w:t>
      </w:r>
      <w:r w:rsidR="00055049">
        <w:rPr>
          <w:rFonts w:ascii="Arial" w:hAnsi="Arial" w:cs="Arial"/>
          <w:sz w:val="20"/>
          <w:szCs w:val="20"/>
        </w:rPr>
        <w:t xml:space="preserve"> </w:t>
      </w:r>
      <w:r w:rsidRPr="009D1AD4">
        <w:rPr>
          <w:rFonts w:ascii="Arial" w:hAnsi="Arial" w:cs="Arial"/>
          <w:sz w:val="20"/>
          <w:szCs w:val="20"/>
        </w:rPr>
        <w:t>spouse</w:t>
      </w:r>
      <w:r w:rsidR="00055049">
        <w:rPr>
          <w:rFonts w:ascii="Arial" w:hAnsi="Arial" w:cs="Arial"/>
          <w:sz w:val="20"/>
          <w:szCs w:val="20"/>
        </w:rPr>
        <w:t xml:space="preserve"> </w:t>
      </w:r>
      <w:r w:rsidRPr="009D1AD4">
        <w:rPr>
          <w:rFonts w:ascii="Arial" w:hAnsi="Arial" w:cs="Arial"/>
          <w:sz w:val="20"/>
          <w:szCs w:val="20"/>
        </w:rPr>
        <w:t>remains on the group health plan due</w:t>
      </w:r>
      <w:r w:rsidR="00055049">
        <w:rPr>
          <w:rFonts w:ascii="Arial" w:hAnsi="Arial" w:cs="Arial"/>
          <w:sz w:val="20"/>
          <w:szCs w:val="20"/>
        </w:rPr>
        <w:t xml:space="preserve"> </w:t>
      </w:r>
      <w:r w:rsidRPr="009D1AD4">
        <w:rPr>
          <w:rFonts w:ascii="Arial" w:hAnsi="Arial" w:cs="Arial"/>
          <w:sz w:val="20"/>
          <w:szCs w:val="20"/>
        </w:rPr>
        <w:t>to</w:t>
      </w:r>
      <w:r w:rsidR="00055049">
        <w:rPr>
          <w:rFonts w:ascii="Arial" w:hAnsi="Arial" w:cs="Arial"/>
          <w:sz w:val="20"/>
          <w:szCs w:val="20"/>
        </w:rPr>
        <w:t xml:space="preserve"> </w:t>
      </w:r>
      <w:r w:rsidRPr="009D1AD4">
        <w:rPr>
          <w:rFonts w:ascii="Arial" w:hAnsi="Arial" w:cs="Arial"/>
          <w:sz w:val="20"/>
          <w:szCs w:val="20"/>
        </w:rPr>
        <w:t>lack of</w:t>
      </w:r>
      <w:r w:rsidR="00055049">
        <w:rPr>
          <w:rFonts w:ascii="Arial" w:hAnsi="Arial" w:cs="Arial"/>
          <w:sz w:val="20"/>
          <w:szCs w:val="20"/>
        </w:rPr>
        <w:t xml:space="preserve"> </w:t>
      </w:r>
      <w:r w:rsidRPr="009D1AD4">
        <w:rPr>
          <w:rFonts w:ascii="Arial" w:hAnsi="Arial" w:cs="Arial"/>
          <w:sz w:val="20"/>
          <w:szCs w:val="20"/>
        </w:rPr>
        <w:t>notice, there could be coverage issues with the insurer (or stop-loss carrier, if it’s a self-insured plan with stop-loss coverage) over claims paid for an ineligible individual.</w:t>
      </w:r>
    </w:p>
    <w:p w14:paraId="1FF1EEB5" w14:textId="1C9BD9FD" w:rsidR="00354D6A" w:rsidRPr="009D1AD4" w:rsidRDefault="00354D6A" w:rsidP="004C6CEA">
      <w:pPr>
        <w:spacing w:after="200"/>
        <w:rPr>
          <w:rFonts w:ascii="Arial" w:hAnsi="Arial" w:cs="Arial"/>
          <w:sz w:val="20"/>
          <w:szCs w:val="20"/>
        </w:rPr>
      </w:pPr>
      <w:r w:rsidRPr="009D1AD4">
        <w:rPr>
          <w:rFonts w:ascii="Arial" w:hAnsi="Arial" w:cs="Arial"/>
          <w:sz w:val="20"/>
          <w:szCs w:val="20"/>
        </w:rPr>
        <w:t>Also, there may be a retroactive cancellation prohibition issue, depending on when the plan sponsor decides</w:t>
      </w:r>
      <w:r w:rsidR="00055049">
        <w:rPr>
          <w:rFonts w:ascii="Arial" w:hAnsi="Arial" w:cs="Arial"/>
          <w:sz w:val="20"/>
          <w:szCs w:val="20"/>
        </w:rPr>
        <w:t xml:space="preserve"> </w:t>
      </w:r>
      <w:r w:rsidRPr="009D1AD4">
        <w:rPr>
          <w:rFonts w:ascii="Arial" w:hAnsi="Arial" w:cs="Arial"/>
          <w:sz w:val="20"/>
          <w:szCs w:val="20"/>
        </w:rPr>
        <w:t>to</w:t>
      </w:r>
      <w:r w:rsidR="00055049">
        <w:rPr>
          <w:rFonts w:ascii="Arial" w:hAnsi="Arial" w:cs="Arial"/>
          <w:sz w:val="20"/>
          <w:szCs w:val="20"/>
        </w:rPr>
        <w:t xml:space="preserve"> </w:t>
      </w:r>
      <w:r w:rsidRPr="009D1AD4">
        <w:rPr>
          <w:rFonts w:ascii="Arial" w:hAnsi="Arial" w:cs="Arial"/>
          <w:sz w:val="20"/>
          <w:szCs w:val="20"/>
        </w:rPr>
        <w:t>cancel coverage. The plan sponsor should consult with its attorney on how</w:t>
      </w:r>
      <w:r w:rsidR="00055049">
        <w:rPr>
          <w:rFonts w:ascii="Arial" w:hAnsi="Arial" w:cs="Arial"/>
          <w:sz w:val="20"/>
          <w:szCs w:val="20"/>
        </w:rPr>
        <w:t xml:space="preserve"> </w:t>
      </w:r>
      <w:r w:rsidRPr="009D1AD4">
        <w:rPr>
          <w:rFonts w:ascii="Arial" w:hAnsi="Arial" w:cs="Arial"/>
          <w:sz w:val="20"/>
          <w:szCs w:val="20"/>
        </w:rPr>
        <w:t>to</w:t>
      </w:r>
      <w:r w:rsidR="00055049">
        <w:rPr>
          <w:rFonts w:ascii="Arial" w:hAnsi="Arial" w:cs="Arial"/>
          <w:sz w:val="20"/>
          <w:szCs w:val="20"/>
        </w:rPr>
        <w:t xml:space="preserve"> </w:t>
      </w:r>
      <w:r w:rsidRPr="009D1AD4">
        <w:rPr>
          <w:rFonts w:ascii="Arial" w:hAnsi="Arial" w:cs="Arial"/>
          <w:sz w:val="20"/>
          <w:szCs w:val="20"/>
        </w:rPr>
        <w:t>proceed with cancellation and the cancellation effective date.</w:t>
      </w:r>
    </w:p>
    <w:p w14:paraId="0E5DD11E" w14:textId="24A298CE" w:rsidR="00354D6A" w:rsidRDefault="00354D6A" w:rsidP="004C6CEA">
      <w:pPr>
        <w:spacing w:after="200"/>
        <w:rPr>
          <w:rFonts w:ascii="Arial" w:hAnsi="Arial" w:cs="Arial"/>
          <w:sz w:val="20"/>
          <w:szCs w:val="20"/>
        </w:rPr>
      </w:pPr>
    </w:p>
    <w:p w14:paraId="49DAB0E5" w14:textId="6FFF87DD" w:rsidR="006E7881" w:rsidRDefault="006E7881" w:rsidP="004C6CEA">
      <w:pPr>
        <w:spacing w:after="200"/>
        <w:rPr>
          <w:rFonts w:ascii="Arial" w:hAnsi="Arial" w:cs="Arial"/>
          <w:sz w:val="20"/>
          <w:szCs w:val="20"/>
        </w:rPr>
      </w:pPr>
      <w:r w:rsidRPr="00C5063D">
        <w:rPr>
          <w:rFonts w:ascii="Arial" w:hAnsi="Arial" w:cs="Arial"/>
          <w:b/>
          <w:bCs/>
          <w:color w:val="001BBA"/>
          <w:sz w:val="22"/>
          <w:szCs w:val="22"/>
        </w:rPr>
        <w:t>Question:</w:t>
      </w:r>
      <w:r w:rsidR="00055049">
        <w:rPr>
          <w:rFonts w:ascii="Arial" w:hAnsi="Arial" w:cs="Arial"/>
          <w:sz w:val="20"/>
          <w:szCs w:val="20"/>
        </w:rPr>
        <w:t xml:space="preserve"> </w:t>
      </w:r>
      <w:r w:rsidRPr="009D1AD4">
        <w:rPr>
          <w:rFonts w:ascii="Arial" w:hAnsi="Arial" w:cs="Arial"/>
          <w:sz w:val="20"/>
          <w:szCs w:val="20"/>
        </w:rPr>
        <w:t>In an acquisition or merger, does the buyer or seller have an obligation to offer COBRA continuation coverage?</w:t>
      </w:r>
    </w:p>
    <w:p w14:paraId="3E6FF9F9" w14:textId="1E8D0108" w:rsidR="006E7881" w:rsidRDefault="006E7881" w:rsidP="004C6CEA">
      <w:pPr>
        <w:spacing w:after="200"/>
        <w:rPr>
          <w:rFonts w:ascii="Arial" w:hAnsi="Arial" w:cs="Arial"/>
          <w:sz w:val="20"/>
          <w:szCs w:val="20"/>
        </w:rPr>
      </w:pPr>
      <w:r w:rsidRPr="009D1AD4">
        <w:rPr>
          <w:rFonts w:ascii="Arial" w:hAnsi="Arial" w:cs="Arial"/>
          <w:b/>
          <w:bCs/>
          <w:sz w:val="20"/>
          <w:szCs w:val="20"/>
        </w:rPr>
        <w:t>Answer:</w:t>
      </w:r>
      <w:r w:rsidR="00055049">
        <w:rPr>
          <w:rFonts w:ascii="Arial" w:hAnsi="Arial" w:cs="Arial"/>
          <w:b/>
          <w:bCs/>
          <w:sz w:val="20"/>
          <w:szCs w:val="20"/>
        </w:rPr>
        <w:t xml:space="preserve"> </w:t>
      </w:r>
      <w:r w:rsidRPr="009D1AD4">
        <w:rPr>
          <w:rFonts w:ascii="Arial" w:hAnsi="Arial" w:cs="Arial"/>
          <w:sz w:val="20"/>
          <w:szCs w:val="20"/>
        </w:rPr>
        <w:t>If the seller and buyer negotiated their COBRA liability by contract as part of the sale, then the contract will determine who has an obligation to offer COBRA coverage.</w:t>
      </w:r>
    </w:p>
    <w:p w14:paraId="64AF0AE7" w14:textId="54A4F970" w:rsidR="006E7881" w:rsidRDefault="006E7881" w:rsidP="004C6CEA">
      <w:pPr>
        <w:spacing w:after="200"/>
        <w:rPr>
          <w:rFonts w:ascii="Arial" w:hAnsi="Arial" w:cs="Arial"/>
          <w:sz w:val="20"/>
          <w:szCs w:val="20"/>
        </w:rPr>
      </w:pPr>
      <w:r w:rsidRPr="009D1AD4">
        <w:rPr>
          <w:rFonts w:ascii="Arial" w:hAnsi="Arial" w:cs="Arial"/>
          <w:sz w:val="20"/>
          <w:szCs w:val="20"/>
        </w:rPr>
        <w:t>If the contract is silent on COBRA coverage obligations, then the</w:t>
      </w:r>
      <w:r w:rsidR="00055049">
        <w:rPr>
          <w:rFonts w:ascii="Arial" w:hAnsi="Arial" w:cs="Arial"/>
          <w:sz w:val="20"/>
          <w:szCs w:val="20"/>
        </w:rPr>
        <w:t xml:space="preserve"> </w:t>
      </w:r>
      <w:r w:rsidRPr="009D1AD4">
        <w:rPr>
          <w:rFonts w:ascii="Arial" w:hAnsi="Arial" w:cs="Arial"/>
          <w:sz w:val="20"/>
          <w:szCs w:val="20"/>
        </w:rPr>
        <w:t>seller's group health plan has the duty to offer COBRA coverage as long as the seller maintains a group health plan post-sale.</w:t>
      </w:r>
    </w:p>
    <w:p w14:paraId="47839AE3" w14:textId="77777777" w:rsidR="006E7881" w:rsidRDefault="006E7881" w:rsidP="004C6CEA">
      <w:pPr>
        <w:spacing w:after="200"/>
        <w:rPr>
          <w:rFonts w:ascii="Arial" w:hAnsi="Arial" w:cs="Arial"/>
          <w:sz w:val="20"/>
          <w:szCs w:val="20"/>
        </w:rPr>
      </w:pPr>
      <w:r w:rsidRPr="009D1AD4">
        <w:rPr>
          <w:rFonts w:ascii="Arial" w:hAnsi="Arial" w:cs="Arial"/>
          <w:sz w:val="20"/>
          <w:szCs w:val="20"/>
        </w:rPr>
        <w:t>If the seller doesn't maintain a group health plan post-sale, then the answer depends on whether it's a stock sale or an asset sale.</w:t>
      </w:r>
    </w:p>
    <w:p w14:paraId="243E9BD7" w14:textId="77777777" w:rsidR="006E7881" w:rsidRDefault="006E7881" w:rsidP="004C6CEA">
      <w:pPr>
        <w:spacing w:after="200"/>
        <w:rPr>
          <w:rFonts w:ascii="Arial" w:hAnsi="Arial" w:cs="Arial"/>
          <w:sz w:val="20"/>
          <w:szCs w:val="20"/>
        </w:rPr>
      </w:pPr>
      <w:r w:rsidRPr="009D1AD4">
        <w:rPr>
          <w:rFonts w:ascii="Arial" w:hAnsi="Arial" w:cs="Arial"/>
          <w:sz w:val="20"/>
          <w:szCs w:val="20"/>
        </w:rPr>
        <w:t>In a stock sale, if the seller doesn't maintain a group health plan post-sale, then the buyer is responsible for offering COBRA coverage.</w:t>
      </w:r>
    </w:p>
    <w:p w14:paraId="78CD6DB6" w14:textId="77777777" w:rsidR="006E7881" w:rsidRPr="009D1AD4" w:rsidRDefault="006E7881" w:rsidP="004C6CEA">
      <w:pPr>
        <w:spacing w:after="200"/>
        <w:rPr>
          <w:rFonts w:ascii="Arial" w:hAnsi="Arial" w:cs="Arial"/>
          <w:sz w:val="20"/>
          <w:szCs w:val="20"/>
        </w:rPr>
      </w:pPr>
      <w:r w:rsidRPr="009D1AD4">
        <w:rPr>
          <w:rFonts w:ascii="Arial" w:hAnsi="Arial" w:cs="Arial"/>
          <w:sz w:val="20"/>
          <w:szCs w:val="20"/>
        </w:rPr>
        <w:t>In an asset sale, if the seller doesn't maintain a group health plan post-sale and the group health plan's termination is connected with the asset sale, then the buyer is responsible for offering COBRA coverage if the buyer continues business operations associated with the assets purchased without interruption or substantial change.</w:t>
      </w:r>
    </w:p>
    <w:p w14:paraId="0CCCEE6E" w14:textId="77777777" w:rsidR="006E7881" w:rsidRDefault="006E7881" w:rsidP="004C6CEA">
      <w:pPr>
        <w:spacing w:after="200"/>
        <w:rPr>
          <w:rFonts w:ascii="Arial" w:hAnsi="Arial" w:cs="Arial"/>
          <w:sz w:val="20"/>
          <w:szCs w:val="20"/>
        </w:rPr>
      </w:pPr>
    </w:p>
    <w:tbl>
      <w:tblPr>
        <w:tblW w:w="9360" w:type="dxa"/>
        <w:shd w:val="clear" w:color="auto" w:fill="001BBA"/>
        <w:tblCellMar>
          <w:top w:w="86" w:type="dxa"/>
          <w:left w:w="115" w:type="dxa"/>
          <w:bottom w:w="86" w:type="dxa"/>
          <w:right w:w="115" w:type="dxa"/>
        </w:tblCellMar>
        <w:tblLook w:val="01E0" w:firstRow="1" w:lastRow="1" w:firstColumn="1" w:lastColumn="1" w:noHBand="0" w:noVBand="0"/>
      </w:tblPr>
      <w:tblGrid>
        <w:gridCol w:w="9360"/>
      </w:tblGrid>
      <w:tr w:rsidR="00FE74CA" w:rsidRPr="00C04F07" w14:paraId="62478045" w14:textId="77777777" w:rsidTr="00A14E50">
        <w:trPr>
          <w:trHeight w:val="144"/>
        </w:trPr>
        <w:tc>
          <w:tcPr>
            <w:tcW w:w="9360" w:type="dxa"/>
            <w:shd w:val="clear" w:color="auto" w:fill="001BBA"/>
            <w:vAlign w:val="center"/>
          </w:tcPr>
          <w:p w14:paraId="6CF085BC" w14:textId="5EDEAFDD" w:rsidR="00FE74CA" w:rsidRPr="00C04F07" w:rsidRDefault="00FE74CA" w:rsidP="00A14E50">
            <w:pPr>
              <w:pStyle w:val="Heading2"/>
              <w:rPr>
                <w:i w:val="0"/>
                <w:iCs/>
                <w:color w:val="auto"/>
              </w:rPr>
            </w:pPr>
            <w:bookmarkStart w:id="9" w:name="_Toc12890037"/>
            <w:bookmarkStart w:id="10" w:name="_Toc12890153"/>
            <w:bookmarkStart w:id="11" w:name="_Toc12890534"/>
            <w:r>
              <w:rPr>
                <w:i w:val="0"/>
                <w:iCs/>
                <w:color w:val="auto"/>
                <w:szCs w:val="22"/>
              </w:rPr>
              <w:t>ERISA</w:t>
            </w:r>
            <w:bookmarkEnd w:id="9"/>
            <w:bookmarkEnd w:id="10"/>
            <w:bookmarkEnd w:id="11"/>
          </w:p>
        </w:tc>
      </w:tr>
    </w:tbl>
    <w:p w14:paraId="7C7E88EB" w14:textId="77777777" w:rsidR="009F5C2B" w:rsidRPr="00535CAE" w:rsidRDefault="009F5C2B" w:rsidP="001204C3">
      <w:pPr>
        <w:rPr>
          <w:rFonts w:ascii="Arial" w:hAnsi="Arial" w:cs="Arial"/>
          <w:sz w:val="20"/>
          <w:szCs w:val="20"/>
        </w:rPr>
      </w:pPr>
    </w:p>
    <w:p w14:paraId="6DCDE14F" w14:textId="77777777" w:rsidR="004C6CEA" w:rsidRPr="009D1AD4" w:rsidRDefault="004C6CEA" w:rsidP="004C6CEA">
      <w:pPr>
        <w:spacing w:after="200"/>
        <w:rPr>
          <w:rFonts w:ascii="Arial" w:hAnsi="Arial" w:cs="Arial"/>
          <w:sz w:val="20"/>
          <w:szCs w:val="20"/>
        </w:rPr>
      </w:pPr>
      <w:r w:rsidRPr="00C5063D">
        <w:rPr>
          <w:rFonts w:ascii="Arial" w:hAnsi="Arial" w:cs="Arial"/>
          <w:b/>
          <w:bCs/>
          <w:color w:val="001BBA"/>
          <w:sz w:val="22"/>
          <w:szCs w:val="22"/>
        </w:rPr>
        <w:t>Question:</w:t>
      </w:r>
      <w:r w:rsidRPr="009D1AD4">
        <w:rPr>
          <w:rFonts w:ascii="Arial" w:hAnsi="Arial" w:cs="Arial"/>
          <w:b/>
          <w:sz w:val="20"/>
          <w:szCs w:val="20"/>
        </w:rPr>
        <w:t xml:space="preserve"> </w:t>
      </w:r>
      <w:r w:rsidRPr="009D1AD4">
        <w:rPr>
          <w:rFonts w:ascii="Arial" w:hAnsi="Arial" w:cs="Arial"/>
          <w:sz w:val="20"/>
          <w:szCs w:val="20"/>
        </w:rPr>
        <w:t>When the plan changes, when should I give notice to participants?</w:t>
      </w:r>
    </w:p>
    <w:p w14:paraId="356031D3" w14:textId="77777777" w:rsidR="004C6CEA" w:rsidRPr="009D1AD4" w:rsidRDefault="004C6CEA" w:rsidP="004C6CEA">
      <w:pPr>
        <w:spacing w:after="200"/>
        <w:rPr>
          <w:rFonts w:ascii="Arial" w:hAnsi="Arial" w:cs="Arial"/>
          <w:sz w:val="20"/>
          <w:szCs w:val="20"/>
        </w:rPr>
      </w:pPr>
      <w:r w:rsidRPr="009D1AD4">
        <w:rPr>
          <w:rFonts w:ascii="Arial" w:hAnsi="Arial" w:cs="Arial"/>
          <w:b/>
          <w:sz w:val="20"/>
          <w:szCs w:val="20"/>
        </w:rPr>
        <w:t>Answer:</w:t>
      </w:r>
      <w:r w:rsidRPr="009D1AD4">
        <w:rPr>
          <w:rFonts w:ascii="Arial" w:hAnsi="Arial" w:cs="Arial"/>
          <w:sz w:val="20"/>
          <w:szCs w:val="20"/>
        </w:rPr>
        <w:t xml:space="preserve"> Depending on the change that is made, an employer must provide notice within one of three time frames:</w:t>
      </w:r>
    </w:p>
    <w:p w14:paraId="0E3B366D" w14:textId="77777777" w:rsidR="004C6CEA" w:rsidRPr="009D1AD4" w:rsidRDefault="004C6CEA" w:rsidP="00055049">
      <w:pPr>
        <w:numPr>
          <w:ilvl w:val="0"/>
          <w:numId w:val="9"/>
        </w:numPr>
        <w:spacing w:after="200"/>
        <w:contextualSpacing/>
        <w:rPr>
          <w:rFonts w:ascii="Arial" w:hAnsi="Arial" w:cs="Arial"/>
          <w:sz w:val="20"/>
          <w:szCs w:val="20"/>
        </w:rPr>
      </w:pPr>
      <w:r w:rsidRPr="009D1AD4">
        <w:rPr>
          <w:rFonts w:ascii="Arial" w:hAnsi="Arial" w:cs="Arial"/>
          <w:sz w:val="20"/>
          <w:szCs w:val="20"/>
        </w:rPr>
        <w:t>60 days prior to the change</w:t>
      </w:r>
    </w:p>
    <w:p w14:paraId="10A3A401" w14:textId="77777777" w:rsidR="004C6CEA" w:rsidRPr="009D1AD4" w:rsidRDefault="004C6CEA" w:rsidP="00055049">
      <w:pPr>
        <w:numPr>
          <w:ilvl w:val="0"/>
          <w:numId w:val="9"/>
        </w:numPr>
        <w:spacing w:after="200"/>
        <w:contextualSpacing/>
        <w:rPr>
          <w:rFonts w:ascii="Arial" w:hAnsi="Arial" w:cs="Arial"/>
          <w:sz w:val="20"/>
          <w:szCs w:val="20"/>
        </w:rPr>
      </w:pPr>
      <w:r w:rsidRPr="009D1AD4">
        <w:rPr>
          <w:rFonts w:ascii="Arial" w:hAnsi="Arial" w:cs="Arial"/>
          <w:sz w:val="20"/>
          <w:szCs w:val="20"/>
        </w:rPr>
        <w:t>No later than 60 days after the change (or, within 60 days of the change)</w:t>
      </w:r>
    </w:p>
    <w:p w14:paraId="70D77AE0" w14:textId="77777777" w:rsidR="004C6CEA" w:rsidRPr="009D1AD4" w:rsidRDefault="004C6CEA" w:rsidP="004C6CEA">
      <w:pPr>
        <w:numPr>
          <w:ilvl w:val="0"/>
          <w:numId w:val="9"/>
        </w:numPr>
        <w:spacing w:after="200"/>
        <w:rPr>
          <w:rFonts w:ascii="Arial" w:hAnsi="Arial" w:cs="Arial"/>
          <w:sz w:val="20"/>
          <w:szCs w:val="20"/>
        </w:rPr>
      </w:pPr>
      <w:r w:rsidRPr="009D1AD4">
        <w:rPr>
          <w:rFonts w:ascii="Arial" w:hAnsi="Arial" w:cs="Arial"/>
          <w:sz w:val="20"/>
          <w:szCs w:val="20"/>
        </w:rPr>
        <w:t>Within 210 days after the end of the plan year</w:t>
      </w:r>
    </w:p>
    <w:p w14:paraId="15567EA9" w14:textId="5B763B3F" w:rsidR="004C6CEA" w:rsidRPr="009D1AD4" w:rsidRDefault="004C6CEA" w:rsidP="004C6CEA">
      <w:pPr>
        <w:spacing w:after="200"/>
        <w:rPr>
          <w:rFonts w:ascii="Arial" w:hAnsi="Arial" w:cs="Arial"/>
          <w:sz w:val="20"/>
          <w:szCs w:val="20"/>
        </w:rPr>
      </w:pPr>
      <w:r w:rsidRPr="009D1AD4">
        <w:rPr>
          <w:rFonts w:ascii="Arial" w:hAnsi="Arial" w:cs="Arial"/>
          <w:sz w:val="20"/>
          <w:szCs w:val="20"/>
        </w:rPr>
        <w:t xml:space="preserve">For changes to the </w:t>
      </w:r>
      <w:r w:rsidR="00E53BA4">
        <w:rPr>
          <w:rFonts w:ascii="Arial" w:hAnsi="Arial" w:cs="Arial"/>
          <w:sz w:val="20"/>
          <w:szCs w:val="20"/>
        </w:rPr>
        <w:t>S</w:t>
      </w:r>
      <w:r w:rsidRPr="009D1AD4">
        <w:rPr>
          <w:rFonts w:ascii="Arial" w:hAnsi="Arial" w:cs="Arial"/>
          <w:sz w:val="20"/>
          <w:szCs w:val="20"/>
        </w:rPr>
        <w:t xml:space="preserve">ummary </w:t>
      </w:r>
      <w:r w:rsidR="00E53BA4">
        <w:rPr>
          <w:rFonts w:ascii="Arial" w:hAnsi="Arial" w:cs="Arial"/>
          <w:sz w:val="20"/>
          <w:szCs w:val="20"/>
        </w:rPr>
        <w:t>P</w:t>
      </w:r>
      <w:r w:rsidRPr="009D1AD4">
        <w:rPr>
          <w:rFonts w:ascii="Arial" w:hAnsi="Arial" w:cs="Arial"/>
          <w:sz w:val="20"/>
          <w:szCs w:val="20"/>
        </w:rPr>
        <w:t xml:space="preserve">lan </w:t>
      </w:r>
      <w:r w:rsidR="00E53BA4">
        <w:rPr>
          <w:rFonts w:ascii="Arial" w:hAnsi="Arial" w:cs="Arial"/>
          <w:sz w:val="20"/>
          <w:szCs w:val="20"/>
        </w:rPr>
        <w:t>D</w:t>
      </w:r>
      <w:r w:rsidRPr="009D1AD4">
        <w:rPr>
          <w:rFonts w:ascii="Arial" w:hAnsi="Arial" w:cs="Arial"/>
          <w:sz w:val="20"/>
          <w:szCs w:val="20"/>
        </w:rPr>
        <w:t>escription (SPD) that are a material reduction in covered services or benefits, notice is</w:t>
      </w:r>
      <w:r w:rsidR="00055049">
        <w:rPr>
          <w:rFonts w:ascii="Arial" w:hAnsi="Arial" w:cs="Arial"/>
          <w:sz w:val="20"/>
          <w:szCs w:val="20"/>
        </w:rPr>
        <w:t xml:space="preserve"> </w:t>
      </w:r>
      <w:r w:rsidRPr="009D1AD4">
        <w:rPr>
          <w:rFonts w:ascii="Arial" w:hAnsi="Arial" w:cs="Arial"/>
          <w:sz w:val="20"/>
          <w:szCs w:val="20"/>
        </w:rPr>
        <w:t>required</w:t>
      </w:r>
      <w:r w:rsidR="00055049">
        <w:rPr>
          <w:rFonts w:ascii="Arial" w:hAnsi="Arial" w:cs="Arial"/>
          <w:sz w:val="20"/>
          <w:szCs w:val="20"/>
        </w:rPr>
        <w:t xml:space="preserve"> </w:t>
      </w:r>
      <w:r w:rsidRPr="009D1AD4">
        <w:rPr>
          <w:rFonts w:ascii="Arial" w:hAnsi="Arial" w:cs="Arial"/>
          <w:sz w:val="20"/>
          <w:szCs w:val="20"/>
        </w:rPr>
        <w:t xml:space="preserve">within 60 days of adoption of the material reduction in group health plan services or benefits. For example, a decrease in employer contribution would be a material reduction in covered services or benefits so notice should be provided within 60 days of the change in employer </w:t>
      </w:r>
      <w:r w:rsidRPr="009D1AD4">
        <w:rPr>
          <w:rFonts w:ascii="Arial" w:hAnsi="Arial" w:cs="Arial"/>
          <w:sz w:val="20"/>
          <w:szCs w:val="20"/>
        </w:rPr>
        <w:lastRenderedPageBreak/>
        <w:t>contribution. As a best practice, an employer should give advance notice of the change. For practical purposes, employees</w:t>
      </w:r>
      <w:r w:rsidR="00055049">
        <w:rPr>
          <w:rFonts w:ascii="Arial" w:hAnsi="Arial" w:cs="Arial"/>
          <w:sz w:val="20"/>
          <w:szCs w:val="20"/>
        </w:rPr>
        <w:t xml:space="preserve"> </w:t>
      </w:r>
      <w:r w:rsidRPr="009D1AD4">
        <w:rPr>
          <w:rFonts w:ascii="Arial" w:hAnsi="Arial" w:cs="Arial"/>
          <w:sz w:val="20"/>
          <w:szCs w:val="20"/>
        </w:rPr>
        <w:t>should</w:t>
      </w:r>
      <w:r w:rsidR="00055049">
        <w:rPr>
          <w:rFonts w:ascii="Arial" w:hAnsi="Arial" w:cs="Arial"/>
          <w:sz w:val="20"/>
          <w:szCs w:val="20"/>
        </w:rPr>
        <w:t xml:space="preserve"> </w:t>
      </w:r>
      <w:r w:rsidRPr="009D1AD4">
        <w:rPr>
          <w:rFonts w:ascii="Arial" w:hAnsi="Arial" w:cs="Arial"/>
          <w:sz w:val="20"/>
          <w:szCs w:val="20"/>
        </w:rPr>
        <w:t>be told prior to the first increased withholding.</w:t>
      </w:r>
    </w:p>
    <w:p w14:paraId="3D18DE6E" w14:textId="77777777" w:rsidR="004C6CEA" w:rsidRPr="00055049" w:rsidRDefault="004C6CEA" w:rsidP="004C6CEA">
      <w:pPr>
        <w:spacing w:after="200"/>
        <w:rPr>
          <w:rFonts w:ascii="Arial" w:hAnsi="Arial" w:cs="Arial"/>
          <w:spacing w:val="-2"/>
          <w:sz w:val="20"/>
          <w:szCs w:val="20"/>
        </w:rPr>
      </w:pPr>
      <w:r w:rsidRPr="00055049">
        <w:rPr>
          <w:rFonts w:ascii="Arial" w:hAnsi="Arial" w:cs="Arial"/>
          <w:spacing w:val="-2"/>
          <w:sz w:val="20"/>
          <w:szCs w:val="20"/>
        </w:rPr>
        <w:t>If a plan makes a material modification in any of the plan terms that would affect the content of the Summary of Benefits and Coverage (SBC) (that is not reflected in the most recently provided SBC), then notice must be provided no later than 60 days prior to the date when the modification will become effective.</w:t>
      </w:r>
    </w:p>
    <w:p w14:paraId="46E90D1E" w14:textId="77777777" w:rsidR="004C6CEA" w:rsidRPr="009D1AD4" w:rsidRDefault="004C6CEA" w:rsidP="004C6CEA">
      <w:pPr>
        <w:spacing w:after="200"/>
        <w:rPr>
          <w:rFonts w:ascii="Arial" w:hAnsi="Arial" w:cs="Arial"/>
          <w:sz w:val="20"/>
          <w:szCs w:val="20"/>
        </w:rPr>
      </w:pPr>
      <w:r w:rsidRPr="009D1AD4">
        <w:rPr>
          <w:rFonts w:ascii="Arial" w:hAnsi="Arial" w:cs="Arial"/>
          <w:sz w:val="20"/>
          <w:szCs w:val="20"/>
        </w:rPr>
        <w:t>However, if the change is part of open enrollment, assuming you communicate the change during open enrollment, the open enrollment communication is considered acceptable notice, regardless of whether the SBC or the SPD, or both, are changing. Open enrollment is essentially a safe harbor for the 60-day prior/60-day post notice requirements.</w:t>
      </w:r>
    </w:p>
    <w:p w14:paraId="721A5154" w14:textId="77777777" w:rsidR="004C6CEA" w:rsidRPr="009D1AD4" w:rsidRDefault="004C6CEA" w:rsidP="004C6CEA">
      <w:pPr>
        <w:spacing w:after="200"/>
        <w:rPr>
          <w:rFonts w:ascii="Arial" w:hAnsi="Arial" w:cs="Arial"/>
          <w:sz w:val="20"/>
          <w:szCs w:val="20"/>
        </w:rPr>
      </w:pPr>
      <w:r w:rsidRPr="009D1AD4">
        <w:rPr>
          <w:rFonts w:ascii="Arial" w:hAnsi="Arial" w:cs="Arial"/>
          <w:sz w:val="20"/>
          <w:szCs w:val="20"/>
        </w:rPr>
        <w:t>Finally, changes that do not require more immediate notifications, because they do not affect the SBC and are not a material reduction in benefits, must be communicated through a summary of material modifications or an updated summary plan description within 210 days after the end of the plan year.</w:t>
      </w:r>
    </w:p>
    <w:p w14:paraId="3410EA23" w14:textId="77777777" w:rsidR="004C6CEA" w:rsidRDefault="004C6CEA" w:rsidP="004C6CEA">
      <w:pPr>
        <w:spacing w:after="200"/>
        <w:rPr>
          <w:rFonts w:ascii="Arial" w:hAnsi="Arial" w:cs="Arial"/>
          <w:sz w:val="20"/>
          <w:szCs w:val="20"/>
        </w:rPr>
      </w:pPr>
    </w:p>
    <w:p w14:paraId="48D41160" w14:textId="2C13773C" w:rsidR="00A703EE" w:rsidRPr="009D1AD4" w:rsidRDefault="00A703EE" w:rsidP="004C6CEA">
      <w:pPr>
        <w:spacing w:after="200"/>
        <w:rPr>
          <w:rFonts w:ascii="Arial" w:hAnsi="Arial" w:cs="Arial"/>
          <w:color w:val="000000"/>
          <w:sz w:val="20"/>
          <w:szCs w:val="20"/>
        </w:rPr>
      </w:pPr>
      <w:r w:rsidRPr="00C5063D">
        <w:rPr>
          <w:rFonts w:ascii="Arial" w:hAnsi="Arial" w:cs="Arial"/>
          <w:b/>
          <w:bCs/>
          <w:color w:val="001BBA"/>
          <w:sz w:val="22"/>
          <w:szCs w:val="22"/>
        </w:rPr>
        <w:t>Question:</w:t>
      </w:r>
      <w:r w:rsidRPr="009D1AD4">
        <w:rPr>
          <w:rFonts w:ascii="Arial" w:hAnsi="Arial" w:cs="Arial"/>
          <w:b/>
          <w:bCs/>
          <w:color w:val="000000"/>
          <w:sz w:val="20"/>
          <w:szCs w:val="20"/>
        </w:rPr>
        <w:t xml:space="preserve"> </w:t>
      </w:r>
      <w:r w:rsidRPr="009D1AD4">
        <w:rPr>
          <w:rFonts w:ascii="Arial" w:hAnsi="Arial" w:cs="Arial"/>
          <w:color w:val="000000"/>
          <w:sz w:val="20"/>
          <w:szCs w:val="20"/>
        </w:rPr>
        <w:t>When completing Form 5500 Schedule A, how may an employer look up a carrier’s NAIC code and EIN?</w:t>
      </w:r>
    </w:p>
    <w:p w14:paraId="6F84664F" w14:textId="63699AA8" w:rsidR="00A703EE" w:rsidRPr="009D1AD4" w:rsidRDefault="00A703EE" w:rsidP="004C6CEA">
      <w:pPr>
        <w:spacing w:after="200"/>
        <w:rPr>
          <w:rFonts w:ascii="Arial" w:hAnsi="Arial" w:cs="Arial"/>
          <w:color w:val="000000"/>
          <w:sz w:val="20"/>
          <w:szCs w:val="20"/>
        </w:rPr>
      </w:pPr>
      <w:r w:rsidRPr="009D1AD4">
        <w:rPr>
          <w:rFonts w:ascii="Arial" w:hAnsi="Arial" w:cs="Arial"/>
          <w:b/>
          <w:bCs/>
          <w:color w:val="000000"/>
          <w:sz w:val="20"/>
          <w:szCs w:val="20"/>
        </w:rPr>
        <w:t>Answer:</w:t>
      </w:r>
      <w:r w:rsidRPr="009D1AD4">
        <w:rPr>
          <w:rFonts w:ascii="Arial" w:hAnsi="Arial" w:cs="Arial"/>
          <w:color w:val="000000"/>
          <w:sz w:val="20"/>
          <w:szCs w:val="20"/>
        </w:rPr>
        <w:t xml:space="preserve"> The employer / plan administrator can search </w:t>
      </w:r>
      <w:hyperlink r:id="rId24" w:history="1">
        <w:r w:rsidR="009E2B50" w:rsidRPr="007D65BB">
          <w:rPr>
            <w:rStyle w:val="Hyperlink"/>
          </w:rPr>
          <w:t>http://freeerisa.benefitspro.com</w:t>
        </w:r>
      </w:hyperlink>
      <w:r w:rsidR="009E2B50">
        <w:rPr>
          <w:rFonts w:ascii="Arial" w:hAnsi="Arial" w:cs="Arial"/>
          <w:color w:val="000000"/>
          <w:sz w:val="20"/>
          <w:szCs w:val="20"/>
        </w:rPr>
        <w:t xml:space="preserve"> </w:t>
      </w:r>
      <w:r w:rsidRPr="009D1AD4">
        <w:rPr>
          <w:rFonts w:ascii="Arial" w:hAnsi="Arial" w:cs="Arial"/>
          <w:color w:val="000000"/>
          <w:sz w:val="20"/>
          <w:szCs w:val="20"/>
        </w:rPr>
        <w:t xml:space="preserve">for the carrier’s </w:t>
      </w:r>
      <w:r w:rsidR="009E2B50">
        <w:rPr>
          <w:rFonts w:ascii="Arial" w:hAnsi="Arial" w:cs="Arial"/>
          <w:color w:val="000000"/>
          <w:sz w:val="20"/>
          <w:szCs w:val="20"/>
        </w:rPr>
        <w:t>employer ID number (</w:t>
      </w:r>
      <w:r w:rsidRPr="009D1AD4">
        <w:rPr>
          <w:rFonts w:ascii="Arial" w:hAnsi="Arial" w:cs="Arial"/>
          <w:color w:val="000000"/>
          <w:sz w:val="20"/>
          <w:szCs w:val="20"/>
        </w:rPr>
        <w:t>EIN</w:t>
      </w:r>
      <w:r w:rsidR="009E2B50">
        <w:rPr>
          <w:rFonts w:ascii="Arial" w:hAnsi="Arial" w:cs="Arial"/>
          <w:color w:val="000000"/>
          <w:sz w:val="20"/>
          <w:szCs w:val="20"/>
        </w:rPr>
        <w:t>)</w:t>
      </w:r>
      <w:r w:rsidRPr="009D1AD4">
        <w:rPr>
          <w:rFonts w:ascii="Arial" w:hAnsi="Arial" w:cs="Arial"/>
          <w:color w:val="000000"/>
          <w:sz w:val="20"/>
          <w:szCs w:val="20"/>
        </w:rPr>
        <w:t>. The plan administrator can look up the NAIC code on pages 78-80 of the</w:t>
      </w:r>
      <w:r w:rsidR="00055049">
        <w:rPr>
          <w:rFonts w:ascii="Arial" w:hAnsi="Arial" w:cs="Arial"/>
          <w:color w:val="000000"/>
          <w:sz w:val="20"/>
          <w:szCs w:val="20"/>
        </w:rPr>
        <w:t xml:space="preserve"> </w:t>
      </w:r>
      <w:hyperlink r:id="rId25" w:history="1">
        <w:r w:rsidRPr="009D1AD4">
          <w:rPr>
            <w:rStyle w:val="Hyperlink"/>
          </w:rPr>
          <w:t>2018 Instructions for Form 5500</w:t>
        </w:r>
      </w:hyperlink>
      <w:r w:rsidRPr="009D1AD4">
        <w:rPr>
          <w:rFonts w:ascii="Arial" w:hAnsi="Arial" w:cs="Arial"/>
          <w:color w:val="000000"/>
          <w:sz w:val="20"/>
          <w:szCs w:val="20"/>
        </w:rPr>
        <w:t>. If the plan administrator is unable to determine the correct EIN and NAIC code from the resources above, then the plan administrator should ask the carrier for the correct NAIC code and EIN.</w:t>
      </w:r>
    </w:p>
    <w:p w14:paraId="27D99309" w14:textId="31B71791" w:rsidR="00A703EE" w:rsidRDefault="00A703EE" w:rsidP="004C6CEA">
      <w:pPr>
        <w:spacing w:after="200"/>
        <w:rPr>
          <w:rFonts w:ascii="Arial" w:hAnsi="Arial" w:cs="Arial"/>
          <w:sz w:val="20"/>
          <w:szCs w:val="20"/>
        </w:rPr>
      </w:pPr>
    </w:p>
    <w:p w14:paraId="58061CB8" w14:textId="0C04C092" w:rsidR="009F5C2B" w:rsidRDefault="009F5C2B" w:rsidP="004C6CEA">
      <w:pPr>
        <w:spacing w:after="200"/>
        <w:rPr>
          <w:rFonts w:ascii="Arial" w:hAnsi="Arial" w:cs="Arial"/>
          <w:color w:val="000000"/>
          <w:sz w:val="20"/>
          <w:szCs w:val="20"/>
        </w:rPr>
      </w:pPr>
      <w:r w:rsidRPr="00C5063D">
        <w:rPr>
          <w:rFonts w:ascii="Arial" w:hAnsi="Arial" w:cs="Arial"/>
          <w:b/>
          <w:bCs/>
          <w:color w:val="001BBA"/>
          <w:sz w:val="22"/>
          <w:szCs w:val="22"/>
        </w:rPr>
        <w:t>Question:</w:t>
      </w:r>
      <w:r w:rsidR="00055049">
        <w:rPr>
          <w:rFonts w:ascii="Arial" w:hAnsi="Arial" w:cs="Arial"/>
          <w:color w:val="000000"/>
          <w:sz w:val="20"/>
          <w:szCs w:val="20"/>
        </w:rPr>
        <w:t xml:space="preserve"> </w:t>
      </w:r>
      <w:r w:rsidRPr="009D1AD4">
        <w:rPr>
          <w:rFonts w:ascii="Arial" w:hAnsi="Arial" w:cs="Arial"/>
          <w:color w:val="000000"/>
          <w:sz w:val="20"/>
          <w:szCs w:val="20"/>
        </w:rPr>
        <w:t xml:space="preserve">What is the status of the Department of Labor’s </w:t>
      </w:r>
      <w:r w:rsidR="009E2B50">
        <w:rPr>
          <w:rFonts w:ascii="Arial" w:hAnsi="Arial" w:cs="Arial"/>
          <w:color w:val="000000"/>
          <w:sz w:val="20"/>
          <w:szCs w:val="20"/>
        </w:rPr>
        <w:t>(DOL’s)</w:t>
      </w:r>
      <w:r w:rsidR="00AE6735">
        <w:rPr>
          <w:rFonts w:ascii="Arial" w:hAnsi="Arial" w:cs="Arial"/>
          <w:color w:val="000000"/>
          <w:sz w:val="20"/>
          <w:szCs w:val="20"/>
        </w:rPr>
        <w:t xml:space="preserve"> </w:t>
      </w:r>
      <w:r w:rsidRPr="009D1AD4">
        <w:rPr>
          <w:rFonts w:ascii="Arial" w:hAnsi="Arial" w:cs="Arial"/>
          <w:color w:val="000000"/>
          <w:sz w:val="20"/>
          <w:szCs w:val="20"/>
        </w:rPr>
        <w:t>association health plans (AHPs) final rule under the recently issued court decision?</w:t>
      </w:r>
    </w:p>
    <w:p w14:paraId="7D8898C1" w14:textId="486591AC" w:rsidR="009F5C2B" w:rsidRDefault="009F5C2B" w:rsidP="004C6CEA">
      <w:pPr>
        <w:spacing w:after="200"/>
        <w:rPr>
          <w:rFonts w:ascii="Arial" w:hAnsi="Arial" w:cs="Arial"/>
          <w:sz w:val="20"/>
          <w:szCs w:val="20"/>
        </w:rPr>
      </w:pPr>
      <w:r w:rsidRPr="009D1AD4">
        <w:rPr>
          <w:rFonts w:ascii="Arial" w:hAnsi="Arial" w:cs="Arial"/>
          <w:b/>
          <w:bCs/>
          <w:color w:val="000000"/>
          <w:sz w:val="20"/>
          <w:szCs w:val="20"/>
        </w:rPr>
        <w:t>Answer:</w:t>
      </w:r>
      <w:r w:rsidR="00055049">
        <w:rPr>
          <w:rFonts w:ascii="Arial" w:hAnsi="Arial" w:cs="Arial"/>
          <w:b/>
          <w:bCs/>
          <w:color w:val="000000"/>
          <w:sz w:val="20"/>
          <w:szCs w:val="20"/>
        </w:rPr>
        <w:t xml:space="preserve"> </w:t>
      </w:r>
      <w:r w:rsidRPr="009D1AD4">
        <w:rPr>
          <w:rFonts w:ascii="Arial" w:hAnsi="Arial" w:cs="Arial"/>
          <w:sz w:val="20"/>
          <w:szCs w:val="20"/>
        </w:rPr>
        <w:t xml:space="preserve">On March 28, 2019, the U.S. District Court for the District of Columbia (Court) </w:t>
      </w:r>
      <w:hyperlink r:id="rId26" w:history="1">
        <w:r w:rsidRPr="009D1AD4">
          <w:rPr>
            <w:rStyle w:val="Hyperlink"/>
          </w:rPr>
          <w:t>found</w:t>
        </w:r>
      </w:hyperlink>
      <w:r w:rsidRPr="009D1AD4">
        <w:rPr>
          <w:rFonts w:ascii="Arial" w:hAnsi="Arial" w:cs="Arial"/>
          <w:sz w:val="20"/>
          <w:szCs w:val="20"/>
        </w:rPr>
        <w:t xml:space="preserve"> that the DOL’s final rule exceeded the statutory authority delegated by Congress under ERISA and that the final rule unlawfully expands ERISA’s scope. In particular, the Court found the final rule’s provisions – defining “employer” to include associations of disparate employers and expanding membership in these associations to include working owners without employees – are unlawful and must be set aside.</w:t>
      </w:r>
    </w:p>
    <w:p w14:paraId="7C59231D" w14:textId="77777777" w:rsidR="009F5C2B" w:rsidRPr="009D1AD4" w:rsidRDefault="009F5C2B" w:rsidP="004C6CEA">
      <w:pPr>
        <w:spacing w:after="200"/>
        <w:rPr>
          <w:rFonts w:ascii="Arial" w:hAnsi="Arial" w:cs="Arial"/>
          <w:sz w:val="20"/>
          <w:szCs w:val="20"/>
        </w:rPr>
      </w:pPr>
      <w:r w:rsidRPr="009D1AD4">
        <w:rPr>
          <w:rFonts w:ascii="Arial" w:hAnsi="Arial" w:cs="Arial"/>
          <w:sz w:val="20"/>
          <w:szCs w:val="20"/>
        </w:rPr>
        <w:t xml:space="preserve">The Court’s </w:t>
      </w:r>
      <w:hyperlink r:id="rId27" w:history="1">
        <w:r w:rsidRPr="009D1AD4">
          <w:rPr>
            <w:rStyle w:val="Hyperlink"/>
          </w:rPr>
          <w:t>order</w:t>
        </w:r>
      </w:hyperlink>
      <w:r w:rsidRPr="009D1AD4">
        <w:rPr>
          <w:rFonts w:ascii="Arial" w:hAnsi="Arial" w:cs="Arial"/>
          <w:sz w:val="20"/>
          <w:szCs w:val="20"/>
        </w:rPr>
        <w:t xml:space="preserve"> vacates the specific provisions of the DOL’s final rule regarding “bona fide group or association of employers,” “commonality of interest,” and “dual treatment of working owners as employers and employees.” The order sends the final rule back to the DOL to consider how the final rule’s severability provision affects the final rule’s remaining portions.</w:t>
      </w:r>
    </w:p>
    <w:p w14:paraId="02A50B3F" w14:textId="77777777" w:rsidR="009F5C2B" w:rsidRPr="009D1AD4" w:rsidRDefault="009F5C2B" w:rsidP="004C6CEA">
      <w:pPr>
        <w:spacing w:after="200"/>
        <w:rPr>
          <w:rFonts w:ascii="Arial" w:hAnsi="Arial" w:cs="Arial"/>
          <w:color w:val="252525"/>
          <w:sz w:val="20"/>
          <w:szCs w:val="20"/>
        </w:rPr>
      </w:pPr>
      <w:r w:rsidRPr="009D1AD4">
        <w:rPr>
          <w:rFonts w:ascii="Arial" w:hAnsi="Arial" w:cs="Arial"/>
          <w:sz w:val="20"/>
          <w:szCs w:val="20"/>
        </w:rPr>
        <w:t xml:space="preserve">The Court’s order does not affect employers who formed AHPs under the </w:t>
      </w:r>
      <w:r w:rsidRPr="009D1AD4">
        <w:rPr>
          <w:rFonts w:ascii="Arial" w:hAnsi="Arial" w:cs="Arial"/>
          <w:color w:val="252525"/>
          <w:sz w:val="20"/>
          <w:szCs w:val="20"/>
        </w:rPr>
        <w:t>DOL’s previous guidance regarding the definition of “employer.” Both existing and new employer groups or associations that meet the DOL’s pre-rule guidance can continue to sponsor an AHP.</w:t>
      </w:r>
    </w:p>
    <w:p w14:paraId="10AD1F2B" w14:textId="77777777" w:rsidR="009F5C2B" w:rsidRPr="009D1AD4" w:rsidRDefault="009F5C2B" w:rsidP="004C6CEA">
      <w:pPr>
        <w:spacing w:after="200"/>
        <w:rPr>
          <w:rFonts w:ascii="Arial" w:hAnsi="Arial" w:cs="Arial"/>
          <w:color w:val="252525"/>
          <w:sz w:val="20"/>
          <w:szCs w:val="20"/>
        </w:rPr>
      </w:pPr>
      <w:r w:rsidRPr="009D1AD4">
        <w:rPr>
          <w:rFonts w:ascii="Arial" w:hAnsi="Arial" w:cs="Arial"/>
          <w:color w:val="252525"/>
          <w:sz w:val="20"/>
          <w:szCs w:val="20"/>
        </w:rPr>
        <w:t>This Court order stops employers from sponsoring new self-insured AHPs under the final rule beginning on April 1.</w:t>
      </w:r>
    </w:p>
    <w:p w14:paraId="5C917FB3" w14:textId="77777777" w:rsidR="009F5C2B" w:rsidRDefault="009F5C2B" w:rsidP="004C6CEA">
      <w:pPr>
        <w:spacing w:after="200"/>
        <w:rPr>
          <w:rFonts w:ascii="Arial" w:hAnsi="Arial" w:cs="Arial"/>
          <w:sz w:val="20"/>
          <w:szCs w:val="20"/>
        </w:rPr>
      </w:pPr>
      <w:r w:rsidRPr="009D1AD4">
        <w:rPr>
          <w:rFonts w:ascii="Arial" w:hAnsi="Arial" w:cs="Arial"/>
          <w:color w:val="252525"/>
          <w:sz w:val="20"/>
          <w:szCs w:val="20"/>
        </w:rPr>
        <w:t>For an</w:t>
      </w:r>
      <w:r w:rsidRPr="009D1AD4">
        <w:rPr>
          <w:rFonts w:ascii="Arial" w:hAnsi="Arial" w:cs="Arial"/>
          <w:sz w:val="20"/>
          <w:szCs w:val="20"/>
        </w:rPr>
        <w:t xml:space="preserve"> employer that relies on the final rule’s expanded definition of “employer” to currently sponsor a fully-insured AHP or existing self-insured AHP, the employer should consult with its attorney as soon as possible. If the employer can meet the DOL’s pre-rule guidance, then it can continue to sponsor an AHP.</w:t>
      </w:r>
    </w:p>
    <w:p w14:paraId="54DCE705" w14:textId="77777777" w:rsidR="009F5C2B" w:rsidRPr="009D1AD4" w:rsidRDefault="009F5C2B" w:rsidP="004C6CEA">
      <w:pPr>
        <w:spacing w:after="200"/>
        <w:rPr>
          <w:rFonts w:ascii="Arial" w:hAnsi="Arial" w:cs="Arial"/>
          <w:sz w:val="20"/>
          <w:szCs w:val="20"/>
        </w:rPr>
      </w:pPr>
      <w:r w:rsidRPr="009D1AD4">
        <w:rPr>
          <w:rFonts w:ascii="Arial" w:hAnsi="Arial" w:cs="Arial"/>
          <w:sz w:val="20"/>
          <w:szCs w:val="20"/>
        </w:rPr>
        <w:t xml:space="preserve">However, if the employer cannot meet the DOL’s pre-rule guidance, then the employer should consult with its attorney to determine whether it can amend its structure and plan document to meet the DOL’s pre-rule guidance. If it cannot meet the DOL’s pre-rule guidance through plan amendment, then the employer should consult with its attorney on how to proceed because the AHP will no longer qualify as an </w:t>
      </w:r>
      <w:r w:rsidRPr="009D1AD4">
        <w:rPr>
          <w:rFonts w:ascii="Arial" w:hAnsi="Arial" w:cs="Arial"/>
          <w:sz w:val="20"/>
          <w:szCs w:val="20"/>
        </w:rPr>
        <w:lastRenderedPageBreak/>
        <w:t>ERISA plan and may be subject to the ACA’s individual market and small group market rules as well as state regulation.</w:t>
      </w:r>
    </w:p>
    <w:p w14:paraId="3997815C" w14:textId="77777777" w:rsidR="009F5C2B" w:rsidRPr="009D1AD4" w:rsidRDefault="009F5C2B" w:rsidP="004C6CEA">
      <w:pPr>
        <w:pStyle w:val="ListParagraph"/>
        <w:spacing w:after="200"/>
        <w:ind w:left="0"/>
        <w:contextualSpacing w:val="0"/>
        <w:rPr>
          <w:rFonts w:ascii="Arial" w:hAnsi="Arial" w:cs="Arial"/>
          <w:sz w:val="20"/>
          <w:szCs w:val="20"/>
        </w:rPr>
      </w:pPr>
      <w:r w:rsidRPr="009D1AD4">
        <w:rPr>
          <w:rFonts w:ascii="Arial" w:hAnsi="Arial" w:cs="Arial"/>
          <w:sz w:val="20"/>
          <w:szCs w:val="20"/>
        </w:rPr>
        <w:t>The DOL has not indicated how it will proceed. The DOL could revise its final rule or the DOL could appeal the decision. Employers in AHPs should keep apprised of future developments in this case.</w:t>
      </w:r>
    </w:p>
    <w:p w14:paraId="580FF6B5" w14:textId="667C6BC4" w:rsidR="009F5C2B" w:rsidRDefault="00055049" w:rsidP="004C6CEA">
      <w:pPr>
        <w:spacing w:after="200"/>
        <w:rPr>
          <w:rFonts w:ascii="Arial" w:hAnsi="Arial" w:cs="Arial"/>
          <w:sz w:val="20"/>
          <w:szCs w:val="20"/>
        </w:rPr>
      </w:pPr>
      <w:r>
        <w:rPr>
          <w:rFonts w:ascii="Arial" w:hAnsi="Arial" w:cs="Arial"/>
          <w:sz w:val="20"/>
          <w:szCs w:val="20"/>
        </w:rPr>
        <w:t>See our Advisor “</w:t>
      </w:r>
      <w:hyperlink r:id="rId28" w:history="1">
        <w:r w:rsidR="009E2B50" w:rsidRPr="00055049">
          <w:rPr>
            <w:rStyle w:val="Hyperlink"/>
          </w:rPr>
          <w:t>Update on DOL’s Association Health Plans Final Rule</w:t>
        </w:r>
      </w:hyperlink>
      <w:r>
        <w:rPr>
          <w:rFonts w:ascii="Arial" w:hAnsi="Arial" w:cs="Arial"/>
          <w:sz w:val="20"/>
          <w:szCs w:val="20"/>
        </w:rPr>
        <w:t>” for more information.</w:t>
      </w:r>
    </w:p>
    <w:p w14:paraId="000DA107" w14:textId="77777777" w:rsidR="009E2B50" w:rsidRDefault="009E2B50" w:rsidP="004C6CEA">
      <w:pPr>
        <w:spacing w:after="200"/>
        <w:rPr>
          <w:rFonts w:ascii="Arial" w:hAnsi="Arial" w:cs="Arial"/>
          <w:sz w:val="20"/>
          <w:szCs w:val="20"/>
        </w:rPr>
      </w:pPr>
    </w:p>
    <w:p w14:paraId="1BE1E3B8" w14:textId="77777777" w:rsidR="00354D6A" w:rsidRDefault="00354D6A" w:rsidP="004C6CEA">
      <w:pPr>
        <w:spacing w:after="200"/>
        <w:rPr>
          <w:rFonts w:ascii="Arial" w:hAnsi="Arial" w:cs="Arial"/>
          <w:bCs/>
          <w:sz w:val="20"/>
          <w:szCs w:val="20"/>
        </w:rPr>
      </w:pPr>
      <w:r w:rsidRPr="00C5063D">
        <w:rPr>
          <w:rFonts w:ascii="Arial" w:hAnsi="Arial" w:cs="Arial"/>
          <w:b/>
          <w:bCs/>
          <w:color w:val="001BBA"/>
          <w:sz w:val="22"/>
          <w:szCs w:val="22"/>
        </w:rPr>
        <w:t>Question:</w:t>
      </w:r>
      <w:r w:rsidRPr="009D1AD4">
        <w:rPr>
          <w:rFonts w:ascii="Arial" w:hAnsi="Arial" w:cs="Arial"/>
          <w:b/>
          <w:bCs/>
          <w:sz w:val="20"/>
          <w:szCs w:val="20"/>
        </w:rPr>
        <w:t xml:space="preserve"> </w:t>
      </w:r>
      <w:r w:rsidRPr="009D1AD4">
        <w:rPr>
          <w:rFonts w:ascii="Arial" w:hAnsi="Arial" w:cs="Arial"/>
          <w:bCs/>
          <w:sz w:val="20"/>
          <w:szCs w:val="20"/>
        </w:rPr>
        <w:t>How long should I keep reporting and disclosure records?</w:t>
      </w:r>
    </w:p>
    <w:p w14:paraId="7A1378D1" w14:textId="537319E0" w:rsidR="00354D6A" w:rsidRPr="009D1AD4" w:rsidRDefault="00354D6A" w:rsidP="004C6CEA">
      <w:pPr>
        <w:spacing w:after="200"/>
        <w:rPr>
          <w:rFonts w:ascii="Arial" w:hAnsi="Arial" w:cs="Arial"/>
          <w:sz w:val="20"/>
          <w:szCs w:val="20"/>
        </w:rPr>
      </w:pPr>
      <w:r w:rsidRPr="009D1AD4">
        <w:rPr>
          <w:rFonts w:ascii="Arial" w:hAnsi="Arial" w:cs="Arial"/>
          <w:b/>
          <w:bCs/>
          <w:sz w:val="20"/>
          <w:szCs w:val="20"/>
        </w:rPr>
        <w:t>Answer:</w:t>
      </w:r>
      <w:r w:rsidRPr="009D1AD4">
        <w:rPr>
          <w:rFonts w:ascii="Arial" w:hAnsi="Arial" w:cs="Arial"/>
          <w:bCs/>
          <w:sz w:val="20"/>
          <w:szCs w:val="20"/>
        </w:rPr>
        <w:t xml:space="preserve"> </w:t>
      </w:r>
      <w:r w:rsidRPr="009D1AD4">
        <w:rPr>
          <w:rFonts w:ascii="Arial" w:hAnsi="Arial" w:cs="Arial"/>
          <w:sz w:val="20"/>
          <w:szCs w:val="20"/>
        </w:rPr>
        <w:t>Generally, reporting and disclosure</w:t>
      </w:r>
      <w:r w:rsidR="00055049">
        <w:rPr>
          <w:rFonts w:ascii="Arial" w:hAnsi="Arial" w:cs="Arial"/>
          <w:sz w:val="20"/>
          <w:szCs w:val="20"/>
        </w:rPr>
        <w:t xml:space="preserve"> </w:t>
      </w:r>
      <w:r w:rsidRPr="009D1AD4">
        <w:rPr>
          <w:rFonts w:ascii="Arial" w:hAnsi="Arial" w:cs="Arial"/>
          <w:sz w:val="20"/>
          <w:szCs w:val="20"/>
        </w:rPr>
        <w:t xml:space="preserve">records should be retained for </w:t>
      </w:r>
      <w:r w:rsidR="009E2B50">
        <w:rPr>
          <w:rFonts w:ascii="Arial" w:hAnsi="Arial" w:cs="Arial"/>
          <w:sz w:val="20"/>
          <w:szCs w:val="20"/>
        </w:rPr>
        <w:t>six</w:t>
      </w:r>
      <w:r w:rsidRPr="009D1AD4">
        <w:rPr>
          <w:rFonts w:ascii="Arial" w:hAnsi="Arial" w:cs="Arial"/>
          <w:sz w:val="20"/>
          <w:szCs w:val="20"/>
        </w:rPr>
        <w:t xml:space="preserve"> years from their filing date, although it’s best practice to keep such records for </w:t>
      </w:r>
      <w:r w:rsidR="009E2B50">
        <w:rPr>
          <w:rFonts w:ascii="Arial" w:hAnsi="Arial" w:cs="Arial"/>
          <w:sz w:val="20"/>
          <w:szCs w:val="20"/>
        </w:rPr>
        <w:t>eight</w:t>
      </w:r>
      <w:r w:rsidRPr="009D1AD4">
        <w:rPr>
          <w:rFonts w:ascii="Arial" w:hAnsi="Arial" w:cs="Arial"/>
          <w:sz w:val="20"/>
          <w:szCs w:val="20"/>
        </w:rPr>
        <w:t xml:space="preserve"> years. Benefits determination</w:t>
      </w:r>
      <w:r w:rsidR="00055049">
        <w:rPr>
          <w:rFonts w:ascii="Arial" w:hAnsi="Arial" w:cs="Arial"/>
          <w:sz w:val="20"/>
          <w:szCs w:val="20"/>
        </w:rPr>
        <w:t xml:space="preserve"> </w:t>
      </w:r>
      <w:r w:rsidRPr="009D1AD4">
        <w:rPr>
          <w:rFonts w:ascii="Arial" w:hAnsi="Arial" w:cs="Arial"/>
          <w:sz w:val="20"/>
          <w:szCs w:val="20"/>
        </w:rPr>
        <w:t>records are subject to the open-ended</w:t>
      </w:r>
      <w:r w:rsidR="00055049">
        <w:rPr>
          <w:rFonts w:ascii="Arial" w:hAnsi="Arial" w:cs="Arial"/>
          <w:sz w:val="20"/>
          <w:szCs w:val="20"/>
        </w:rPr>
        <w:t xml:space="preserve"> </w:t>
      </w:r>
      <w:r w:rsidRPr="009D1AD4">
        <w:rPr>
          <w:rFonts w:ascii="Arial" w:hAnsi="Arial" w:cs="Arial"/>
          <w:sz w:val="20"/>
          <w:szCs w:val="20"/>
        </w:rPr>
        <w:t>retention</w:t>
      </w:r>
      <w:r w:rsidR="00055049">
        <w:rPr>
          <w:rFonts w:ascii="Arial" w:hAnsi="Arial" w:cs="Arial"/>
          <w:sz w:val="20"/>
          <w:szCs w:val="20"/>
        </w:rPr>
        <w:t xml:space="preserve"> </w:t>
      </w:r>
      <w:r w:rsidRPr="009D1AD4">
        <w:rPr>
          <w:rFonts w:ascii="Arial" w:hAnsi="Arial" w:cs="Arial"/>
          <w:sz w:val="20"/>
          <w:szCs w:val="20"/>
        </w:rPr>
        <w:t>requirement of</w:t>
      </w:r>
      <w:r w:rsidR="00055049">
        <w:rPr>
          <w:rFonts w:ascii="Arial" w:hAnsi="Arial" w:cs="Arial"/>
          <w:sz w:val="20"/>
          <w:szCs w:val="20"/>
        </w:rPr>
        <w:t xml:space="preserve"> </w:t>
      </w:r>
      <w:r w:rsidRPr="009D1AD4">
        <w:rPr>
          <w:rFonts w:ascii="Arial" w:hAnsi="Arial" w:cs="Arial"/>
          <w:sz w:val="20"/>
          <w:szCs w:val="20"/>
        </w:rPr>
        <w:t>ERISA</w:t>
      </w:r>
      <w:r w:rsidR="00055049">
        <w:rPr>
          <w:rFonts w:ascii="Arial" w:hAnsi="Arial" w:cs="Arial"/>
          <w:sz w:val="20"/>
          <w:szCs w:val="20"/>
        </w:rPr>
        <w:t xml:space="preserve"> </w:t>
      </w:r>
      <w:r w:rsidRPr="009D1AD4">
        <w:rPr>
          <w:rFonts w:ascii="Arial" w:hAnsi="Arial" w:cs="Arial"/>
          <w:sz w:val="20"/>
          <w:szCs w:val="20"/>
        </w:rPr>
        <w:t>Section 209, so these</w:t>
      </w:r>
      <w:r w:rsidR="00055049">
        <w:rPr>
          <w:rFonts w:ascii="Arial" w:hAnsi="Arial" w:cs="Arial"/>
          <w:sz w:val="20"/>
          <w:szCs w:val="20"/>
        </w:rPr>
        <w:t xml:space="preserve"> </w:t>
      </w:r>
      <w:r w:rsidRPr="009D1AD4">
        <w:rPr>
          <w:rFonts w:ascii="Arial" w:hAnsi="Arial" w:cs="Arial"/>
          <w:sz w:val="20"/>
          <w:szCs w:val="20"/>
        </w:rPr>
        <w:t>records should be kept as long as they may be relevant to benefit entitlement determination.</w:t>
      </w:r>
    </w:p>
    <w:p w14:paraId="51103086" w14:textId="3A7E8C84" w:rsidR="00354D6A" w:rsidRPr="009D1AD4" w:rsidRDefault="00354D6A" w:rsidP="004C6CEA">
      <w:pPr>
        <w:spacing w:after="200"/>
        <w:rPr>
          <w:rFonts w:ascii="Arial" w:hAnsi="Arial" w:cs="Arial"/>
          <w:sz w:val="20"/>
          <w:szCs w:val="20"/>
        </w:rPr>
      </w:pPr>
      <w:r w:rsidRPr="009D1AD4">
        <w:rPr>
          <w:rFonts w:ascii="Arial" w:hAnsi="Arial" w:cs="Arial"/>
          <w:sz w:val="20"/>
          <w:szCs w:val="20"/>
        </w:rPr>
        <w:t>Beyond these time frames, if a company is on notice that any matter may become the subject of litigation or an audit (</w:t>
      </w:r>
      <w:r w:rsidR="00D40223">
        <w:rPr>
          <w:rFonts w:ascii="Arial" w:hAnsi="Arial" w:cs="Arial"/>
          <w:sz w:val="20"/>
          <w:szCs w:val="20"/>
        </w:rPr>
        <w:t>for example</w:t>
      </w:r>
      <w:r w:rsidRPr="009D1AD4">
        <w:rPr>
          <w:rFonts w:ascii="Arial" w:hAnsi="Arial" w:cs="Arial"/>
          <w:sz w:val="20"/>
          <w:szCs w:val="20"/>
        </w:rPr>
        <w:t>, receiving notice that a lawsuit is being filed, notice of a DOL or EEOC charge, an attorney demand letter, or an internal complaint), the company must keep all documents related to that matter until the case has come to a conclusion. In this type of case, the company should seek legal advice from its attorney about</w:t>
      </w:r>
      <w:r w:rsidR="00055049">
        <w:rPr>
          <w:rFonts w:ascii="Arial" w:hAnsi="Arial" w:cs="Arial"/>
          <w:sz w:val="20"/>
          <w:szCs w:val="20"/>
        </w:rPr>
        <w:t xml:space="preserve"> </w:t>
      </w:r>
      <w:r w:rsidRPr="009D1AD4">
        <w:rPr>
          <w:rFonts w:ascii="Arial" w:hAnsi="Arial" w:cs="Arial"/>
          <w:sz w:val="20"/>
          <w:szCs w:val="20"/>
        </w:rPr>
        <w:t>document</w:t>
      </w:r>
      <w:r w:rsidR="00055049">
        <w:rPr>
          <w:rFonts w:ascii="Arial" w:hAnsi="Arial" w:cs="Arial"/>
          <w:sz w:val="20"/>
          <w:szCs w:val="20"/>
        </w:rPr>
        <w:t xml:space="preserve"> </w:t>
      </w:r>
      <w:r w:rsidRPr="009D1AD4">
        <w:rPr>
          <w:rFonts w:ascii="Arial" w:hAnsi="Arial" w:cs="Arial"/>
          <w:sz w:val="20"/>
          <w:szCs w:val="20"/>
        </w:rPr>
        <w:t>retention.</w:t>
      </w:r>
    </w:p>
    <w:p w14:paraId="45BE6164" w14:textId="77777777" w:rsidR="00354D6A" w:rsidRPr="009D1AD4" w:rsidRDefault="00354D6A" w:rsidP="004C6CEA">
      <w:pPr>
        <w:spacing w:after="200"/>
        <w:rPr>
          <w:rFonts w:ascii="Arial" w:hAnsi="Arial" w:cs="Arial"/>
          <w:sz w:val="20"/>
          <w:szCs w:val="20"/>
        </w:rPr>
      </w:pPr>
      <w:r w:rsidRPr="009D1AD4">
        <w:rPr>
          <w:rFonts w:ascii="Arial" w:hAnsi="Arial" w:cs="Arial"/>
          <w:sz w:val="20"/>
          <w:szCs w:val="20"/>
        </w:rPr>
        <w:t>Last, an employer should also consult with its attorney on state laws regarding document retention.</w:t>
      </w:r>
    </w:p>
    <w:p w14:paraId="7E558913" w14:textId="56B2401C" w:rsidR="00354D6A" w:rsidRDefault="00354D6A" w:rsidP="004C6CEA">
      <w:pPr>
        <w:spacing w:after="200"/>
        <w:rPr>
          <w:rFonts w:ascii="Arial" w:hAnsi="Arial" w:cs="Arial"/>
          <w:sz w:val="20"/>
          <w:szCs w:val="20"/>
        </w:rPr>
      </w:pPr>
    </w:p>
    <w:p w14:paraId="24AEF5C8" w14:textId="4E3F278E" w:rsidR="006E7881" w:rsidRPr="009D1AD4" w:rsidRDefault="006E7881" w:rsidP="004C6CEA">
      <w:pPr>
        <w:spacing w:after="200"/>
        <w:rPr>
          <w:rFonts w:ascii="Arial" w:hAnsi="Arial" w:cs="Arial"/>
          <w:sz w:val="20"/>
          <w:szCs w:val="20"/>
        </w:rPr>
      </w:pPr>
      <w:r w:rsidRPr="00C5063D">
        <w:rPr>
          <w:rFonts w:ascii="Arial" w:hAnsi="Arial" w:cs="Arial"/>
          <w:b/>
          <w:bCs/>
          <w:color w:val="001BBA"/>
          <w:sz w:val="22"/>
          <w:szCs w:val="22"/>
        </w:rPr>
        <w:t>Question:</w:t>
      </w:r>
      <w:r w:rsidRPr="009D1AD4">
        <w:rPr>
          <w:rFonts w:ascii="Arial" w:hAnsi="Arial" w:cs="Arial"/>
          <w:sz w:val="20"/>
          <w:szCs w:val="20"/>
        </w:rPr>
        <w:t xml:space="preserve"> How does an employer request an extension for filing Form 5500?</w:t>
      </w:r>
    </w:p>
    <w:p w14:paraId="1481AA32" w14:textId="77777777" w:rsidR="006E7881" w:rsidRPr="009D1AD4" w:rsidRDefault="006E7881" w:rsidP="004C6CEA">
      <w:pPr>
        <w:spacing w:after="200"/>
        <w:rPr>
          <w:rFonts w:ascii="Arial" w:hAnsi="Arial" w:cs="Arial"/>
          <w:sz w:val="20"/>
          <w:szCs w:val="20"/>
        </w:rPr>
      </w:pPr>
      <w:r w:rsidRPr="009D1AD4">
        <w:rPr>
          <w:rFonts w:ascii="Arial" w:hAnsi="Arial" w:cs="Arial"/>
          <w:b/>
          <w:sz w:val="20"/>
          <w:szCs w:val="20"/>
        </w:rPr>
        <w:t>Answer:</w:t>
      </w:r>
      <w:r w:rsidRPr="009D1AD4">
        <w:rPr>
          <w:rFonts w:ascii="Arial" w:hAnsi="Arial" w:cs="Arial"/>
          <w:sz w:val="20"/>
          <w:szCs w:val="20"/>
        </w:rPr>
        <w:t xml:space="preserve"> An employer may request an extension of up to 2.5 months after the Form 5500 due date by filing </w:t>
      </w:r>
      <w:hyperlink r:id="rId29" w:history="1">
        <w:r w:rsidRPr="009D1AD4">
          <w:rPr>
            <w:rStyle w:val="Hyperlink"/>
          </w:rPr>
          <w:t>Form 5558</w:t>
        </w:r>
      </w:hyperlink>
      <w:r w:rsidRPr="009D1AD4">
        <w:rPr>
          <w:rFonts w:ascii="Arial" w:hAnsi="Arial" w:cs="Arial"/>
          <w:sz w:val="20"/>
          <w:szCs w:val="20"/>
        </w:rPr>
        <w:t xml:space="preserve"> (Application for Extension of Time to File Certain Employee Plan Returns) with the IRS. If an employer files Form 5558 on or before the normal due date of the Form 5500, then its extension request will be automatically granted.</w:t>
      </w:r>
    </w:p>
    <w:p w14:paraId="0F525A1A" w14:textId="1A20A01B" w:rsidR="006E7881" w:rsidRDefault="006E7881" w:rsidP="004C6CEA">
      <w:pPr>
        <w:spacing w:after="200"/>
        <w:rPr>
          <w:rFonts w:ascii="Arial" w:hAnsi="Arial" w:cs="Arial"/>
          <w:sz w:val="20"/>
          <w:szCs w:val="20"/>
        </w:rPr>
      </w:pPr>
    </w:p>
    <w:p w14:paraId="1DF54922" w14:textId="3FD8F5F3" w:rsidR="006E7881" w:rsidRPr="009D1AD4" w:rsidRDefault="006E7881" w:rsidP="004C6CEA">
      <w:pPr>
        <w:spacing w:after="200"/>
        <w:rPr>
          <w:rFonts w:ascii="Arial" w:hAnsi="Arial" w:cs="Arial"/>
          <w:sz w:val="20"/>
          <w:szCs w:val="20"/>
        </w:rPr>
      </w:pPr>
      <w:r w:rsidRPr="00C5063D">
        <w:rPr>
          <w:rFonts w:ascii="Arial" w:hAnsi="Arial" w:cs="Arial"/>
          <w:b/>
          <w:bCs/>
          <w:color w:val="001BBA"/>
          <w:sz w:val="22"/>
          <w:szCs w:val="22"/>
        </w:rPr>
        <w:t>Question:</w:t>
      </w:r>
      <w:r w:rsidR="00055049">
        <w:rPr>
          <w:rFonts w:ascii="Arial" w:hAnsi="Arial" w:cs="Arial"/>
          <w:b/>
          <w:bCs/>
          <w:sz w:val="20"/>
          <w:szCs w:val="20"/>
        </w:rPr>
        <w:t xml:space="preserve"> </w:t>
      </w:r>
      <w:r w:rsidRPr="009D1AD4">
        <w:rPr>
          <w:rFonts w:ascii="Arial" w:hAnsi="Arial" w:cs="Arial"/>
          <w:sz w:val="20"/>
          <w:szCs w:val="20"/>
        </w:rPr>
        <w:t>If a health and welfare benefit plan has fewer than 100 participants, then does it need to file a Form</w:t>
      </w:r>
      <w:r w:rsidR="00055049">
        <w:rPr>
          <w:rFonts w:ascii="Arial" w:hAnsi="Arial" w:cs="Arial"/>
          <w:sz w:val="20"/>
          <w:szCs w:val="20"/>
        </w:rPr>
        <w:t xml:space="preserve"> </w:t>
      </w:r>
      <w:r w:rsidRPr="009D1AD4">
        <w:rPr>
          <w:rFonts w:ascii="Arial" w:hAnsi="Arial" w:cs="Arial"/>
          <w:sz w:val="20"/>
          <w:szCs w:val="20"/>
        </w:rPr>
        <w:t>5500?</w:t>
      </w:r>
    </w:p>
    <w:p w14:paraId="2C3A38E8" w14:textId="62D5BDC3" w:rsidR="006E7881" w:rsidRDefault="006E7881" w:rsidP="004C6CEA">
      <w:pPr>
        <w:spacing w:after="200"/>
        <w:rPr>
          <w:rFonts w:ascii="Arial" w:hAnsi="Arial" w:cs="Arial"/>
          <w:sz w:val="20"/>
          <w:szCs w:val="20"/>
        </w:rPr>
      </w:pPr>
      <w:r w:rsidRPr="009D1AD4">
        <w:rPr>
          <w:rFonts w:ascii="Arial" w:hAnsi="Arial" w:cs="Arial"/>
          <w:b/>
          <w:bCs/>
          <w:sz w:val="20"/>
          <w:szCs w:val="20"/>
        </w:rPr>
        <w:t>Answer:</w:t>
      </w:r>
      <w:r w:rsidR="00055049">
        <w:rPr>
          <w:rFonts w:ascii="Arial" w:hAnsi="Arial" w:cs="Arial"/>
          <w:b/>
          <w:bCs/>
          <w:sz w:val="20"/>
          <w:szCs w:val="20"/>
        </w:rPr>
        <w:t xml:space="preserve"> </w:t>
      </w:r>
      <w:r w:rsidRPr="009D1AD4">
        <w:rPr>
          <w:rFonts w:ascii="Arial" w:hAnsi="Arial" w:cs="Arial"/>
          <w:sz w:val="20"/>
          <w:szCs w:val="20"/>
        </w:rPr>
        <w:t>If a plan is self-funded and uses a trust, then it is required to file a Form 5500, no matter how many participants it has.</w:t>
      </w:r>
    </w:p>
    <w:p w14:paraId="09A65786" w14:textId="77777777" w:rsidR="006E7881" w:rsidRPr="009D1AD4" w:rsidRDefault="006E7881" w:rsidP="004C6CEA">
      <w:pPr>
        <w:spacing w:after="200"/>
        <w:rPr>
          <w:rFonts w:ascii="Arial" w:hAnsi="Arial" w:cs="Arial"/>
          <w:sz w:val="20"/>
          <w:szCs w:val="20"/>
        </w:rPr>
      </w:pPr>
      <w:r w:rsidRPr="009D1AD4">
        <w:rPr>
          <w:rFonts w:ascii="Arial" w:hAnsi="Arial" w:cs="Arial"/>
          <w:sz w:val="20"/>
          <w:szCs w:val="20"/>
        </w:rPr>
        <w:t>Currently, group welfare plans generally must file Form 5500 if:</w:t>
      </w:r>
    </w:p>
    <w:p w14:paraId="4D786866" w14:textId="23CBC473" w:rsidR="006E7881" w:rsidRPr="009D1AD4" w:rsidRDefault="006E7881" w:rsidP="00004129">
      <w:pPr>
        <w:numPr>
          <w:ilvl w:val="0"/>
          <w:numId w:val="3"/>
        </w:numPr>
        <w:spacing w:after="120"/>
        <w:rPr>
          <w:rFonts w:ascii="Arial" w:hAnsi="Arial" w:cs="Arial"/>
          <w:sz w:val="20"/>
          <w:szCs w:val="20"/>
        </w:rPr>
      </w:pPr>
      <w:r w:rsidRPr="009D1AD4">
        <w:rPr>
          <w:rFonts w:ascii="Arial" w:hAnsi="Arial" w:cs="Arial"/>
          <w:sz w:val="20"/>
          <w:szCs w:val="20"/>
        </w:rPr>
        <w:t>The plan is fully insured and had 100 or more participants on the first day of the plan year</w:t>
      </w:r>
      <w:r w:rsidR="00055049">
        <w:rPr>
          <w:rFonts w:ascii="Arial" w:hAnsi="Arial" w:cs="Arial"/>
          <w:sz w:val="20"/>
          <w:szCs w:val="20"/>
        </w:rPr>
        <w:t xml:space="preserve"> </w:t>
      </w:r>
      <w:r w:rsidRPr="009D1AD4">
        <w:rPr>
          <w:rFonts w:ascii="Arial" w:hAnsi="Arial" w:cs="Arial"/>
          <w:sz w:val="20"/>
          <w:szCs w:val="20"/>
        </w:rPr>
        <w:t>(dependents are not considered "participants" for this purpose unless they are covered because of a qualified medical child support order).</w:t>
      </w:r>
    </w:p>
    <w:p w14:paraId="1F49FE27" w14:textId="77777777" w:rsidR="006E7881" w:rsidRPr="009D1AD4" w:rsidRDefault="006E7881" w:rsidP="00004129">
      <w:pPr>
        <w:numPr>
          <w:ilvl w:val="0"/>
          <w:numId w:val="3"/>
        </w:numPr>
        <w:spacing w:after="120"/>
        <w:rPr>
          <w:rFonts w:ascii="Arial" w:hAnsi="Arial" w:cs="Arial"/>
          <w:sz w:val="20"/>
          <w:szCs w:val="20"/>
        </w:rPr>
      </w:pPr>
      <w:r w:rsidRPr="009D1AD4">
        <w:rPr>
          <w:rFonts w:ascii="Arial" w:hAnsi="Arial" w:cs="Arial"/>
          <w:sz w:val="20"/>
          <w:szCs w:val="20"/>
        </w:rPr>
        <w:t>The plan is self-funded and it uses a trust, no matter how many participants it has.</w:t>
      </w:r>
    </w:p>
    <w:p w14:paraId="74A7E3A0" w14:textId="77777777" w:rsidR="006E7881" w:rsidRPr="009D1AD4" w:rsidRDefault="006E7881" w:rsidP="004C6CEA">
      <w:pPr>
        <w:numPr>
          <w:ilvl w:val="0"/>
          <w:numId w:val="3"/>
        </w:numPr>
        <w:spacing w:after="200"/>
        <w:rPr>
          <w:rFonts w:ascii="Arial" w:hAnsi="Arial" w:cs="Arial"/>
          <w:sz w:val="20"/>
          <w:szCs w:val="20"/>
        </w:rPr>
      </w:pPr>
      <w:r w:rsidRPr="009D1AD4">
        <w:rPr>
          <w:rFonts w:ascii="Arial" w:hAnsi="Arial" w:cs="Arial"/>
          <w:sz w:val="20"/>
          <w:szCs w:val="20"/>
        </w:rPr>
        <w:t>The plan is self-funded and it relies on the Section 125 plan exemption, if it had 100 or more participants on the first day of the plan year.</w:t>
      </w:r>
    </w:p>
    <w:p w14:paraId="587D3E55" w14:textId="77777777" w:rsidR="006E7881" w:rsidRDefault="006E7881" w:rsidP="004C6CEA">
      <w:pPr>
        <w:spacing w:after="200"/>
        <w:rPr>
          <w:rFonts w:ascii="Arial" w:hAnsi="Arial" w:cs="Arial"/>
          <w:sz w:val="20"/>
          <w:szCs w:val="20"/>
        </w:rPr>
      </w:pPr>
      <w:r w:rsidRPr="009D1AD4">
        <w:rPr>
          <w:rFonts w:ascii="Arial" w:hAnsi="Arial" w:cs="Arial"/>
          <w:sz w:val="20"/>
          <w:szCs w:val="20"/>
        </w:rPr>
        <w:t>There are several exemptions to Form 5500 filing. The most notable are:</w:t>
      </w:r>
    </w:p>
    <w:p w14:paraId="752695BE" w14:textId="77777777" w:rsidR="006E7881" w:rsidRDefault="006E7881" w:rsidP="00004129">
      <w:pPr>
        <w:numPr>
          <w:ilvl w:val="0"/>
          <w:numId w:val="4"/>
        </w:numPr>
        <w:spacing w:after="120"/>
        <w:rPr>
          <w:rFonts w:ascii="Arial" w:hAnsi="Arial" w:cs="Arial"/>
          <w:sz w:val="20"/>
          <w:szCs w:val="20"/>
        </w:rPr>
      </w:pPr>
      <w:r w:rsidRPr="009D1AD4">
        <w:rPr>
          <w:rFonts w:ascii="Arial" w:hAnsi="Arial" w:cs="Arial"/>
          <w:sz w:val="20"/>
          <w:szCs w:val="20"/>
        </w:rPr>
        <w:t>Church plans defined under ERISA Section 3(33)</w:t>
      </w:r>
    </w:p>
    <w:p w14:paraId="644B90B5" w14:textId="77777777" w:rsidR="006E7881" w:rsidRDefault="006E7881" w:rsidP="00004129">
      <w:pPr>
        <w:numPr>
          <w:ilvl w:val="0"/>
          <w:numId w:val="4"/>
        </w:numPr>
        <w:spacing w:after="120"/>
        <w:rPr>
          <w:rFonts w:ascii="Arial" w:hAnsi="Arial" w:cs="Arial"/>
          <w:sz w:val="20"/>
          <w:szCs w:val="20"/>
        </w:rPr>
      </w:pPr>
      <w:r w:rsidRPr="009D1AD4">
        <w:rPr>
          <w:rFonts w:ascii="Arial" w:hAnsi="Arial" w:cs="Arial"/>
          <w:sz w:val="20"/>
          <w:szCs w:val="20"/>
        </w:rPr>
        <w:t>Governmental plans, including tribal governmental plans</w:t>
      </w:r>
    </w:p>
    <w:p w14:paraId="41FB652B" w14:textId="77777777" w:rsidR="006E7881" w:rsidRPr="009D1AD4" w:rsidRDefault="006E7881" w:rsidP="00004129">
      <w:pPr>
        <w:numPr>
          <w:ilvl w:val="0"/>
          <w:numId w:val="4"/>
        </w:numPr>
        <w:spacing w:after="120"/>
        <w:rPr>
          <w:rFonts w:ascii="Arial" w:hAnsi="Arial" w:cs="Arial"/>
          <w:sz w:val="20"/>
          <w:szCs w:val="20"/>
        </w:rPr>
      </w:pPr>
      <w:r w:rsidRPr="009D1AD4">
        <w:rPr>
          <w:rFonts w:ascii="Arial" w:hAnsi="Arial" w:cs="Arial"/>
          <w:sz w:val="20"/>
          <w:szCs w:val="20"/>
        </w:rPr>
        <w:lastRenderedPageBreak/>
        <w:t>Top hat plans which are unfunded or insured and benefit only a select group of management or highly compensated employees</w:t>
      </w:r>
    </w:p>
    <w:p w14:paraId="6464EE4C" w14:textId="77777777" w:rsidR="006E7881" w:rsidRPr="009D1AD4" w:rsidRDefault="006E7881" w:rsidP="004C6CEA">
      <w:pPr>
        <w:numPr>
          <w:ilvl w:val="0"/>
          <w:numId w:val="4"/>
        </w:numPr>
        <w:spacing w:after="200"/>
        <w:rPr>
          <w:rFonts w:ascii="Arial" w:hAnsi="Arial" w:cs="Arial"/>
          <w:sz w:val="20"/>
          <w:szCs w:val="20"/>
        </w:rPr>
      </w:pPr>
      <w:r w:rsidRPr="009D1AD4">
        <w:rPr>
          <w:rFonts w:ascii="Arial" w:hAnsi="Arial" w:cs="Arial"/>
          <w:sz w:val="20"/>
          <w:szCs w:val="20"/>
        </w:rPr>
        <w:t>Small insured or unfunded welfare plans. A welfare plan with fewer than 100 participants at the beginning of the plan year is not required to file an annual report if the plan is fully insured, entirely unfunded, or both.</w:t>
      </w:r>
    </w:p>
    <w:p w14:paraId="778FB62F" w14:textId="2FA24972" w:rsidR="006E7881" w:rsidRDefault="006E7881" w:rsidP="004C6CEA">
      <w:pPr>
        <w:spacing w:after="200"/>
        <w:rPr>
          <w:rFonts w:ascii="Arial" w:hAnsi="Arial" w:cs="Arial"/>
          <w:sz w:val="20"/>
          <w:szCs w:val="20"/>
        </w:rPr>
      </w:pPr>
      <w:r w:rsidRPr="009D1AD4">
        <w:rPr>
          <w:rFonts w:ascii="Arial" w:hAnsi="Arial" w:cs="Arial"/>
          <w:sz w:val="20"/>
          <w:szCs w:val="20"/>
        </w:rPr>
        <w:t>A plan is considered unfunded if the employer pays the entire cost of the plan from its general accounts.</w:t>
      </w:r>
      <w:r w:rsidR="00055049">
        <w:rPr>
          <w:rFonts w:ascii="Arial" w:hAnsi="Arial" w:cs="Arial"/>
          <w:sz w:val="20"/>
          <w:szCs w:val="20"/>
        </w:rPr>
        <w:t xml:space="preserve"> </w:t>
      </w:r>
      <w:r w:rsidRPr="009D1AD4">
        <w:rPr>
          <w:rFonts w:ascii="Arial" w:hAnsi="Arial" w:cs="Arial"/>
          <w:sz w:val="20"/>
          <w:szCs w:val="20"/>
        </w:rPr>
        <w:t>A plan with a trust is considered funded.</w:t>
      </w:r>
    </w:p>
    <w:p w14:paraId="2D5AE45F" w14:textId="13F19117" w:rsidR="006E7881" w:rsidRPr="009D1AD4" w:rsidRDefault="006E7881" w:rsidP="004C6CEA">
      <w:pPr>
        <w:spacing w:after="200"/>
        <w:rPr>
          <w:rFonts w:ascii="Arial" w:hAnsi="Arial" w:cs="Arial"/>
          <w:sz w:val="20"/>
          <w:szCs w:val="20"/>
        </w:rPr>
      </w:pPr>
      <w:r w:rsidRPr="009D1AD4">
        <w:rPr>
          <w:rFonts w:ascii="Arial" w:hAnsi="Arial" w:cs="Arial"/>
          <w:sz w:val="20"/>
          <w:szCs w:val="20"/>
        </w:rPr>
        <w:t>For smaller groups that are self-funded or partially self-funded, you'd need to ask them whether the plan is funded or unfunded.</w:t>
      </w:r>
      <w:r w:rsidR="00055049">
        <w:rPr>
          <w:rFonts w:ascii="Arial" w:hAnsi="Arial" w:cs="Arial"/>
          <w:sz w:val="20"/>
          <w:szCs w:val="20"/>
        </w:rPr>
        <w:t xml:space="preserve"> </w:t>
      </w:r>
      <w:r w:rsidRPr="009D1AD4">
        <w:rPr>
          <w:rFonts w:ascii="Arial" w:hAnsi="Arial" w:cs="Arial"/>
          <w:sz w:val="20"/>
          <w:szCs w:val="20"/>
        </w:rPr>
        <w:t>If the employer pays the cost of the plan from general assets, then it is considered unfunded and essentially there is no trust. If the employer pays the cost of the plan from a specific account (in which plan participant contributions are segregated from general assets), then the plan is considered funded.</w:t>
      </w:r>
    </w:p>
    <w:p w14:paraId="66682238" w14:textId="6C17BE37" w:rsidR="00055049" w:rsidRDefault="00055049">
      <w:bookmarkStart w:id="12" w:name="_Toc12890038"/>
      <w:bookmarkStart w:id="13" w:name="_Toc12890154"/>
      <w:bookmarkStart w:id="14" w:name="_Toc12890535"/>
    </w:p>
    <w:tbl>
      <w:tblPr>
        <w:tblW w:w="9360" w:type="dxa"/>
        <w:shd w:val="clear" w:color="auto" w:fill="001BBA"/>
        <w:tblCellMar>
          <w:top w:w="86" w:type="dxa"/>
          <w:left w:w="115" w:type="dxa"/>
          <w:bottom w:w="86" w:type="dxa"/>
          <w:right w:w="115" w:type="dxa"/>
        </w:tblCellMar>
        <w:tblLook w:val="01E0" w:firstRow="1" w:lastRow="1" w:firstColumn="1" w:lastColumn="1" w:noHBand="0" w:noVBand="0"/>
      </w:tblPr>
      <w:tblGrid>
        <w:gridCol w:w="9360"/>
      </w:tblGrid>
      <w:tr w:rsidR="00FE74CA" w:rsidRPr="00C04F07" w14:paraId="4CA17B69" w14:textId="77777777" w:rsidTr="00A14E50">
        <w:trPr>
          <w:trHeight w:val="144"/>
        </w:trPr>
        <w:tc>
          <w:tcPr>
            <w:tcW w:w="9360" w:type="dxa"/>
            <w:shd w:val="clear" w:color="auto" w:fill="001BBA"/>
            <w:vAlign w:val="center"/>
          </w:tcPr>
          <w:p w14:paraId="46F8AA13" w14:textId="2FB5A42D" w:rsidR="00FE74CA" w:rsidRPr="00C04F07" w:rsidRDefault="00FE74CA" w:rsidP="00A14E50">
            <w:pPr>
              <w:pStyle w:val="Heading2"/>
              <w:rPr>
                <w:i w:val="0"/>
                <w:iCs/>
                <w:color w:val="auto"/>
              </w:rPr>
            </w:pPr>
            <w:r>
              <w:rPr>
                <w:i w:val="0"/>
                <w:iCs/>
                <w:color w:val="auto"/>
                <w:szCs w:val="22"/>
              </w:rPr>
              <w:t>Fees &amp; Taxes</w:t>
            </w:r>
            <w:bookmarkEnd w:id="12"/>
            <w:bookmarkEnd w:id="13"/>
            <w:bookmarkEnd w:id="14"/>
          </w:p>
        </w:tc>
      </w:tr>
    </w:tbl>
    <w:p w14:paraId="469E6E42" w14:textId="77777777" w:rsidR="00FE74CA" w:rsidRPr="00535CAE" w:rsidRDefault="00FE74CA" w:rsidP="001204C3">
      <w:pPr>
        <w:rPr>
          <w:rFonts w:ascii="Arial" w:hAnsi="Arial" w:cs="Arial"/>
          <w:sz w:val="20"/>
          <w:szCs w:val="20"/>
        </w:rPr>
      </w:pPr>
    </w:p>
    <w:p w14:paraId="293D09FC" w14:textId="3BFBF2D5" w:rsidR="00A703EE" w:rsidRDefault="00A703EE" w:rsidP="004C6CEA">
      <w:pPr>
        <w:spacing w:after="200"/>
        <w:rPr>
          <w:rFonts w:ascii="Arial" w:hAnsi="Arial" w:cs="Arial"/>
          <w:color w:val="000000"/>
          <w:sz w:val="20"/>
          <w:szCs w:val="20"/>
        </w:rPr>
      </w:pPr>
      <w:r w:rsidRPr="00C5063D">
        <w:rPr>
          <w:rFonts w:ascii="Arial" w:hAnsi="Arial" w:cs="Arial"/>
          <w:b/>
          <w:bCs/>
          <w:color w:val="001BBA"/>
          <w:sz w:val="22"/>
          <w:szCs w:val="22"/>
        </w:rPr>
        <w:t>Question:</w:t>
      </w:r>
      <w:r w:rsidRPr="009D1AD4">
        <w:rPr>
          <w:rFonts w:ascii="Arial" w:hAnsi="Arial" w:cs="Arial"/>
          <w:b/>
          <w:bCs/>
          <w:color w:val="000000"/>
          <w:sz w:val="20"/>
          <w:szCs w:val="20"/>
        </w:rPr>
        <w:t xml:space="preserve"> </w:t>
      </w:r>
      <w:r w:rsidRPr="009D1AD4">
        <w:rPr>
          <w:rFonts w:ascii="Arial" w:hAnsi="Arial" w:cs="Arial"/>
          <w:color w:val="000000"/>
          <w:sz w:val="20"/>
          <w:szCs w:val="20"/>
        </w:rPr>
        <w:t xml:space="preserve">How does an employer pay its </w:t>
      </w:r>
      <w:r w:rsidR="00D40223">
        <w:rPr>
          <w:rFonts w:ascii="Arial" w:hAnsi="Arial" w:cs="Arial"/>
          <w:color w:val="000000"/>
          <w:sz w:val="20"/>
          <w:szCs w:val="20"/>
        </w:rPr>
        <w:t>Patient Centered Outcomes Research Initiative (</w:t>
      </w:r>
      <w:r w:rsidRPr="009D1AD4">
        <w:rPr>
          <w:rFonts w:ascii="Arial" w:hAnsi="Arial" w:cs="Arial"/>
          <w:color w:val="000000"/>
          <w:sz w:val="20"/>
          <w:szCs w:val="20"/>
        </w:rPr>
        <w:t>PCORI</w:t>
      </w:r>
      <w:r w:rsidR="00D40223">
        <w:rPr>
          <w:rFonts w:ascii="Arial" w:hAnsi="Arial" w:cs="Arial"/>
          <w:color w:val="000000"/>
          <w:sz w:val="20"/>
          <w:szCs w:val="20"/>
        </w:rPr>
        <w:t>)</w:t>
      </w:r>
      <w:r w:rsidRPr="009D1AD4">
        <w:rPr>
          <w:rFonts w:ascii="Arial" w:hAnsi="Arial" w:cs="Arial"/>
          <w:color w:val="000000"/>
          <w:sz w:val="20"/>
          <w:szCs w:val="20"/>
        </w:rPr>
        <w:t xml:space="preserve"> fee when it moves from a non-calendar plan year to a calendar year plan using a short plan year? The employer had a self-funded plan from 7</w:t>
      </w:r>
      <w:r w:rsidR="00D40223">
        <w:rPr>
          <w:rFonts w:ascii="Arial" w:hAnsi="Arial" w:cs="Arial"/>
          <w:color w:val="000000"/>
          <w:sz w:val="20"/>
          <w:szCs w:val="20"/>
        </w:rPr>
        <w:t>/</w:t>
      </w:r>
      <w:r w:rsidRPr="009D1AD4">
        <w:rPr>
          <w:rFonts w:ascii="Arial" w:hAnsi="Arial" w:cs="Arial"/>
          <w:color w:val="000000"/>
          <w:sz w:val="20"/>
          <w:szCs w:val="20"/>
        </w:rPr>
        <w:t>1</w:t>
      </w:r>
      <w:r w:rsidR="00D40223">
        <w:rPr>
          <w:rFonts w:ascii="Arial" w:hAnsi="Arial" w:cs="Arial"/>
          <w:color w:val="000000"/>
          <w:sz w:val="20"/>
          <w:szCs w:val="20"/>
        </w:rPr>
        <w:t>/20</w:t>
      </w:r>
      <w:r w:rsidRPr="009D1AD4">
        <w:rPr>
          <w:rFonts w:ascii="Arial" w:hAnsi="Arial" w:cs="Arial"/>
          <w:color w:val="000000"/>
          <w:sz w:val="20"/>
          <w:szCs w:val="20"/>
        </w:rPr>
        <w:t>17 to 6</w:t>
      </w:r>
      <w:r w:rsidR="00D40223">
        <w:rPr>
          <w:rFonts w:ascii="Arial" w:hAnsi="Arial" w:cs="Arial"/>
          <w:color w:val="000000"/>
          <w:sz w:val="20"/>
          <w:szCs w:val="20"/>
        </w:rPr>
        <w:t>/</w:t>
      </w:r>
      <w:r w:rsidRPr="009D1AD4">
        <w:rPr>
          <w:rFonts w:ascii="Arial" w:hAnsi="Arial" w:cs="Arial"/>
          <w:color w:val="000000"/>
          <w:sz w:val="20"/>
          <w:szCs w:val="20"/>
        </w:rPr>
        <w:t>30</w:t>
      </w:r>
      <w:r w:rsidR="00D40223">
        <w:rPr>
          <w:rFonts w:ascii="Arial" w:hAnsi="Arial" w:cs="Arial"/>
          <w:color w:val="000000"/>
          <w:sz w:val="20"/>
          <w:szCs w:val="20"/>
        </w:rPr>
        <w:t>/20</w:t>
      </w:r>
      <w:r w:rsidRPr="009D1AD4">
        <w:rPr>
          <w:rFonts w:ascii="Arial" w:hAnsi="Arial" w:cs="Arial"/>
          <w:color w:val="000000"/>
          <w:sz w:val="20"/>
          <w:szCs w:val="20"/>
        </w:rPr>
        <w:t>18, and a short plan year from 7</w:t>
      </w:r>
      <w:r w:rsidR="00D40223">
        <w:rPr>
          <w:rFonts w:ascii="Arial" w:hAnsi="Arial" w:cs="Arial"/>
          <w:color w:val="000000"/>
          <w:sz w:val="20"/>
          <w:szCs w:val="20"/>
        </w:rPr>
        <w:t>/</w:t>
      </w:r>
      <w:r w:rsidRPr="009D1AD4">
        <w:rPr>
          <w:rFonts w:ascii="Arial" w:hAnsi="Arial" w:cs="Arial"/>
          <w:color w:val="000000"/>
          <w:sz w:val="20"/>
          <w:szCs w:val="20"/>
        </w:rPr>
        <w:t>1</w:t>
      </w:r>
      <w:r w:rsidR="00D40223">
        <w:rPr>
          <w:rFonts w:ascii="Arial" w:hAnsi="Arial" w:cs="Arial"/>
          <w:color w:val="000000"/>
          <w:sz w:val="20"/>
          <w:szCs w:val="20"/>
        </w:rPr>
        <w:t>/20</w:t>
      </w:r>
      <w:r w:rsidRPr="009D1AD4">
        <w:rPr>
          <w:rFonts w:ascii="Arial" w:hAnsi="Arial" w:cs="Arial"/>
          <w:color w:val="000000"/>
          <w:sz w:val="20"/>
          <w:szCs w:val="20"/>
        </w:rPr>
        <w:t>18 to 12</w:t>
      </w:r>
      <w:r w:rsidR="00D40223">
        <w:rPr>
          <w:rFonts w:ascii="Arial" w:hAnsi="Arial" w:cs="Arial"/>
          <w:color w:val="000000"/>
          <w:sz w:val="20"/>
          <w:szCs w:val="20"/>
        </w:rPr>
        <w:t>/</w:t>
      </w:r>
      <w:r w:rsidRPr="009D1AD4">
        <w:rPr>
          <w:rFonts w:ascii="Arial" w:hAnsi="Arial" w:cs="Arial"/>
          <w:color w:val="000000"/>
          <w:sz w:val="20"/>
          <w:szCs w:val="20"/>
        </w:rPr>
        <w:t>31</w:t>
      </w:r>
      <w:r w:rsidR="00D40223">
        <w:rPr>
          <w:rFonts w:ascii="Arial" w:hAnsi="Arial" w:cs="Arial"/>
          <w:color w:val="000000"/>
          <w:sz w:val="20"/>
          <w:szCs w:val="20"/>
        </w:rPr>
        <w:t>/20</w:t>
      </w:r>
      <w:r w:rsidRPr="009D1AD4">
        <w:rPr>
          <w:rFonts w:ascii="Arial" w:hAnsi="Arial" w:cs="Arial"/>
          <w:color w:val="000000"/>
          <w:sz w:val="20"/>
          <w:szCs w:val="20"/>
        </w:rPr>
        <w:t>18. Now the employer is on a calendar year plan.</w:t>
      </w:r>
    </w:p>
    <w:p w14:paraId="23F6C8D3" w14:textId="370A5518" w:rsidR="00A703EE" w:rsidRPr="009D1AD4" w:rsidRDefault="00A703EE" w:rsidP="004C6CEA">
      <w:pPr>
        <w:spacing w:after="200"/>
        <w:rPr>
          <w:rFonts w:ascii="Arial" w:hAnsi="Arial" w:cs="Arial"/>
          <w:sz w:val="20"/>
          <w:szCs w:val="20"/>
        </w:rPr>
      </w:pPr>
      <w:r w:rsidRPr="009D1AD4">
        <w:rPr>
          <w:rFonts w:ascii="Arial" w:hAnsi="Arial" w:cs="Arial"/>
          <w:b/>
          <w:bCs/>
          <w:sz w:val="20"/>
          <w:szCs w:val="20"/>
        </w:rPr>
        <w:t>Answer:</w:t>
      </w:r>
      <w:r w:rsidRPr="009D1AD4">
        <w:rPr>
          <w:rFonts w:ascii="Arial" w:hAnsi="Arial" w:cs="Arial"/>
          <w:sz w:val="20"/>
          <w:szCs w:val="20"/>
        </w:rPr>
        <w:t xml:space="preserve"> The employer</w:t>
      </w:r>
      <w:r w:rsidR="00055049">
        <w:rPr>
          <w:rFonts w:ascii="Arial" w:hAnsi="Arial" w:cs="Arial"/>
          <w:sz w:val="20"/>
          <w:szCs w:val="20"/>
        </w:rPr>
        <w:t xml:space="preserve"> </w:t>
      </w:r>
      <w:r w:rsidRPr="009D1AD4">
        <w:rPr>
          <w:rFonts w:ascii="Arial" w:hAnsi="Arial" w:cs="Arial"/>
          <w:sz w:val="20"/>
          <w:szCs w:val="20"/>
        </w:rPr>
        <w:t>would use the $2.45/person</w:t>
      </w:r>
      <w:r w:rsidR="00055049">
        <w:rPr>
          <w:rFonts w:ascii="Arial" w:hAnsi="Arial" w:cs="Arial"/>
          <w:sz w:val="20"/>
          <w:szCs w:val="20"/>
        </w:rPr>
        <w:t xml:space="preserve"> </w:t>
      </w:r>
      <w:r w:rsidRPr="009D1AD4">
        <w:rPr>
          <w:rFonts w:ascii="Arial" w:hAnsi="Arial" w:cs="Arial"/>
          <w:sz w:val="20"/>
          <w:szCs w:val="20"/>
        </w:rPr>
        <w:t>PCORI</w:t>
      </w:r>
      <w:r w:rsidR="00055049">
        <w:rPr>
          <w:rFonts w:ascii="Arial" w:hAnsi="Arial" w:cs="Arial"/>
          <w:sz w:val="20"/>
          <w:szCs w:val="20"/>
        </w:rPr>
        <w:t xml:space="preserve"> </w:t>
      </w:r>
      <w:r w:rsidRPr="009D1AD4">
        <w:rPr>
          <w:rFonts w:ascii="Arial" w:hAnsi="Arial" w:cs="Arial"/>
          <w:sz w:val="20"/>
          <w:szCs w:val="20"/>
        </w:rPr>
        <w:t>fee on the six-month</w:t>
      </w:r>
      <w:r w:rsidR="00055049">
        <w:rPr>
          <w:rFonts w:ascii="Arial" w:hAnsi="Arial" w:cs="Arial"/>
          <w:sz w:val="20"/>
          <w:szCs w:val="20"/>
        </w:rPr>
        <w:t xml:space="preserve"> </w:t>
      </w:r>
      <w:r w:rsidRPr="009D1AD4">
        <w:rPr>
          <w:rFonts w:ascii="Arial" w:hAnsi="Arial" w:cs="Arial"/>
          <w:sz w:val="20"/>
          <w:szCs w:val="20"/>
        </w:rPr>
        <w:t>short</w:t>
      </w:r>
      <w:r w:rsidR="00055049">
        <w:rPr>
          <w:rFonts w:ascii="Arial" w:hAnsi="Arial" w:cs="Arial"/>
          <w:sz w:val="20"/>
          <w:szCs w:val="20"/>
        </w:rPr>
        <w:t xml:space="preserve"> </w:t>
      </w:r>
      <w:r w:rsidRPr="009D1AD4">
        <w:rPr>
          <w:rFonts w:ascii="Arial" w:hAnsi="Arial" w:cs="Arial"/>
          <w:sz w:val="20"/>
          <w:szCs w:val="20"/>
        </w:rPr>
        <w:t>plan</w:t>
      </w:r>
      <w:r w:rsidR="00055049">
        <w:rPr>
          <w:rFonts w:ascii="Arial" w:hAnsi="Arial" w:cs="Arial"/>
          <w:sz w:val="20"/>
          <w:szCs w:val="20"/>
        </w:rPr>
        <w:t xml:space="preserve"> </w:t>
      </w:r>
      <w:r w:rsidRPr="009D1AD4">
        <w:rPr>
          <w:rFonts w:ascii="Arial" w:hAnsi="Arial" w:cs="Arial"/>
          <w:sz w:val="20"/>
          <w:szCs w:val="20"/>
        </w:rPr>
        <w:t>year (7/1/18-12/31/18). The employer would use the $2.39/person PCORI fee on the 12-month plan year (7/1/17-6/30/18). The</w:t>
      </w:r>
      <w:r w:rsidR="00055049">
        <w:rPr>
          <w:rFonts w:ascii="Arial" w:hAnsi="Arial" w:cs="Arial"/>
          <w:sz w:val="20"/>
          <w:szCs w:val="20"/>
        </w:rPr>
        <w:t xml:space="preserve"> </w:t>
      </w:r>
      <w:r w:rsidRPr="009D1AD4">
        <w:rPr>
          <w:rFonts w:ascii="Arial" w:hAnsi="Arial" w:cs="Arial"/>
          <w:sz w:val="20"/>
          <w:szCs w:val="20"/>
        </w:rPr>
        <w:t>PCORI</w:t>
      </w:r>
      <w:r w:rsidR="00055049">
        <w:rPr>
          <w:rFonts w:ascii="Arial" w:hAnsi="Arial" w:cs="Arial"/>
          <w:sz w:val="20"/>
          <w:szCs w:val="20"/>
        </w:rPr>
        <w:t xml:space="preserve"> </w:t>
      </w:r>
      <w:r w:rsidRPr="009D1AD4">
        <w:rPr>
          <w:rFonts w:ascii="Arial" w:hAnsi="Arial" w:cs="Arial"/>
          <w:sz w:val="20"/>
          <w:szCs w:val="20"/>
        </w:rPr>
        <w:t>fee for the</w:t>
      </w:r>
      <w:r w:rsidR="00055049">
        <w:rPr>
          <w:rFonts w:ascii="Arial" w:hAnsi="Arial" w:cs="Arial"/>
          <w:sz w:val="20"/>
          <w:szCs w:val="20"/>
        </w:rPr>
        <w:t xml:space="preserve"> </w:t>
      </w:r>
      <w:r w:rsidRPr="009D1AD4">
        <w:rPr>
          <w:rFonts w:ascii="Arial" w:hAnsi="Arial" w:cs="Arial"/>
          <w:sz w:val="20"/>
          <w:szCs w:val="20"/>
        </w:rPr>
        <w:t>short plan</w:t>
      </w:r>
      <w:r w:rsidR="00055049">
        <w:rPr>
          <w:rFonts w:ascii="Arial" w:hAnsi="Arial" w:cs="Arial"/>
          <w:sz w:val="20"/>
          <w:szCs w:val="20"/>
        </w:rPr>
        <w:t xml:space="preserve"> </w:t>
      </w:r>
      <w:r w:rsidRPr="009D1AD4">
        <w:rPr>
          <w:rFonts w:ascii="Arial" w:hAnsi="Arial" w:cs="Arial"/>
          <w:sz w:val="20"/>
          <w:szCs w:val="20"/>
        </w:rPr>
        <w:t>year and 12-month</w:t>
      </w:r>
      <w:r w:rsidR="00055049">
        <w:rPr>
          <w:rFonts w:ascii="Arial" w:hAnsi="Arial" w:cs="Arial"/>
          <w:sz w:val="20"/>
          <w:szCs w:val="20"/>
        </w:rPr>
        <w:t xml:space="preserve"> </w:t>
      </w:r>
      <w:r w:rsidRPr="009D1AD4">
        <w:rPr>
          <w:rFonts w:ascii="Arial" w:hAnsi="Arial" w:cs="Arial"/>
          <w:sz w:val="20"/>
          <w:szCs w:val="20"/>
        </w:rPr>
        <w:t>plan</w:t>
      </w:r>
      <w:r w:rsidR="00055049">
        <w:rPr>
          <w:rFonts w:ascii="Arial" w:hAnsi="Arial" w:cs="Arial"/>
          <w:sz w:val="20"/>
          <w:szCs w:val="20"/>
        </w:rPr>
        <w:t xml:space="preserve"> </w:t>
      </w:r>
      <w:r w:rsidRPr="009D1AD4">
        <w:rPr>
          <w:rFonts w:ascii="Arial" w:hAnsi="Arial" w:cs="Arial"/>
          <w:sz w:val="20"/>
          <w:szCs w:val="20"/>
        </w:rPr>
        <w:t>year</w:t>
      </w:r>
      <w:r w:rsidR="00055049">
        <w:rPr>
          <w:rFonts w:ascii="Arial" w:hAnsi="Arial" w:cs="Arial"/>
          <w:sz w:val="20"/>
          <w:szCs w:val="20"/>
        </w:rPr>
        <w:t xml:space="preserve"> </w:t>
      </w:r>
      <w:r w:rsidRPr="009D1AD4">
        <w:rPr>
          <w:rFonts w:ascii="Arial" w:hAnsi="Arial" w:cs="Arial"/>
          <w:sz w:val="20"/>
          <w:szCs w:val="20"/>
        </w:rPr>
        <w:t>would be filed on the same Form 720 that is due by July 31, 2019.</w:t>
      </w:r>
    </w:p>
    <w:p w14:paraId="37D91219" w14:textId="77777777" w:rsidR="00A703EE" w:rsidRPr="009D1AD4" w:rsidRDefault="00A703EE" w:rsidP="004C6CEA">
      <w:pPr>
        <w:spacing w:after="200"/>
        <w:rPr>
          <w:rFonts w:ascii="Arial" w:hAnsi="Arial" w:cs="Arial"/>
          <w:sz w:val="20"/>
          <w:szCs w:val="20"/>
        </w:rPr>
      </w:pPr>
      <w:r w:rsidRPr="009D1AD4">
        <w:rPr>
          <w:rFonts w:ascii="Arial" w:hAnsi="Arial" w:cs="Arial"/>
          <w:b/>
          <w:bCs/>
          <w:sz w:val="20"/>
          <w:szCs w:val="20"/>
        </w:rPr>
        <w:t>Educational Information</w:t>
      </w:r>
    </w:p>
    <w:p w14:paraId="6D530E01" w14:textId="210E2758" w:rsidR="00A703EE" w:rsidRPr="009D1AD4" w:rsidRDefault="00A703EE" w:rsidP="004C6CEA">
      <w:pPr>
        <w:spacing w:after="200"/>
        <w:rPr>
          <w:rFonts w:ascii="Arial" w:hAnsi="Arial" w:cs="Arial"/>
          <w:sz w:val="20"/>
          <w:szCs w:val="20"/>
        </w:rPr>
      </w:pPr>
      <w:r w:rsidRPr="009D1AD4">
        <w:rPr>
          <w:rFonts w:ascii="Arial" w:hAnsi="Arial" w:cs="Arial"/>
          <w:sz w:val="20"/>
          <w:szCs w:val="20"/>
        </w:rPr>
        <w:t>From the IRS’</w:t>
      </w:r>
      <w:r w:rsidR="00055049">
        <w:rPr>
          <w:rFonts w:ascii="Arial" w:hAnsi="Arial" w:cs="Arial"/>
          <w:sz w:val="20"/>
          <w:szCs w:val="20"/>
        </w:rPr>
        <w:t xml:space="preserve"> </w:t>
      </w:r>
      <w:hyperlink r:id="rId30" w:tooltip="https://www.irs.gov/affordable-care-act/patient-centered-outcomes-research-trust-fund-fee-questions-and-answers" w:history="1">
        <w:r w:rsidRPr="009D1AD4">
          <w:rPr>
            <w:rStyle w:val="Hyperlink"/>
            <w:color w:val="954F72"/>
          </w:rPr>
          <w:t>Patient-Centered Outcomes Research Trust Fund Fee (IRC 4375, 4376 and 4377) Questions and Answers</w:t>
        </w:r>
      </w:hyperlink>
      <w:r w:rsidRPr="009D1AD4">
        <w:rPr>
          <w:rFonts w:ascii="Arial" w:hAnsi="Arial" w:cs="Arial"/>
          <w:sz w:val="20"/>
          <w:szCs w:val="20"/>
        </w:rPr>
        <w:t>:</w:t>
      </w:r>
    </w:p>
    <w:p w14:paraId="7895A0F9" w14:textId="3DD03484" w:rsidR="00A703EE" w:rsidRPr="009D1AD4" w:rsidRDefault="00A703EE" w:rsidP="00D40223">
      <w:pPr>
        <w:spacing w:after="200"/>
        <w:ind w:left="360"/>
        <w:rPr>
          <w:rFonts w:ascii="Arial" w:hAnsi="Arial" w:cs="Arial"/>
          <w:sz w:val="20"/>
          <w:szCs w:val="20"/>
        </w:rPr>
      </w:pPr>
      <w:r w:rsidRPr="009D1AD4">
        <w:rPr>
          <w:rFonts w:ascii="Arial" w:hAnsi="Arial" w:cs="Arial"/>
          <w:b/>
          <w:bCs/>
          <w:sz w:val="20"/>
          <w:szCs w:val="20"/>
        </w:rPr>
        <w:t>Q12. Does the</w:t>
      </w:r>
      <w:r w:rsidR="00055049">
        <w:rPr>
          <w:rFonts w:ascii="Arial" w:hAnsi="Arial" w:cs="Arial"/>
          <w:b/>
          <w:bCs/>
          <w:sz w:val="20"/>
          <w:szCs w:val="20"/>
        </w:rPr>
        <w:t xml:space="preserve"> </w:t>
      </w:r>
      <w:r w:rsidRPr="009D1AD4">
        <w:rPr>
          <w:rFonts w:ascii="Arial" w:hAnsi="Arial" w:cs="Arial"/>
          <w:b/>
          <w:bCs/>
          <w:sz w:val="20"/>
          <w:szCs w:val="20"/>
        </w:rPr>
        <w:t>PCORI</w:t>
      </w:r>
      <w:r w:rsidR="00055049">
        <w:rPr>
          <w:rFonts w:ascii="Arial" w:hAnsi="Arial" w:cs="Arial"/>
          <w:b/>
          <w:bCs/>
          <w:sz w:val="20"/>
          <w:szCs w:val="20"/>
        </w:rPr>
        <w:t xml:space="preserve"> </w:t>
      </w:r>
      <w:r w:rsidRPr="009D1AD4">
        <w:rPr>
          <w:rFonts w:ascii="Arial" w:hAnsi="Arial" w:cs="Arial"/>
          <w:b/>
          <w:bCs/>
          <w:sz w:val="20"/>
          <w:szCs w:val="20"/>
        </w:rPr>
        <w:t>fee apply to an applicable self-insured health</w:t>
      </w:r>
      <w:r w:rsidR="00055049">
        <w:rPr>
          <w:rFonts w:ascii="Arial" w:hAnsi="Arial" w:cs="Arial"/>
          <w:b/>
          <w:bCs/>
          <w:sz w:val="20"/>
          <w:szCs w:val="20"/>
        </w:rPr>
        <w:t xml:space="preserve"> </w:t>
      </w:r>
      <w:r w:rsidRPr="009D1AD4">
        <w:rPr>
          <w:rFonts w:ascii="Arial" w:hAnsi="Arial" w:cs="Arial"/>
          <w:b/>
          <w:bCs/>
          <w:sz w:val="20"/>
          <w:szCs w:val="20"/>
        </w:rPr>
        <w:t>plan</w:t>
      </w:r>
      <w:r w:rsidR="00055049">
        <w:rPr>
          <w:rFonts w:ascii="Arial" w:hAnsi="Arial" w:cs="Arial"/>
          <w:b/>
          <w:bCs/>
          <w:sz w:val="20"/>
          <w:szCs w:val="20"/>
        </w:rPr>
        <w:t xml:space="preserve"> </w:t>
      </w:r>
      <w:r w:rsidRPr="009D1AD4">
        <w:rPr>
          <w:rFonts w:ascii="Arial" w:hAnsi="Arial" w:cs="Arial"/>
          <w:b/>
          <w:bCs/>
          <w:sz w:val="20"/>
          <w:szCs w:val="20"/>
        </w:rPr>
        <w:t>that has a</w:t>
      </w:r>
      <w:r w:rsidR="00055049">
        <w:rPr>
          <w:rFonts w:ascii="Arial" w:hAnsi="Arial" w:cs="Arial"/>
          <w:b/>
          <w:bCs/>
          <w:sz w:val="20"/>
          <w:szCs w:val="20"/>
        </w:rPr>
        <w:t xml:space="preserve"> </w:t>
      </w:r>
      <w:r w:rsidRPr="009D1AD4">
        <w:rPr>
          <w:rFonts w:ascii="Arial" w:hAnsi="Arial" w:cs="Arial"/>
          <w:b/>
          <w:bCs/>
          <w:sz w:val="20"/>
          <w:szCs w:val="20"/>
        </w:rPr>
        <w:t>short</w:t>
      </w:r>
      <w:r w:rsidR="00055049">
        <w:rPr>
          <w:rFonts w:ascii="Arial" w:hAnsi="Arial" w:cs="Arial"/>
          <w:b/>
          <w:bCs/>
          <w:sz w:val="20"/>
          <w:szCs w:val="20"/>
        </w:rPr>
        <w:t xml:space="preserve"> </w:t>
      </w:r>
      <w:r w:rsidRPr="009D1AD4">
        <w:rPr>
          <w:rFonts w:ascii="Arial" w:hAnsi="Arial" w:cs="Arial"/>
          <w:b/>
          <w:bCs/>
          <w:sz w:val="20"/>
          <w:szCs w:val="20"/>
        </w:rPr>
        <w:t>plan</w:t>
      </w:r>
      <w:r w:rsidR="00004129">
        <w:rPr>
          <w:rFonts w:ascii="Arial" w:hAnsi="Arial" w:cs="Arial"/>
          <w:b/>
          <w:bCs/>
          <w:sz w:val="20"/>
          <w:szCs w:val="20"/>
        </w:rPr>
        <w:t> </w:t>
      </w:r>
      <w:r w:rsidRPr="009D1AD4">
        <w:rPr>
          <w:rFonts w:ascii="Arial" w:hAnsi="Arial" w:cs="Arial"/>
          <w:b/>
          <w:bCs/>
          <w:sz w:val="20"/>
          <w:szCs w:val="20"/>
        </w:rPr>
        <w:t>year?</w:t>
      </w:r>
    </w:p>
    <w:p w14:paraId="78C276E5" w14:textId="2A682B67" w:rsidR="00A703EE" w:rsidRDefault="00A703EE" w:rsidP="00D40223">
      <w:pPr>
        <w:spacing w:after="200"/>
        <w:ind w:left="360"/>
        <w:rPr>
          <w:rFonts w:ascii="Arial" w:hAnsi="Arial" w:cs="Arial"/>
          <w:sz w:val="20"/>
          <w:szCs w:val="20"/>
        </w:rPr>
      </w:pPr>
      <w:r w:rsidRPr="009D1AD4">
        <w:rPr>
          <w:rFonts w:ascii="Arial" w:hAnsi="Arial" w:cs="Arial"/>
          <w:sz w:val="20"/>
          <w:szCs w:val="20"/>
        </w:rPr>
        <w:t>A12. Yes, the</w:t>
      </w:r>
      <w:r w:rsidR="00055049">
        <w:rPr>
          <w:rFonts w:ascii="Arial" w:hAnsi="Arial" w:cs="Arial"/>
          <w:sz w:val="20"/>
          <w:szCs w:val="20"/>
        </w:rPr>
        <w:t xml:space="preserve"> </w:t>
      </w:r>
      <w:r w:rsidRPr="009D1AD4">
        <w:rPr>
          <w:rFonts w:ascii="Arial" w:hAnsi="Arial" w:cs="Arial"/>
          <w:sz w:val="20"/>
          <w:szCs w:val="20"/>
        </w:rPr>
        <w:t>PCORI</w:t>
      </w:r>
      <w:r w:rsidR="00055049">
        <w:rPr>
          <w:rFonts w:ascii="Arial" w:hAnsi="Arial" w:cs="Arial"/>
          <w:sz w:val="20"/>
          <w:szCs w:val="20"/>
        </w:rPr>
        <w:t xml:space="preserve"> </w:t>
      </w:r>
      <w:r w:rsidRPr="009D1AD4">
        <w:rPr>
          <w:rFonts w:ascii="Arial" w:hAnsi="Arial" w:cs="Arial"/>
          <w:sz w:val="20"/>
          <w:szCs w:val="20"/>
        </w:rPr>
        <w:t>fee applies to a</w:t>
      </w:r>
      <w:r w:rsidR="00055049">
        <w:rPr>
          <w:rFonts w:ascii="Arial" w:hAnsi="Arial" w:cs="Arial"/>
          <w:sz w:val="20"/>
          <w:szCs w:val="20"/>
        </w:rPr>
        <w:t xml:space="preserve"> </w:t>
      </w:r>
      <w:r w:rsidRPr="009D1AD4">
        <w:rPr>
          <w:rFonts w:ascii="Arial" w:hAnsi="Arial" w:cs="Arial"/>
          <w:sz w:val="20"/>
          <w:szCs w:val="20"/>
        </w:rPr>
        <w:t>short</w:t>
      </w:r>
      <w:r w:rsidR="00055049">
        <w:rPr>
          <w:rFonts w:ascii="Arial" w:hAnsi="Arial" w:cs="Arial"/>
          <w:sz w:val="20"/>
          <w:szCs w:val="20"/>
        </w:rPr>
        <w:t xml:space="preserve"> </w:t>
      </w:r>
      <w:r w:rsidRPr="009D1AD4">
        <w:rPr>
          <w:rFonts w:ascii="Arial" w:hAnsi="Arial" w:cs="Arial"/>
          <w:sz w:val="20"/>
          <w:szCs w:val="20"/>
        </w:rPr>
        <w:t>plan</w:t>
      </w:r>
      <w:r w:rsidR="00055049">
        <w:rPr>
          <w:rFonts w:ascii="Arial" w:hAnsi="Arial" w:cs="Arial"/>
          <w:sz w:val="20"/>
          <w:szCs w:val="20"/>
        </w:rPr>
        <w:t xml:space="preserve"> </w:t>
      </w:r>
      <w:r w:rsidRPr="009D1AD4">
        <w:rPr>
          <w:rFonts w:ascii="Arial" w:hAnsi="Arial" w:cs="Arial"/>
          <w:sz w:val="20"/>
          <w:szCs w:val="20"/>
        </w:rPr>
        <w:t>year</w:t>
      </w:r>
      <w:r w:rsidR="00055049">
        <w:rPr>
          <w:rFonts w:ascii="Arial" w:hAnsi="Arial" w:cs="Arial"/>
          <w:sz w:val="20"/>
          <w:szCs w:val="20"/>
        </w:rPr>
        <w:t xml:space="preserve"> </w:t>
      </w:r>
      <w:r w:rsidRPr="009D1AD4">
        <w:rPr>
          <w:rFonts w:ascii="Arial" w:hAnsi="Arial" w:cs="Arial"/>
          <w:sz w:val="20"/>
          <w:szCs w:val="20"/>
        </w:rPr>
        <w:t>of an applicable self-insured health</w:t>
      </w:r>
      <w:r w:rsidR="00055049">
        <w:rPr>
          <w:rFonts w:ascii="Arial" w:hAnsi="Arial" w:cs="Arial"/>
          <w:sz w:val="20"/>
          <w:szCs w:val="20"/>
        </w:rPr>
        <w:t xml:space="preserve"> </w:t>
      </w:r>
      <w:r w:rsidRPr="009D1AD4">
        <w:rPr>
          <w:rFonts w:ascii="Arial" w:hAnsi="Arial" w:cs="Arial"/>
          <w:sz w:val="20"/>
          <w:szCs w:val="20"/>
        </w:rPr>
        <w:t>plan. A</w:t>
      </w:r>
      <w:r w:rsidR="00055049">
        <w:rPr>
          <w:rFonts w:ascii="Arial" w:hAnsi="Arial" w:cs="Arial"/>
          <w:sz w:val="20"/>
          <w:szCs w:val="20"/>
        </w:rPr>
        <w:t xml:space="preserve"> </w:t>
      </w:r>
      <w:r w:rsidRPr="009D1AD4">
        <w:rPr>
          <w:rFonts w:ascii="Arial" w:hAnsi="Arial" w:cs="Arial"/>
          <w:sz w:val="20"/>
          <w:szCs w:val="20"/>
        </w:rPr>
        <w:t>short</w:t>
      </w:r>
      <w:r w:rsidR="00055049">
        <w:rPr>
          <w:rFonts w:ascii="Arial" w:hAnsi="Arial" w:cs="Arial"/>
          <w:sz w:val="20"/>
          <w:szCs w:val="20"/>
        </w:rPr>
        <w:t xml:space="preserve"> </w:t>
      </w:r>
      <w:r w:rsidRPr="009D1AD4">
        <w:rPr>
          <w:rFonts w:ascii="Arial" w:hAnsi="Arial" w:cs="Arial"/>
          <w:sz w:val="20"/>
          <w:szCs w:val="20"/>
        </w:rPr>
        <w:t>plan</w:t>
      </w:r>
      <w:r w:rsidR="00055049">
        <w:rPr>
          <w:rFonts w:ascii="Arial" w:hAnsi="Arial" w:cs="Arial"/>
          <w:sz w:val="20"/>
          <w:szCs w:val="20"/>
        </w:rPr>
        <w:t xml:space="preserve"> </w:t>
      </w:r>
      <w:r w:rsidRPr="009D1AD4">
        <w:rPr>
          <w:rFonts w:ascii="Arial" w:hAnsi="Arial" w:cs="Arial"/>
          <w:sz w:val="20"/>
          <w:szCs w:val="20"/>
        </w:rPr>
        <w:t>year</w:t>
      </w:r>
      <w:r w:rsidR="00055049">
        <w:rPr>
          <w:rFonts w:ascii="Arial" w:hAnsi="Arial" w:cs="Arial"/>
          <w:sz w:val="20"/>
          <w:szCs w:val="20"/>
        </w:rPr>
        <w:t xml:space="preserve"> </w:t>
      </w:r>
      <w:r w:rsidRPr="009D1AD4">
        <w:rPr>
          <w:rFonts w:ascii="Arial" w:hAnsi="Arial" w:cs="Arial"/>
          <w:sz w:val="20"/>
          <w:szCs w:val="20"/>
        </w:rPr>
        <w:t>is a</w:t>
      </w:r>
      <w:r w:rsidR="00055049">
        <w:rPr>
          <w:rFonts w:ascii="Arial" w:hAnsi="Arial" w:cs="Arial"/>
          <w:sz w:val="20"/>
          <w:szCs w:val="20"/>
        </w:rPr>
        <w:t xml:space="preserve"> </w:t>
      </w:r>
      <w:r w:rsidRPr="009D1AD4">
        <w:rPr>
          <w:rFonts w:ascii="Arial" w:hAnsi="Arial" w:cs="Arial"/>
          <w:sz w:val="20"/>
          <w:szCs w:val="20"/>
        </w:rPr>
        <w:t>plan</w:t>
      </w:r>
      <w:r w:rsidR="00055049">
        <w:rPr>
          <w:rFonts w:ascii="Arial" w:hAnsi="Arial" w:cs="Arial"/>
          <w:sz w:val="20"/>
          <w:szCs w:val="20"/>
        </w:rPr>
        <w:t xml:space="preserve"> </w:t>
      </w:r>
      <w:r w:rsidRPr="009D1AD4">
        <w:rPr>
          <w:rFonts w:ascii="Arial" w:hAnsi="Arial" w:cs="Arial"/>
          <w:sz w:val="20"/>
          <w:szCs w:val="20"/>
        </w:rPr>
        <w:t>year that spans fewer than 12 months and may occur for a number of reasons. For example, a newly established applicable self-insured health</w:t>
      </w:r>
      <w:r w:rsidR="00055049">
        <w:rPr>
          <w:rFonts w:ascii="Arial" w:hAnsi="Arial" w:cs="Arial"/>
          <w:sz w:val="20"/>
          <w:szCs w:val="20"/>
        </w:rPr>
        <w:t xml:space="preserve"> </w:t>
      </w:r>
      <w:r w:rsidRPr="009D1AD4">
        <w:rPr>
          <w:rFonts w:ascii="Arial" w:hAnsi="Arial" w:cs="Arial"/>
          <w:sz w:val="20"/>
          <w:szCs w:val="20"/>
        </w:rPr>
        <w:t>plan</w:t>
      </w:r>
      <w:r w:rsidR="00055049">
        <w:rPr>
          <w:rFonts w:ascii="Arial" w:hAnsi="Arial" w:cs="Arial"/>
          <w:sz w:val="20"/>
          <w:szCs w:val="20"/>
        </w:rPr>
        <w:t xml:space="preserve"> </w:t>
      </w:r>
      <w:r w:rsidRPr="009D1AD4">
        <w:rPr>
          <w:rFonts w:ascii="Arial" w:hAnsi="Arial" w:cs="Arial"/>
          <w:sz w:val="20"/>
          <w:szCs w:val="20"/>
        </w:rPr>
        <w:t>that operates using a calendar</w:t>
      </w:r>
      <w:r w:rsidR="00055049">
        <w:rPr>
          <w:rFonts w:ascii="Arial" w:hAnsi="Arial" w:cs="Arial"/>
          <w:sz w:val="20"/>
          <w:szCs w:val="20"/>
        </w:rPr>
        <w:t xml:space="preserve"> </w:t>
      </w:r>
      <w:r w:rsidRPr="009D1AD4">
        <w:rPr>
          <w:rFonts w:ascii="Arial" w:hAnsi="Arial" w:cs="Arial"/>
          <w:sz w:val="20"/>
          <w:szCs w:val="20"/>
        </w:rPr>
        <w:t>year</w:t>
      </w:r>
      <w:r w:rsidR="00055049">
        <w:rPr>
          <w:rFonts w:ascii="Arial" w:hAnsi="Arial" w:cs="Arial"/>
          <w:sz w:val="20"/>
          <w:szCs w:val="20"/>
        </w:rPr>
        <w:t xml:space="preserve"> </w:t>
      </w:r>
      <w:r w:rsidRPr="009D1AD4">
        <w:rPr>
          <w:rFonts w:ascii="Arial" w:hAnsi="Arial" w:cs="Arial"/>
          <w:sz w:val="20"/>
          <w:szCs w:val="20"/>
        </w:rPr>
        <w:t>has a</w:t>
      </w:r>
      <w:r w:rsidR="00055049">
        <w:rPr>
          <w:rFonts w:ascii="Arial" w:hAnsi="Arial" w:cs="Arial"/>
          <w:sz w:val="20"/>
          <w:szCs w:val="20"/>
        </w:rPr>
        <w:t xml:space="preserve"> </w:t>
      </w:r>
      <w:r w:rsidRPr="009D1AD4">
        <w:rPr>
          <w:rFonts w:ascii="Arial" w:hAnsi="Arial" w:cs="Arial"/>
          <w:sz w:val="20"/>
          <w:szCs w:val="20"/>
        </w:rPr>
        <w:t>short</w:t>
      </w:r>
      <w:r w:rsidR="00055049">
        <w:rPr>
          <w:rFonts w:ascii="Arial" w:hAnsi="Arial" w:cs="Arial"/>
          <w:sz w:val="20"/>
          <w:szCs w:val="20"/>
        </w:rPr>
        <w:t xml:space="preserve"> </w:t>
      </w:r>
      <w:r w:rsidRPr="009D1AD4">
        <w:rPr>
          <w:rFonts w:ascii="Arial" w:hAnsi="Arial" w:cs="Arial"/>
          <w:sz w:val="20"/>
          <w:szCs w:val="20"/>
        </w:rPr>
        <w:t>plan</w:t>
      </w:r>
      <w:r w:rsidR="00055049">
        <w:rPr>
          <w:rFonts w:ascii="Arial" w:hAnsi="Arial" w:cs="Arial"/>
          <w:sz w:val="20"/>
          <w:szCs w:val="20"/>
        </w:rPr>
        <w:t xml:space="preserve"> </w:t>
      </w:r>
      <w:r w:rsidRPr="009D1AD4">
        <w:rPr>
          <w:rFonts w:ascii="Arial" w:hAnsi="Arial" w:cs="Arial"/>
          <w:sz w:val="20"/>
          <w:szCs w:val="20"/>
        </w:rPr>
        <w:t>year</w:t>
      </w:r>
      <w:r w:rsidR="00055049">
        <w:rPr>
          <w:rFonts w:ascii="Arial" w:hAnsi="Arial" w:cs="Arial"/>
          <w:sz w:val="20"/>
          <w:szCs w:val="20"/>
        </w:rPr>
        <w:t xml:space="preserve"> </w:t>
      </w:r>
      <w:r w:rsidRPr="009D1AD4">
        <w:rPr>
          <w:rFonts w:ascii="Arial" w:hAnsi="Arial" w:cs="Arial"/>
          <w:sz w:val="20"/>
          <w:szCs w:val="20"/>
        </w:rPr>
        <w:t>as its first</w:t>
      </w:r>
      <w:r w:rsidR="00055049">
        <w:rPr>
          <w:rFonts w:ascii="Arial" w:hAnsi="Arial" w:cs="Arial"/>
          <w:sz w:val="20"/>
          <w:szCs w:val="20"/>
        </w:rPr>
        <w:t xml:space="preserve"> </w:t>
      </w:r>
      <w:r w:rsidRPr="009D1AD4">
        <w:rPr>
          <w:rFonts w:ascii="Arial" w:hAnsi="Arial" w:cs="Arial"/>
          <w:sz w:val="20"/>
          <w:szCs w:val="20"/>
        </w:rPr>
        <w:t>year</w:t>
      </w:r>
      <w:r w:rsidR="00055049">
        <w:rPr>
          <w:rFonts w:ascii="Arial" w:hAnsi="Arial" w:cs="Arial"/>
          <w:sz w:val="20"/>
          <w:szCs w:val="20"/>
        </w:rPr>
        <w:t xml:space="preserve"> </w:t>
      </w:r>
      <w:r w:rsidRPr="009D1AD4">
        <w:rPr>
          <w:rFonts w:ascii="Arial" w:hAnsi="Arial" w:cs="Arial"/>
          <w:sz w:val="20"/>
          <w:szCs w:val="20"/>
        </w:rPr>
        <w:t>if it was established and began operating beginning on a day other than Jan. 1. Similarly, a</w:t>
      </w:r>
      <w:r w:rsidR="00055049">
        <w:rPr>
          <w:rFonts w:ascii="Arial" w:hAnsi="Arial" w:cs="Arial"/>
          <w:sz w:val="20"/>
          <w:szCs w:val="20"/>
        </w:rPr>
        <w:t xml:space="preserve"> </w:t>
      </w:r>
      <w:r w:rsidRPr="009D1AD4">
        <w:rPr>
          <w:rFonts w:ascii="Arial" w:hAnsi="Arial" w:cs="Arial"/>
          <w:sz w:val="20"/>
          <w:szCs w:val="20"/>
        </w:rPr>
        <w:t>plan</w:t>
      </w:r>
      <w:r w:rsidR="00055049">
        <w:rPr>
          <w:rFonts w:ascii="Arial" w:hAnsi="Arial" w:cs="Arial"/>
          <w:sz w:val="20"/>
          <w:szCs w:val="20"/>
        </w:rPr>
        <w:t xml:space="preserve"> </w:t>
      </w:r>
      <w:r w:rsidRPr="009D1AD4">
        <w:rPr>
          <w:rFonts w:ascii="Arial" w:hAnsi="Arial" w:cs="Arial"/>
          <w:sz w:val="20"/>
          <w:szCs w:val="20"/>
        </w:rPr>
        <w:t>that operates with a fiscal</w:t>
      </w:r>
      <w:r w:rsidR="00055049">
        <w:rPr>
          <w:rFonts w:ascii="Arial" w:hAnsi="Arial" w:cs="Arial"/>
          <w:sz w:val="20"/>
          <w:szCs w:val="20"/>
        </w:rPr>
        <w:t xml:space="preserve"> </w:t>
      </w:r>
      <w:r w:rsidRPr="009D1AD4">
        <w:rPr>
          <w:rFonts w:ascii="Arial" w:hAnsi="Arial" w:cs="Arial"/>
          <w:sz w:val="20"/>
          <w:szCs w:val="20"/>
        </w:rPr>
        <w:t>plan</w:t>
      </w:r>
      <w:r w:rsidR="00055049">
        <w:rPr>
          <w:rFonts w:ascii="Arial" w:hAnsi="Arial" w:cs="Arial"/>
          <w:sz w:val="20"/>
          <w:szCs w:val="20"/>
        </w:rPr>
        <w:t xml:space="preserve"> </w:t>
      </w:r>
      <w:r w:rsidRPr="009D1AD4">
        <w:rPr>
          <w:rFonts w:ascii="Arial" w:hAnsi="Arial" w:cs="Arial"/>
          <w:sz w:val="20"/>
          <w:szCs w:val="20"/>
        </w:rPr>
        <w:t>year</w:t>
      </w:r>
      <w:r w:rsidR="00055049">
        <w:rPr>
          <w:rFonts w:ascii="Arial" w:hAnsi="Arial" w:cs="Arial"/>
          <w:sz w:val="20"/>
          <w:szCs w:val="20"/>
        </w:rPr>
        <w:t xml:space="preserve"> </w:t>
      </w:r>
      <w:r w:rsidRPr="009D1AD4">
        <w:rPr>
          <w:rFonts w:ascii="Arial" w:hAnsi="Arial" w:cs="Arial"/>
          <w:sz w:val="20"/>
          <w:szCs w:val="20"/>
        </w:rPr>
        <w:t>experiences a</w:t>
      </w:r>
      <w:r w:rsidR="00055049">
        <w:rPr>
          <w:rFonts w:ascii="Arial" w:hAnsi="Arial" w:cs="Arial"/>
          <w:sz w:val="20"/>
          <w:szCs w:val="20"/>
        </w:rPr>
        <w:t xml:space="preserve"> </w:t>
      </w:r>
      <w:r w:rsidRPr="009D1AD4">
        <w:rPr>
          <w:rFonts w:ascii="Arial" w:hAnsi="Arial" w:cs="Arial"/>
          <w:sz w:val="20"/>
          <w:szCs w:val="20"/>
        </w:rPr>
        <w:t>short</w:t>
      </w:r>
      <w:r w:rsidR="00055049">
        <w:rPr>
          <w:rFonts w:ascii="Arial" w:hAnsi="Arial" w:cs="Arial"/>
          <w:sz w:val="20"/>
          <w:szCs w:val="20"/>
        </w:rPr>
        <w:t xml:space="preserve"> </w:t>
      </w:r>
      <w:r w:rsidRPr="009D1AD4">
        <w:rPr>
          <w:rFonts w:ascii="Arial" w:hAnsi="Arial" w:cs="Arial"/>
          <w:sz w:val="20"/>
          <w:szCs w:val="20"/>
        </w:rPr>
        <w:t>plan year</w:t>
      </w:r>
      <w:r w:rsidR="00055049">
        <w:rPr>
          <w:rFonts w:ascii="Arial" w:hAnsi="Arial" w:cs="Arial"/>
          <w:sz w:val="20"/>
          <w:szCs w:val="20"/>
        </w:rPr>
        <w:t xml:space="preserve"> </w:t>
      </w:r>
      <w:r w:rsidRPr="009D1AD4">
        <w:rPr>
          <w:rFonts w:ascii="Arial" w:hAnsi="Arial" w:cs="Arial"/>
          <w:sz w:val="20"/>
          <w:szCs w:val="20"/>
        </w:rPr>
        <w:t>when its</w:t>
      </w:r>
      <w:r w:rsidR="00055049">
        <w:rPr>
          <w:rFonts w:ascii="Arial" w:hAnsi="Arial" w:cs="Arial"/>
          <w:sz w:val="20"/>
          <w:szCs w:val="20"/>
        </w:rPr>
        <w:t xml:space="preserve"> </w:t>
      </w:r>
      <w:r w:rsidRPr="009D1AD4">
        <w:rPr>
          <w:rFonts w:ascii="Arial" w:hAnsi="Arial" w:cs="Arial"/>
          <w:sz w:val="20"/>
          <w:szCs w:val="20"/>
        </w:rPr>
        <w:t>plan</w:t>
      </w:r>
      <w:r w:rsidR="00055049">
        <w:rPr>
          <w:rFonts w:ascii="Arial" w:hAnsi="Arial" w:cs="Arial"/>
          <w:sz w:val="20"/>
          <w:szCs w:val="20"/>
        </w:rPr>
        <w:t xml:space="preserve"> </w:t>
      </w:r>
      <w:r w:rsidRPr="009D1AD4">
        <w:rPr>
          <w:rFonts w:ascii="Arial" w:hAnsi="Arial" w:cs="Arial"/>
          <w:sz w:val="20"/>
          <w:szCs w:val="20"/>
        </w:rPr>
        <w:t>year</w:t>
      </w:r>
      <w:r w:rsidR="00055049">
        <w:rPr>
          <w:rFonts w:ascii="Arial" w:hAnsi="Arial" w:cs="Arial"/>
          <w:sz w:val="20"/>
          <w:szCs w:val="20"/>
        </w:rPr>
        <w:t xml:space="preserve"> </w:t>
      </w:r>
      <w:r w:rsidRPr="009D1AD4">
        <w:rPr>
          <w:rFonts w:ascii="Arial" w:hAnsi="Arial" w:cs="Arial"/>
          <w:sz w:val="20"/>
          <w:szCs w:val="20"/>
        </w:rPr>
        <w:t>is changed to a calendar</w:t>
      </w:r>
      <w:r w:rsidR="00055049">
        <w:rPr>
          <w:rFonts w:ascii="Arial" w:hAnsi="Arial" w:cs="Arial"/>
          <w:sz w:val="20"/>
          <w:szCs w:val="20"/>
        </w:rPr>
        <w:t xml:space="preserve"> </w:t>
      </w:r>
      <w:r w:rsidRPr="009D1AD4">
        <w:rPr>
          <w:rFonts w:ascii="Arial" w:hAnsi="Arial" w:cs="Arial"/>
          <w:sz w:val="20"/>
          <w:szCs w:val="20"/>
        </w:rPr>
        <w:t>year</w:t>
      </w:r>
      <w:r w:rsidR="00055049">
        <w:rPr>
          <w:rFonts w:ascii="Arial" w:hAnsi="Arial" w:cs="Arial"/>
          <w:sz w:val="20"/>
          <w:szCs w:val="20"/>
        </w:rPr>
        <w:t xml:space="preserve"> </w:t>
      </w:r>
      <w:r w:rsidRPr="009D1AD4">
        <w:rPr>
          <w:rFonts w:ascii="Arial" w:hAnsi="Arial" w:cs="Arial"/>
          <w:sz w:val="20"/>
          <w:szCs w:val="20"/>
        </w:rPr>
        <w:t>plan</w:t>
      </w:r>
      <w:r w:rsidR="00055049">
        <w:rPr>
          <w:rFonts w:ascii="Arial" w:hAnsi="Arial" w:cs="Arial"/>
          <w:sz w:val="20"/>
          <w:szCs w:val="20"/>
        </w:rPr>
        <w:t xml:space="preserve"> </w:t>
      </w:r>
      <w:r w:rsidRPr="009D1AD4">
        <w:rPr>
          <w:rFonts w:ascii="Arial" w:hAnsi="Arial" w:cs="Arial"/>
          <w:sz w:val="20"/>
          <w:szCs w:val="20"/>
        </w:rPr>
        <w:t>year.</w:t>
      </w:r>
    </w:p>
    <w:p w14:paraId="6BAC3832" w14:textId="532C301B" w:rsidR="00A703EE" w:rsidRDefault="00A703EE" w:rsidP="00D40223">
      <w:pPr>
        <w:spacing w:after="200"/>
        <w:ind w:left="360"/>
        <w:rPr>
          <w:rFonts w:ascii="Arial" w:hAnsi="Arial" w:cs="Arial"/>
          <w:b/>
          <w:bCs/>
          <w:sz w:val="20"/>
          <w:szCs w:val="20"/>
        </w:rPr>
      </w:pPr>
      <w:r w:rsidRPr="009D1AD4">
        <w:rPr>
          <w:rFonts w:ascii="Arial" w:hAnsi="Arial" w:cs="Arial"/>
          <w:b/>
          <w:bCs/>
          <w:sz w:val="20"/>
          <w:szCs w:val="20"/>
        </w:rPr>
        <w:t>Q13. What is the</w:t>
      </w:r>
      <w:r w:rsidR="00055049">
        <w:rPr>
          <w:rFonts w:ascii="Arial" w:hAnsi="Arial" w:cs="Arial"/>
          <w:b/>
          <w:bCs/>
          <w:sz w:val="20"/>
          <w:szCs w:val="20"/>
        </w:rPr>
        <w:t xml:space="preserve"> </w:t>
      </w:r>
      <w:r w:rsidRPr="009D1AD4">
        <w:rPr>
          <w:rFonts w:ascii="Arial" w:hAnsi="Arial" w:cs="Arial"/>
          <w:b/>
          <w:bCs/>
          <w:sz w:val="20"/>
          <w:szCs w:val="20"/>
        </w:rPr>
        <w:t>PCORI</w:t>
      </w:r>
      <w:r w:rsidR="00055049">
        <w:rPr>
          <w:rFonts w:ascii="Arial" w:hAnsi="Arial" w:cs="Arial"/>
          <w:b/>
          <w:bCs/>
          <w:sz w:val="20"/>
          <w:szCs w:val="20"/>
        </w:rPr>
        <w:t xml:space="preserve"> </w:t>
      </w:r>
      <w:r w:rsidRPr="009D1AD4">
        <w:rPr>
          <w:rFonts w:ascii="Arial" w:hAnsi="Arial" w:cs="Arial"/>
          <w:b/>
          <w:bCs/>
          <w:sz w:val="20"/>
          <w:szCs w:val="20"/>
        </w:rPr>
        <w:t>fee for the</w:t>
      </w:r>
      <w:r w:rsidR="00055049">
        <w:rPr>
          <w:rFonts w:ascii="Arial" w:hAnsi="Arial" w:cs="Arial"/>
          <w:b/>
          <w:bCs/>
          <w:sz w:val="20"/>
          <w:szCs w:val="20"/>
        </w:rPr>
        <w:t xml:space="preserve"> </w:t>
      </w:r>
      <w:r w:rsidRPr="009D1AD4">
        <w:rPr>
          <w:rFonts w:ascii="Arial" w:hAnsi="Arial" w:cs="Arial"/>
          <w:b/>
          <w:bCs/>
          <w:sz w:val="20"/>
          <w:szCs w:val="20"/>
        </w:rPr>
        <w:t>short</w:t>
      </w:r>
      <w:r w:rsidR="00055049">
        <w:rPr>
          <w:rFonts w:ascii="Arial" w:hAnsi="Arial" w:cs="Arial"/>
          <w:b/>
          <w:bCs/>
          <w:sz w:val="20"/>
          <w:szCs w:val="20"/>
        </w:rPr>
        <w:t xml:space="preserve"> </w:t>
      </w:r>
      <w:r w:rsidRPr="009D1AD4">
        <w:rPr>
          <w:rFonts w:ascii="Arial" w:hAnsi="Arial" w:cs="Arial"/>
          <w:b/>
          <w:bCs/>
          <w:sz w:val="20"/>
          <w:szCs w:val="20"/>
        </w:rPr>
        <w:t>plan</w:t>
      </w:r>
      <w:r w:rsidR="00055049">
        <w:rPr>
          <w:rFonts w:ascii="Arial" w:hAnsi="Arial" w:cs="Arial"/>
          <w:b/>
          <w:bCs/>
          <w:sz w:val="20"/>
          <w:szCs w:val="20"/>
        </w:rPr>
        <w:t xml:space="preserve"> </w:t>
      </w:r>
      <w:r w:rsidRPr="009D1AD4">
        <w:rPr>
          <w:rFonts w:ascii="Arial" w:hAnsi="Arial" w:cs="Arial"/>
          <w:b/>
          <w:bCs/>
          <w:sz w:val="20"/>
          <w:szCs w:val="20"/>
        </w:rPr>
        <w:t>year?</w:t>
      </w:r>
    </w:p>
    <w:p w14:paraId="6F447A58" w14:textId="36205BDA" w:rsidR="00A703EE" w:rsidRPr="009D1AD4" w:rsidRDefault="00A703EE" w:rsidP="00D40223">
      <w:pPr>
        <w:spacing w:after="200"/>
        <w:ind w:left="360"/>
        <w:rPr>
          <w:rFonts w:ascii="Arial" w:hAnsi="Arial" w:cs="Arial"/>
          <w:sz w:val="20"/>
          <w:szCs w:val="20"/>
        </w:rPr>
      </w:pPr>
      <w:r w:rsidRPr="009D1AD4">
        <w:rPr>
          <w:rFonts w:ascii="Arial" w:hAnsi="Arial" w:cs="Arial"/>
          <w:sz w:val="20"/>
          <w:szCs w:val="20"/>
        </w:rPr>
        <w:t>A13. The</w:t>
      </w:r>
      <w:r w:rsidR="00055049">
        <w:rPr>
          <w:rFonts w:ascii="Arial" w:hAnsi="Arial" w:cs="Arial"/>
          <w:sz w:val="20"/>
          <w:szCs w:val="20"/>
        </w:rPr>
        <w:t xml:space="preserve"> </w:t>
      </w:r>
      <w:r w:rsidRPr="009D1AD4">
        <w:rPr>
          <w:rFonts w:ascii="Arial" w:hAnsi="Arial" w:cs="Arial"/>
          <w:sz w:val="20"/>
          <w:szCs w:val="20"/>
        </w:rPr>
        <w:t>PCORI</w:t>
      </w:r>
      <w:r w:rsidR="00055049">
        <w:rPr>
          <w:rFonts w:ascii="Arial" w:hAnsi="Arial" w:cs="Arial"/>
          <w:sz w:val="20"/>
          <w:szCs w:val="20"/>
        </w:rPr>
        <w:t xml:space="preserve"> </w:t>
      </w:r>
      <w:r w:rsidRPr="009D1AD4">
        <w:rPr>
          <w:rFonts w:ascii="Arial" w:hAnsi="Arial" w:cs="Arial"/>
          <w:sz w:val="20"/>
          <w:szCs w:val="20"/>
        </w:rPr>
        <w:t>fee for the</w:t>
      </w:r>
      <w:r w:rsidR="00055049">
        <w:rPr>
          <w:rFonts w:ascii="Arial" w:hAnsi="Arial" w:cs="Arial"/>
          <w:sz w:val="20"/>
          <w:szCs w:val="20"/>
        </w:rPr>
        <w:t xml:space="preserve"> </w:t>
      </w:r>
      <w:r w:rsidRPr="009D1AD4">
        <w:rPr>
          <w:rFonts w:ascii="Arial" w:hAnsi="Arial" w:cs="Arial"/>
          <w:sz w:val="20"/>
          <w:szCs w:val="20"/>
        </w:rPr>
        <w:t>short</w:t>
      </w:r>
      <w:r w:rsidR="00055049">
        <w:rPr>
          <w:rFonts w:ascii="Arial" w:hAnsi="Arial" w:cs="Arial"/>
          <w:sz w:val="20"/>
          <w:szCs w:val="20"/>
        </w:rPr>
        <w:t xml:space="preserve"> </w:t>
      </w:r>
      <w:r w:rsidRPr="009D1AD4">
        <w:rPr>
          <w:rFonts w:ascii="Arial" w:hAnsi="Arial" w:cs="Arial"/>
          <w:sz w:val="20"/>
          <w:szCs w:val="20"/>
        </w:rPr>
        <w:t>plan</w:t>
      </w:r>
      <w:r w:rsidR="00055049">
        <w:rPr>
          <w:rFonts w:ascii="Arial" w:hAnsi="Arial" w:cs="Arial"/>
          <w:sz w:val="20"/>
          <w:szCs w:val="20"/>
        </w:rPr>
        <w:t xml:space="preserve"> </w:t>
      </w:r>
      <w:r w:rsidRPr="009D1AD4">
        <w:rPr>
          <w:rFonts w:ascii="Arial" w:hAnsi="Arial" w:cs="Arial"/>
          <w:sz w:val="20"/>
          <w:szCs w:val="20"/>
        </w:rPr>
        <w:t>year</w:t>
      </w:r>
      <w:r w:rsidR="00055049">
        <w:rPr>
          <w:rFonts w:ascii="Arial" w:hAnsi="Arial" w:cs="Arial"/>
          <w:sz w:val="20"/>
          <w:szCs w:val="20"/>
        </w:rPr>
        <w:t xml:space="preserve"> </w:t>
      </w:r>
      <w:r w:rsidRPr="009D1AD4">
        <w:rPr>
          <w:rFonts w:ascii="Arial" w:hAnsi="Arial" w:cs="Arial"/>
          <w:sz w:val="20"/>
          <w:szCs w:val="20"/>
        </w:rPr>
        <w:t>of an applicable self-insured health</w:t>
      </w:r>
      <w:r w:rsidR="00055049">
        <w:rPr>
          <w:rFonts w:ascii="Arial" w:hAnsi="Arial" w:cs="Arial"/>
          <w:sz w:val="20"/>
          <w:szCs w:val="20"/>
        </w:rPr>
        <w:t xml:space="preserve"> </w:t>
      </w:r>
      <w:r w:rsidRPr="009D1AD4">
        <w:rPr>
          <w:rFonts w:ascii="Arial" w:hAnsi="Arial" w:cs="Arial"/>
          <w:sz w:val="20"/>
          <w:szCs w:val="20"/>
        </w:rPr>
        <w:t>plan</w:t>
      </w:r>
      <w:r w:rsidR="00055049">
        <w:rPr>
          <w:rFonts w:ascii="Arial" w:hAnsi="Arial" w:cs="Arial"/>
          <w:sz w:val="20"/>
          <w:szCs w:val="20"/>
        </w:rPr>
        <w:t xml:space="preserve"> </w:t>
      </w:r>
      <w:r w:rsidRPr="009D1AD4">
        <w:rPr>
          <w:rFonts w:ascii="Arial" w:hAnsi="Arial" w:cs="Arial"/>
          <w:sz w:val="20"/>
          <w:szCs w:val="20"/>
        </w:rPr>
        <w:t>is equal to the average number of lives covered during that</w:t>
      </w:r>
      <w:r w:rsidR="00055049">
        <w:rPr>
          <w:rFonts w:ascii="Arial" w:hAnsi="Arial" w:cs="Arial"/>
          <w:sz w:val="20"/>
          <w:szCs w:val="20"/>
        </w:rPr>
        <w:t xml:space="preserve"> </w:t>
      </w:r>
      <w:r w:rsidRPr="009D1AD4">
        <w:rPr>
          <w:rFonts w:ascii="Arial" w:hAnsi="Arial" w:cs="Arial"/>
          <w:sz w:val="20"/>
          <w:szCs w:val="20"/>
        </w:rPr>
        <w:t>plan</w:t>
      </w:r>
      <w:r w:rsidR="00055049">
        <w:rPr>
          <w:rFonts w:ascii="Arial" w:hAnsi="Arial" w:cs="Arial"/>
          <w:sz w:val="20"/>
          <w:szCs w:val="20"/>
        </w:rPr>
        <w:t xml:space="preserve"> </w:t>
      </w:r>
      <w:r w:rsidRPr="009D1AD4">
        <w:rPr>
          <w:rFonts w:ascii="Arial" w:hAnsi="Arial" w:cs="Arial"/>
          <w:sz w:val="20"/>
          <w:szCs w:val="20"/>
        </w:rPr>
        <w:t>year</w:t>
      </w:r>
      <w:r w:rsidR="00055049">
        <w:rPr>
          <w:rFonts w:ascii="Arial" w:hAnsi="Arial" w:cs="Arial"/>
          <w:sz w:val="20"/>
          <w:szCs w:val="20"/>
        </w:rPr>
        <w:t xml:space="preserve"> </w:t>
      </w:r>
      <w:r w:rsidRPr="009D1AD4">
        <w:rPr>
          <w:rFonts w:ascii="Arial" w:hAnsi="Arial" w:cs="Arial"/>
          <w:sz w:val="20"/>
          <w:szCs w:val="20"/>
        </w:rPr>
        <w:t>multiplied by the applicable dollar amount for that</w:t>
      </w:r>
      <w:r w:rsidR="00055049">
        <w:rPr>
          <w:rFonts w:ascii="Arial" w:hAnsi="Arial" w:cs="Arial"/>
          <w:sz w:val="20"/>
          <w:szCs w:val="20"/>
        </w:rPr>
        <w:t xml:space="preserve"> </w:t>
      </w:r>
      <w:r w:rsidRPr="009D1AD4">
        <w:rPr>
          <w:rFonts w:ascii="Arial" w:hAnsi="Arial" w:cs="Arial"/>
          <w:sz w:val="20"/>
          <w:szCs w:val="20"/>
        </w:rPr>
        <w:t>plan</w:t>
      </w:r>
      <w:r w:rsidR="00055049">
        <w:rPr>
          <w:rFonts w:ascii="Arial" w:hAnsi="Arial" w:cs="Arial"/>
          <w:sz w:val="20"/>
          <w:szCs w:val="20"/>
        </w:rPr>
        <w:t xml:space="preserve"> </w:t>
      </w:r>
      <w:r w:rsidRPr="009D1AD4">
        <w:rPr>
          <w:rFonts w:ascii="Arial" w:hAnsi="Arial" w:cs="Arial"/>
          <w:sz w:val="20"/>
          <w:szCs w:val="20"/>
        </w:rPr>
        <w:t>year. Thus, for example, the</w:t>
      </w:r>
      <w:r w:rsidR="00055049">
        <w:rPr>
          <w:rFonts w:ascii="Arial" w:hAnsi="Arial" w:cs="Arial"/>
          <w:sz w:val="20"/>
          <w:szCs w:val="20"/>
        </w:rPr>
        <w:t xml:space="preserve"> </w:t>
      </w:r>
      <w:r w:rsidRPr="009D1AD4">
        <w:rPr>
          <w:rFonts w:ascii="Arial" w:hAnsi="Arial" w:cs="Arial"/>
          <w:sz w:val="20"/>
          <w:szCs w:val="20"/>
        </w:rPr>
        <w:t>PCORI</w:t>
      </w:r>
      <w:r w:rsidR="00055049">
        <w:rPr>
          <w:rFonts w:ascii="Arial" w:hAnsi="Arial" w:cs="Arial"/>
          <w:sz w:val="20"/>
          <w:szCs w:val="20"/>
        </w:rPr>
        <w:t xml:space="preserve"> </w:t>
      </w:r>
      <w:r w:rsidRPr="009D1AD4">
        <w:rPr>
          <w:rFonts w:ascii="Arial" w:hAnsi="Arial" w:cs="Arial"/>
          <w:sz w:val="20"/>
          <w:szCs w:val="20"/>
        </w:rPr>
        <w:t>fee for an applicable self-insured health</w:t>
      </w:r>
      <w:r w:rsidR="00055049">
        <w:rPr>
          <w:rFonts w:ascii="Arial" w:hAnsi="Arial" w:cs="Arial"/>
          <w:sz w:val="20"/>
          <w:szCs w:val="20"/>
        </w:rPr>
        <w:t xml:space="preserve"> </w:t>
      </w:r>
      <w:r w:rsidRPr="009D1AD4">
        <w:rPr>
          <w:rFonts w:ascii="Arial" w:hAnsi="Arial" w:cs="Arial"/>
          <w:sz w:val="20"/>
          <w:szCs w:val="20"/>
        </w:rPr>
        <w:t>plan</w:t>
      </w:r>
      <w:r w:rsidR="00055049">
        <w:rPr>
          <w:rFonts w:ascii="Arial" w:hAnsi="Arial" w:cs="Arial"/>
          <w:sz w:val="20"/>
          <w:szCs w:val="20"/>
        </w:rPr>
        <w:t xml:space="preserve"> </w:t>
      </w:r>
      <w:r w:rsidRPr="009D1AD4">
        <w:rPr>
          <w:rFonts w:ascii="Arial" w:hAnsi="Arial" w:cs="Arial"/>
          <w:sz w:val="20"/>
          <w:szCs w:val="20"/>
        </w:rPr>
        <w:t>that has a</w:t>
      </w:r>
      <w:r w:rsidR="00055049">
        <w:rPr>
          <w:rFonts w:ascii="Arial" w:hAnsi="Arial" w:cs="Arial"/>
          <w:sz w:val="20"/>
          <w:szCs w:val="20"/>
        </w:rPr>
        <w:t xml:space="preserve"> </w:t>
      </w:r>
      <w:r w:rsidRPr="009D1AD4">
        <w:rPr>
          <w:rFonts w:ascii="Arial" w:hAnsi="Arial" w:cs="Arial"/>
          <w:sz w:val="20"/>
          <w:szCs w:val="20"/>
        </w:rPr>
        <w:t>short</w:t>
      </w:r>
      <w:r w:rsidR="00055049">
        <w:rPr>
          <w:rFonts w:ascii="Arial" w:hAnsi="Arial" w:cs="Arial"/>
          <w:sz w:val="20"/>
          <w:szCs w:val="20"/>
        </w:rPr>
        <w:t xml:space="preserve"> </w:t>
      </w:r>
      <w:r w:rsidRPr="009D1AD4">
        <w:rPr>
          <w:rFonts w:ascii="Arial" w:hAnsi="Arial" w:cs="Arial"/>
          <w:sz w:val="20"/>
          <w:szCs w:val="20"/>
        </w:rPr>
        <w:t>plan</w:t>
      </w:r>
      <w:r w:rsidR="00055049">
        <w:rPr>
          <w:rFonts w:ascii="Arial" w:hAnsi="Arial" w:cs="Arial"/>
          <w:sz w:val="20"/>
          <w:szCs w:val="20"/>
        </w:rPr>
        <w:t xml:space="preserve"> </w:t>
      </w:r>
      <w:r w:rsidRPr="009D1AD4">
        <w:rPr>
          <w:rFonts w:ascii="Arial" w:hAnsi="Arial" w:cs="Arial"/>
          <w:sz w:val="20"/>
          <w:szCs w:val="20"/>
        </w:rPr>
        <w:t>year</w:t>
      </w:r>
      <w:r w:rsidR="00055049">
        <w:rPr>
          <w:rFonts w:ascii="Arial" w:hAnsi="Arial" w:cs="Arial"/>
          <w:sz w:val="20"/>
          <w:szCs w:val="20"/>
        </w:rPr>
        <w:t xml:space="preserve"> </w:t>
      </w:r>
      <w:r w:rsidRPr="009D1AD4">
        <w:rPr>
          <w:rFonts w:ascii="Arial" w:hAnsi="Arial" w:cs="Arial"/>
          <w:sz w:val="20"/>
          <w:szCs w:val="20"/>
        </w:rPr>
        <w:t>that starts on April 1, 2013, and ends on Dec. 31, 2013, is equal to the average number of lives covered for April through Dec. 31, 2013, multiplied by $2 (the applicable dollar amount for</w:t>
      </w:r>
      <w:r w:rsidR="00055049">
        <w:rPr>
          <w:rFonts w:ascii="Arial" w:hAnsi="Arial" w:cs="Arial"/>
          <w:sz w:val="20"/>
          <w:szCs w:val="20"/>
        </w:rPr>
        <w:t xml:space="preserve"> </w:t>
      </w:r>
      <w:r w:rsidRPr="009D1AD4">
        <w:rPr>
          <w:rFonts w:ascii="Arial" w:hAnsi="Arial" w:cs="Arial"/>
          <w:sz w:val="20"/>
          <w:szCs w:val="20"/>
        </w:rPr>
        <w:t>plan</w:t>
      </w:r>
      <w:r w:rsidR="00055049">
        <w:rPr>
          <w:rFonts w:ascii="Arial" w:hAnsi="Arial" w:cs="Arial"/>
          <w:sz w:val="20"/>
          <w:szCs w:val="20"/>
        </w:rPr>
        <w:t xml:space="preserve"> </w:t>
      </w:r>
      <w:r w:rsidRPr="009D1AD4">
        <w:rPr>
          <w:rFonts w:ascii="Arial" w:hAnsi="Arial" w:cs="Arial"/>
          <w:sz w:val="20"/>
          <w:szCs w:val="20"/>
        </w:rPr>
        <w:t>years ending on or after Oct. 1, 2013, but before Oct. 1, 2014).</w:t>
      </w:r>
    </w:p>
    <w:p w14:paraId="46BACD3F" w14:textId="6EB9584C" w:rsidR="00A703EE" w:rsidRPr="009D1AD4" w:rsidRDefault="00A703EE" w:rsidP="00004129">
      <w:pPr>
        <w:keepNext/>
        <w:spacing w:after="200"/>
        <w:ind w:left="360"/>
        <w:rPr>
          <w:rFonts w:ascii="Arial" w:hAnsi="Arial" w:cs="Arial"/>
          <w:sz w:val="20"/>
          <w:szCs w:val="20"/>
        </w:rPr>
      </w:pPr>
      <w:r w:rsidRPr="009D1AD4">
        <w:rPr>
          <w:rFonts w:ascii="Arial" w:hAnsi="Arial" w:cs="Arial"/>
          <w:b/>
          <w:bCs/>
          <w:sz w:val="20"/>
          <w:szCs w:val="20"/>
        </w:rPr>
        <w:t>Q14. What is the</w:t>
      </w:r>
      <w:r w:rsidR="00055049">
        <w:rPr>
          <w:rFonts w:ascii="Arial" w:hAnsi="Arial" w:cs="Arial"/>
          <w:b/>
          <w:bCs/>
          <w:sz w:val="20"/>
          <w:szCs w:val="20"/>
        </w:rPr>
        <w:t xml:space="preserve"> </w:t>
      </w:r>
      <w:r w:rsidRPr="009D1AD4">
        <w:rPr>
          <w:rFonts w:ascii="Arial" w:hAnsi="Arial" w:cs="Arial"/>
          <w:b/>
          <w:bCs/>
          <w:sz w:val="20"/>
          <w:szCs w:val="20"/>
        </w:rPr>
        <w:t>PCORI</w:t>
      </w:r>
      <w:r w:rsidR="00055049">
        <w:rPr>
          <w:rFonts w:ascii="Arial" w:hAnsi="Arial" w:cs="Arial"/>
          <w:b/>
          <w:bCs/>
          <w:sz w:val="20"/>
          <w:szCs w:val="20"/>
        </w:rPr>
        <w:t xml:space="preserve"> </w:t>
      </w:r>
      <w:r w:rsidRPr="009D1AD4">
        <w:rPr>
          <w:rFonts w:ascii="Arial" w:hAnsi="Arial" w:cs="Arial"/>
          <w:b/>
          <w:bCs/>
          <w:sz w:val="20"/>
          <w:szCs w:val="20"/>
        </w:rPr>
        <w:t>fee due date for the</w:t>
      </w:r>
      <w:r w:rsidR="00055049">
        <w:rPr>
          <w:rFonts w:ascii="Arial" w:hAnsi="Arial" w:cs="Arial"/>
          <w:b/>
          <w:bCs/>
          <w:sz w:val="20"/>
          <w:szCs w:val="20"/>
        </w:rPr>
        <w:t xml:space="preserve"> </w:t>
      </w:r>
      <w:r w:rsidRPr="009D1AD4">
        <w:rPr>
          <w:rFonts w:ascii="Arial" w:hAnsi="Arial" w:cs="Arial"/>
          <w:b/>
          <w:bCs/>
          <w:sz w:val="20"/>
          <w:szCs w:val="20"/>
        </w:rPr>
        <w:t>short</w:t>
      </w:r>
      <w:r w:rsidR="00055049">
        <w:rPr>
          <w:rFonts w:ascii="Arial" w:hAnsi="Arial" w:cs="Arial"/>
          <w:b/>
          <w:bCs/>
          <w:sz w:val="20"/>
          <w:szCs w:val="20"/>
        </w:rPr>
        <w:t xml:space="preserve"> </w:t>
      </w:r>
      <w:r w:rsidRPr="009D1AD4">
        <w:rPr>
          <w:rFonts w:ascii="Arial" w:hAnsi="Arial" w:cs="Arial"/>
          <w:b/>
          <w:bCs/>
          <w:sz w:val="20"/>
          <w:szCs w:val="20"/>
        </w:rPr>
        <w:t>plan</w:t>
      </w:r>
      <w:r w:rsidR="00055049">
        <w:rPr>
          <w:rFonts w:ascii="Arial" w:hAnsi="Arial" w:cs="Arial"/>
          <w:b/>
          <w:bCs/>
          <w:sz w:val="20"/>
          <w:szCs w:val="20"/>
        </w:rPr>
        <w:t xml:space="preserve"> </w:t>
      </w:r>
      <w:r w:rsidRPr="009D1AD4">
        <w:rPr>
          <w:rFonts w:ascii="Arial" w:hAnsi="Arial" w:cs="Arial"/>
          <w:b/>
          <w:bCs/>
          <w:sz w:val="20"/>
          <w:szCs w:val="20"/>
        </w:rPr>
        <w:t>year?</w:t>
      </w:r>
    </w:p>
    <w:p w14:paraId="275E1B71" w14:textId="17E43F12" w:rsidR="00A703EE" w:rsidRPr="009D1AD4" w:rsidRDefault="00A703EE" w:rsidP="00D40223">
      <w:pPr>
        <w:spacing w:after="200"/>
        <w:ind w:left="360"/>
        <w:rPr>
          <w:rFonts w:ascii="Arial" w:hAnsi="Arial" w:cs="Arial"/>
          <w:sz w:val="20"/>
          <w:szCs w:val="20"/>
        </w:rPr>
      </w:pPr>
      <w:r w:rsidRPr="009D1AD4">
        <w:rPr>
          <w:rFonts w:ascii="Arial" w:hAnsi="Arial" w:cs="Arial"/>
          <w:sz w:val="20"/>
          <w:szCs w:val="20"/>
        </w:rPr>
        <w:t>A14. The due date for the</w:t>
      </w:r>
      <w:r w:rsidR="00055049">
        <w:rPr>
          <w:rFonts w:ascii="Arial" w:hAnsi="Arial" w:cs="Arial"/>
          <w:sz w:val="20"/>
          <w:szCs w:val="20"/>
        </w:rPr>
        <w:t xml:space="preserve"> </w:t>
      </w:r>
      <w:r w:rsidRPr="009D1AD4">
        <w:rPr>
          <w:rFonts w:ascii="Arial" w:hAnsi="Arial" w:cs="Arial"/>
          <w:sz w:val="20"/>
          <w:szCs w:val="20"/>
        </w:rPr>
        <w:t>PCORI</w:t>
      </w:r>
      <w:r w:rsidR="00055049">
        <w:rPr>
          <w:rFonts w:ascii="Arial" w:hAnsi="Arial" w:cs="Arial"/>
          <w:sz w:val="20"/>
          <w:szCs w:val="20"/>
        </w:rPr>
        <w:t xml:space="preserve"> </w:t>
      </w:r>
      <w:r w:rsidRPr="009D1AD4">
        <w:rPr>
          <w:rFonts w:ascii="Arial" w:hAnsi="Arial" w:cs="Arial"/>
          <w:sz w:val="20"/>
          <w:szCs w:val="20"/>
        </w:rPr>
        <w:t>fee is July 31 of the</w:t>
      </w:r>
      <w:r w:rsidR="00055049">
        <w:rPr>
          <w:rFonts w:ascii="Arial" w:hAnsi="Arial" w:cs="Arial"/>
          <w:sz w:val="20"/>
          <w:szCs w:val="20"/>
        </w:rPr>
        <w:t xml:space="preserve"> </w:t>
      </w:r>
      <w:r w:rsidRPr="009D1AD4">
        <w:rPr>
          <w:rFonts w:ascii="Arial" w:hAnsi="Arial" w:cs="Arial"/>
          <w:sz w:val="20"/>
          <w:szCs w:val="20"/>
        </w:rPr>
        <w:t>year</w:t>
      </w:r>
      <w:r w:rsidR="00055049">
        <w:rPr>
          <w:rFonts w:ascii="Arial" w:hAnsi="Arial" w:cs="Arial"/>
          <w:sz w:val="20"/>
          <w:szCs w:val="20"/>
        </w:rPr>
        <w:t xml:space="preserve"> </w:t>
      </w:r>
      <w:r w:rsidRPr="009D1AD4">
        <w:rPr>
          <w:rFonts w:ascii="Arial" w:hAnsi="Arial" w:cs="Arial"/>
          <w:sz w:val="20"/>
          <w:szCs w:val="20"/>
        </w:rPr>
        <w:t>following the last day of the</w:t>
      </w:r>
      <w:r w:rsidR="00055049">
        <w:rPr>
          <w:rFonts w:ascii="Arial" w:hAnsi="Arial" w:cs="Arial"/>
          <w:sz w:val="20"/>
          <w:szCs w:val="20"/>
        </w:rPr>
        <w:t xml:space="preserve"> </w:t>
      </w:r>
      <w:r w:rsidRPr="009D1AD4">
        <w:rPr>
          <w:rFonts w:ascii="Arial" w:hAnsi="Arial" w:cs="Arial"/>
          <w:sz w:val="20"/>
          <w:szCs w:val="20"/>
        </w:rPr>
        <w:t>plan</w:t>
      </w:r>
      <w:r w:rsidR="00055049">
        <w:rPr>
          <w:rFonts w:ascii="Arial" w:hAnsi="Arial" w:cs="Arial"/>
          <w:sz w:val="20"/>
          <w:szCs w:val="20"/>
        </w:rPr>
        <w:t xml:space="preserve"> </w:t>
      </w:r>
      <w:r w:rsidRPr="009D1AD4">
        <w:rPr>
          <w:rFonts w:ascii="Arial" w:hAnsi="Arial" w:cs="Arial"/>
          <w:sz w:val="20"/>
          <w:szCs w:val="20"/>
        </w:rPr>
        <w:t>year</w:t>
      </w:r>
      <w:r w:rsidR="00055049">
        <w:rPr>
          <w:rFonts w:ascii="Arial" w:hAnsi="Arial" w:cs="Arial"/>
          <w:sz w:val="20"/>
          <w:szCs w:val="20"/>
        </w:rPr>
        <w:t xml:space="preserve"> </w:t>
      </w:r>
      <w:r w:rsidRPr="009D1AD4">
        <w:rPr>
          <w:rFonts w:ascii="Arial" w:hAnsi="Arial" w:cs="Arial"/>
          <w:sz w:val="20"/>
          <w:szCs w:val="20"/>
        </w:rPr>
        <w:t>(including a</w:t>
      </w:r>
      <w:r w:rsidR="00055049">
        <w:rPr>
          <w:rFonts w:ascii="Arial" w:hAnsi="Arial" w:cs="Arial"/>
          <w:sz w:val="20"/>
          <w:szCs w:val="20"/>
        </w:rPr>
        <w:t xml:space="preserve"> </w:t>
      </w:r>
      <w:r w:rsidRPr="009D1AD4">
        <w:rPr>
          <w:rFonts w:ascii="Arial" w:hAnsi="Arial" w:cs="Arial"/>
          <w:sz w:val="20"/>
          <w:szCs w:val="20"/>
        </w:rPr>
        <w:t>short</w:t>
      </w:r>
      <w:r w:rsidR="00055049">
        <w:rPr>
          <w:rFonts w:ascii="Arial" w:hAnsi="Arial" w:cs="Arial"/>
          <w:sz w:val="20"/>
          <w:szCs w:val="20"/>
        </w:rPr>
        <w:t xml:space="preserve"> </w:t>
      </w:r>
      <w:r w:rsidRPr="009D1AD4">
        <w:rPr>
          <w:rFonts w:ascii="Arial" w:hAnsi="Arial" w:cs="Arial"/>
          <w:sz w:val="20"/>
          <w:szCs w:val="20"/>
        </w:rPr>
        <w:t>plan</w:t>
      </w:r>
      <w:r w:rsidR="00055049">
        <w:rPr>
          <w:rFonts w:ascii="Arial" w:hAnsi="Arial" w:cs="Arial"/>
          <w:sz w:val="20"/>
          <w:szCs w:val="20"/>
        </w:rPr>
        <w:t xml:space="preserve"> </w:t>
      </w:r>
      <w:r w:rsidRPr="009D1AD4">
        <w:rPr>
          <w:rFonts w:ascii="Arial" w:hAnsi="Arial" w:cs="Arial"/>
          <w:sz w:val="20"/>
          <w:szCs w:val="20"/>
        </w:rPr>
        <w:t>year).</w:t>
      </w:r>
    </w:p>
    <w:p w14:paraId="64CB624E" w14:textId="7ED33AE0" w:rsidR="00A703EE" w:rsidRPr="009D1AD4" w:rsidRDefault="00A703EE" w:rsidP="004C6CEA">
      <w:pPr>
        <w:spacing w:after="200"/>
        <w:rPr>
          <w:rFonts w:ascii="Arial" w:hAnsi="Arial" w:cs="Arial"/>
          <w:sz w:val="20"/>
          <w:szCs w:val="20"/>
        </w:rPr>
      </w:pPr>
      <w:r w:rsidRPr="009D1AD4">
        <w:rPr>
          <w:rFonts w:ascii="Arial" w:hAnsi="Arial" w:cs="Arial"/>
          <w:sz w:val="20"/>
          <w:szCs w:val="20"/>
        </w:rPr>
        <w:lastRenderedPageBreak/>
        <w:t>From our UBA Advisor “</w:t>
      </w:r>
      <w:hyperlink r:id="rId31" w:history="1">
        <w:r w:rsidRPr="00D40223">
          <w:rPr>
            <w:rStyle w:val="Hyperlink"/>
          </w:rPr>
          <w:t>Frequently Asked Questions about the Patient-Centered Outcomes/Comparative Effectiveness (PCORI) Fee</w:t>
        </w:r>
      </w:hyperlink>
      <w:r w:rsidRPr="009D1AD4">
        <w:rPr>
          <w:rFonts w:ascii="Arial" w:hAnsi="Arial" w:cs="Arial"/>
          <w:sz w:val="20"/>
          <w:szCs w:val="20"/>
        </w:rPr>
        <w:t>”:</w:t>
      </w:r>
    </w:p>
    <w:tbl>
      <w:tblPr>
        <w:tblW w:w="9361" w:type="dxa"/>
        <w:tblInd w:w="-10" w:type="dxa"/>
        <w:tblCellMar>
          <w:top w:w="58" w:type="dxa"/>
          <w:left w:w="115" w:type="dxa"/>
          <w:bottom w:w="58" w:type="dxa"/>
          <w:right w:w="115" w:type="dxa"/>
        </w:tblCellMar>
        <w:tblLook w:val="04A0" w:firstRow="1" w:lastRow="0" w:firstColumn="1" w:lastColumn="0" w:noHBand="0" w:noVBand="1"/>
      </w:tblPr>
      <w:tblGrid>
        <w:gridCol w:w="2993"/>
        <w:gridCol w:w="1607"/>
        <w:gridCol w:w="237"/>
        <w:gridCol w:w="2993"/>
        <w:gridCol w:w="1531"/>
      </w:tblGrid>
      <w:tr w:rsidR="00642DA0" w:rsidRPr="009D1AD4" w14:paraId="34A1AA63" w14:textId="22483414" w:rsidTr="001204C3">
        <w:tc>
          <w:tcPr>
            <w:tcW w:w="2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58" w:type="dxa"/>
              <w:left w:w="115" w:type="dxa"/>
              <w:bottom w:w="58" w:type="dxa"/>
              <w:right w:w="115" w:type="dxa"/>
            </w:tcMar>
            <w:vAlign w:val="bottom"/>
            <w:hideMark/>
          </w:tcPr>
          <w:p w14:paraId="03A59FF1" w14:textId="7F34281A" w:rsidR="00642DA0" w:rsidRPr="009D1AD4" w:rsidRDefault="00055049" w:rsidP="00642DA0">
            <w:pPr>
              <w:rPr>
                <w:rFonts w:ascii="Arial" w:hAnsi="Arial" w:cs="Arial"/>
                <w:sz w:val="20"/>
                <w:szCs w:val="20"/>
              </w:rPr>
            </w:pPr>
            <w:r>
              <w:rPr>
                <w:rFonts w:ascii="Arial" w:hAnsi="Arial" w:cs="Arial"/>
                <w:sz w:val="20"/>
                <w:szCs w:val="20"/>
              </w:rPr>
              <w:t xml:space="preserve"> </w:t>
            </w:r>
            <w:r w:rsidR="00642DA0" w:rsidRPr="009D1AD4">
              <w:rPr>
                <w:rFonts w:ascii="Arial" w:hAnsi="Arial" w:cs="Arial"/>
                <w:b/>
                <w:bCs/>
                <w:sz w:val="20"/>
                <w:szCs w:val="20"/>
              </w:rPr>
              <w:t>Plan/Policy Year</w:t>
            </w:r>
          </w:p>
        </w:tc>
        <w:tc>
          <w:tcPr>
            <w:tcW w:w="160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58" w:type="dxa"/>
              <w:left w:w="115" w:type="dxa"/>
              <w:bottom w:w="58" w:type="dxa"/>
              <w:right w:w="115" w:type="dxa"/>
            </w:tcMar>
            <w:vAlign w:val="bottom"/>
            <w:hideMark/>
          </w:tcPr>
          <w:p w14:paraId="03F594B4" w14:textId="2DA53553" w:rsidR="00642DA0" w:rsidRDefault="00642DA0" w:rsidP="00642DA0">
            <w:pPr>
              <w:jc w:val="center"/>
              <w:rPr>
                <w:rFonts w:ascii="Arial" w:hAnsi="Arial" w:cs="Arial"/>
                <w:b/>
                <w:bCs/>
                <w:sz w:val="20"/>
                <w:szCs w:val="20"/>
                <w:shd w:val="clear" w:color="auto" w:fill="FFFF00"/>
              </w:rPr>
            </w:pPr>
            <w:r w:rsidRPr="009D1AD4">
              <w:rPr>
                <w:rFonts w:ascii="Arial" w:hAnsi="Arial" w:cs="Arial"/>
                <w:b/>
                <w:bCs/>
                <w:sz w:val="20"/>
                <w:szCs w:val="20"/>
              </w:rPr>
              <w:t>Year Fee Is Due</w:t>
            </w:r>
            <w:r w:rsidR="00055049">
              <w:rPr>
                <w:rStyle w:val="apple-converted-space"/>
                <w:rFonts w:ascii="Arial" w:hAnsi="Arial" w:cs="Arial"/>
                <w:b/>
                <w:bCs/>
                <w:sz w:val="20"/>
                <w:szCs w:val="20"/>
              </w:rPr>
              <w:t xml:space="preserve"> </w:t>
            </w:r>
            <w:r w:rsidRPr="009D1AD4">
              <w:rPr>
                <w:rFonts w:ascii="Arial" w:hAnsi="Arial" w:cs="Arial"/>
                <w:b/>
                <w:bCs/>
                <w:sz w:val="20"/>
                <w:szCs w:val="20"/>
                <w:shd w:val="clear" w:color="auto" w:fill="FFFF00"/>
              </w:rPr>
              <w:t>($2.39, indexed/</w:t>
            </w:r>
          </w:p>
          <w:p w14:paraId="7F56810C" w14:textId="77777777" w:rsidR="00642DA0" w:rsidRPr="009D1AD4" w:rsidRDefault="00642DA0" w:rsidP="00642DA0">
            <w:pPr>
              <w:jc w:val="center"/>
              <w:rPr>
                <w:rFonts w:ascii="Arial" w:hAnsi="Arial" w:cs="Arial"/>
                <w:sz w:val="20"/>
                <w:szCs w:val="20"/>
              </w:rPr>
            </w:pPr>
            <w:r w:rsidRPr="009D1AD4">
              <w:rPr>
                <w:rFonts w:ascii="Arial" w:hAnsi="Arial" w:cs="Arial"/>
                <w:b/>
                <w:bCs/>
                <w:sz w:val="20"/>
                <w:szCs w:val="20"/>
                <w:shd w:val="clear" w:color="auto" w:fill="FFFF00"/>
              </w:rPr>
              <w:t>person)</w:t>
            </w:r>
          </w:p>
        </w:tc>
        <w:tc>
          <w:tcPr>
            <w:tcW w:w="237" w:type="dxa"/>
            <w:tcBorders>
              <w:left w:val="single" w:sz="8" w:space="0" w:color="BFBFBF" w:themeColor="background1" w:themeShade="BF"/>
              <w:right w:val="single" w:sz="4" w:space="0" w:color="A6A6A6" w:themeColor="background1" w:themeShade="A6"/>
            </w:tcBorders>
          </w:tcPr>
          <w:p w14:paraId="6CF83A50" w14:textId="77777777" w:rsidR="00642DA0" w:rsidRPr="009D1AD4" w:rsidRDefault="00642DA0" w:rsidP="00642DA0">
            <w:pPr>
              <w:jc w:val="center"/>
              <w:rPr>
                <w:rFonts w:ascii="Arial" w:hAnsi="Arial" w:cs="Arial"/>
                <w:b/>
                <w:bCs/>
                <w:sz w:val="20"/>
                <w:szCs w:val="20"/>
              </w:rPr>
            </w:pPr>
          </w:p>
        </w:tc>
        <w:tc>
          <w:tcPr>
            <w:tcW w:w="2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7A061DDB" w14:textId="0EC51BCD" w:rsidR="00642DA0" w:rsidRPr="009D1AD4" w:rsidRDefault="00642DA0" w:rsidP="00642DA0">
            <w:pPr>
              <w:jc w:val="center"/>
              <w:rPr>
                <w:rFonts w:ascii="Arial" w:hAnsi="Arial" w:cs="Arial"/>
                <w:b/>
                <w:bCs/>
                <w:sz w:val="20"/>
                <w:szCs w:val="20"/>
              </w:rPr>
            </w:pPr>
            <w:r w:rsidRPr="009D1AD4">
              <w:rPr>
                <w:rFonts w:ascii="Arial" w:hAnsi="Arial" w:cs="Arial"/>
                <w:b/>
                <w:bCs/>
                <w:sz w:val="20"/>
                <w:szCs w:val="20"/>
              </w:rPr>
              <w:t>Plan/Policy</w:t>
            </w:r>
            <w:r w:rsidR="00055049">
              <w:rPr>
                <w:rFonts w:ascii="Arial" w:hAnsi="Arial" w:cs="Arial"/>
                <w:b/>
                <w:bCs/>
                <w:sz w:val="20"/>
                <w:szCs w:val="20"/>
              </w:rPr>
              <w:t xml:space="preserve"> </w:t>
            </w:r>
            <w:r w:rsidRPr="009D1AD4">
              <w:rPr>
                <w:rFonts w:ascii="Arial" w:hAnsi="Arial" w:cs="Arial"/>
                <w:b/>
                <w:bCs/>
                <w:sz w:val="20"/>
                <w:szCs w:val="20"/>
              </w:rPr>
              <w:t>Year</w:t>
            </w:r>
          </w:p>
        </w:tc>
        <w:tc>
          <w:tcPr>
            <w:tcW w:w="1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57B44B53" w14:textId="0D528467" w:rsidR="00642DA0" w:rsidRPr="009D1AD4" w:rsidRDefault="00642DA0" w:rsidP="00642DA0">
            <w:pPr>
              <w:jc w:val="center"/>
              <w:rPr>
                <w:rFonts w:ascii="Arial" w:hAnsi="Arial" w:cs="Arial"/>
                <w:b/>
                <w:bCs/>
                <w:sz w:val="20"/>
                <w:szCs w:val="20"/>
              </w:rPr>
            </w:pPr>
            <w:r w:rsidRPr="009D1AD4">
              <w:rPr>
                <w:rFonts w:ascii="Arial" w:hAnsi="Arial" w:cs="Arial"/>
                <w:b/>
                <w:bCs/>
                <w:sz w:val="20"/>
                <w:szCs w:val="20"/>
              </w:rPr>
              <w:t>Last</w:t>
            </w:r>
            <w:r w:rsidR="00055049">
              <w:rPr>
                <w:rFonts w:ascii="Arial" w:hAnsi="Arial" w:cs="Arial"/>
                <w:b/>
                <w:bCs/>
                <w:sz w:val="20"/>
                <w:szCs w:val="20"/>
              </w:rPr>
              <w:t xml:space="preserve"> </w:t>
            </w:r>
            <w:r w:rsidRPr="009D1AD4">
              <w:rPr>
                <w:rFonts w:ascii="Arial" w:hAnsi="Arial" w:cs="Arial"/>
                <w:b/>
                <w:bCs/>
                <w:sz w:val="20"/>
                <w:szCs w:val="20"/>
              </w:rPr>
              <w:t>Year</w:t>
            </w:r>
            <w:r w:rsidR="00055049">
              <w:rPr>
                <w:rFonts w:ascii="Arial" w:hAnsi="Arial" w:cs="Arial"/>
                <w:b/>
                <w:bCs/>
                <w:sz w:val="20"/>
                <w:szCs w:val="20"/>
              </w:rPr>
              <w:t xml:space="preserve"> </w:t>
            </w:r>
            <w:r w:rsidRPr="009D1AD4">
              <w:rPr>
                <w:rFonts w:ascii="Arial" w:hAnsi="Arial" w:cs="Arial"/>
                <w:b/>
                <w:bCs/>
                <w:sz w:val="20"/>
                <w:szCs w:val="20"/>
              </w:rPr>
              <w:t>Fee Is Due</w:t>
            </w:r>
            <w:r w:rsidR="00055049">
              <w:rPr>
                <w:rFonts w:ascii="Arial" w:hAnsi="Arial" w:cs="Arial"/>
                <w:b/>
                <w:bCs/>
                <w:sz w:val="20"/>
                <w:szCs w:val="20"/>
              </w:rPr>
              <w:t xml:space="preserve"> </w:t>
            </w:r>
            <w:r w:rsidRPr="009D1AD4">
              <w:rPr>
                <w:rFonts w:ascii="Arial" w:hAnsi="Arial" w:cs="Arial"/>
                <w:b/>
                <w:bCs/>
                <w:sz w:val="20"/>
                <w:szCs w:val="20"/>
                <w:shd w:val="clear" w:color="auto" w:fill="FFFF00"/>
              </w:rPr>
              <w:t>($2.45, indexed/ person)</w:t>
            </w:r>
          </w:p>
        </w:tc>
      </w:tr>
      <w:tr w:rsidR="00642DA0" w:rsidRPr="009D1AD4" w14:paraId="2C52516D" w14:textId="4C88643A" w:rsidTr="001204C3">
        <w:tc>
          <w:tcPr>
            <w:tcW w:w="2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58" w:type="dxa"/>
              <w:left w:w="115" w:type="dxa"/>
              <w:bottom w:w="58" w:type="dxa"/>
              <w:right w:w="115" w:type="dxa"/>
            </w:tcMar>
            <w:vAlign w:val="center"/>
            <w:hideMark/>
          </w:tcPr>
          <w:p w14:paraId="391269B6" w14:textId="77777777" w:rsidR="00642DA0" w:rsidRPr="009D1AD4" w:rsidRDefault="00642DA0" w:rsidP="00642DA0">
            <w:pPr>
              <w:rPr>
                <w:rFonts w:ascii="Arial" w:hAnsi="Arial" w:cs="Arial"/>
                <w:sz w:val="20"/>
                <w:szCs w:val="20"/>
              </w:rPr>
            </w:pPr>
            <w:r w:rsidRPr="009D1AD4">
              <w:rPr>
                <w:rFonts w:ascii="Arial" w:hAnsi="Arial" w:cs="Arial"/>
                <w:sz w:val="20"/>
                <w:szCs w:val="20"/>
              </w:rPr>
              <w:t>Nov. 1, 2016 - Oct. 31, 2017</w:t>
            </w:r>
          </w:p>
        </w:tc>
        <w:tc>
          <w:tcPr>
            <w:tcW w:w="160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58" w:type="dxa"/>
              <w:left w:w="115" w:type="dxa"/>
              <w:bottom w:w="58" w:type="dxa"/>
              <w:right w:w="115" w:type="dxa"/>
            </w:tcMar>
            <w:vAlign w:val="center"/>
            <w:hideMark/>
          </w:tcPr>
          <w:p w14:paraId="126E4B7A" w14:textId="77777777" w:rsidR="00642DA0" w:rsidRPr="009D1AD4" w:rsidRDefault="00642DA0" w:rsidP="00642DA0">
            <w:pPr>
              <w:rPr>
                <w:rFonts w:ascii="Arial" w:hAnsi="Arial" w:cs="Arial"/>
                <w:sz w:val="20"/>
                <w:szCs w:val="20"/>
              </w:rPr>
            </w:pPr>
            <w:r w:rsidRPr="009D1AD4">
              <w:rPr>
                <w:rFonts w:ascii="Arial" w:hAnsi="Arial" w:cs="Arial"/>
                <w:sz w:val="20"/>
                <w:szCs w:val="20"/>
              </w:rPr>
              <w:t>July 31, 2018</w:t>
            </w:r>
          </w:p>
        </w:tc>
        <w:tc>
          <w:tcPr>
            <w:tcW w:w="237" w:type="dxa"/>
            <w:tcBorders>
              <w:left w:val="single" w:sz="8" w:space="0" w:color="BFBFBF" w:themeColor="background1" w:themeShade="BF"/>
              <w:right w:val="single" w:sz="4" w:space="0" w:color="A6A6A6" w:themeColor="background1" w:themeShade="A6"/>
            </w:tcBorders>
          </w:tcPr>
          <w:p w14:paraId="40B2928D" w14:textId="77777777" w:rsidR="00642DA0" w:rsidRPr="009D1AD4" w:rsidRDefault="00642DA0" w:rsidP="00642DA0">
            <w:pPr>
              <w:rPr>
                <w:rFonts w:ascii="Arial" w:hAnsi="Arial" w:cs="Arial"/>
                <w:sz w:val="20"/>
                <w:szCs w:val="20"/>
              </w:rPr>
            </w:pPr>
          </w:p>
        </w:tc>
        <w:tc>
          <w:tcPr>
            <w:tcW w:w="2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487160" w14:textId="1AC2CC02" w:rsidR="00642DA0" w:rsidRPr="009D1AD4" w:rsidRDefault="00642DA0" w:rsidP="00642DA0">
            <w:pPr>
              <w:rPr>
                <w:rFonts w:ascii="Arial" w:hAnsi="Arial" w:cs="Arial"/>
                <w:sz w:val="20"/>
                <w:szCs w:val="20"/>
              </w:rPr>
            </w:pPr>
            <w:r w:rsidRPr="009D1AD4">
              <w:rPr>
                <w:rFonts w:ascii="Arial" w:hAnsi="Arial" w:cs="Arial"/>
                <w:sz w:val="20"/>
                <w:szCs w:val="20"/>
              </w:rPr>
              <w:t>Nov. 1, 2017 - Oct. 31, 2018</w:t>
            </w:r>
          </w:p>
        </w:tc>
        <w:tc>
          <w:tcPr>
            <w:tcW w:w="1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323988" w14:textId="3E191BFA" w:rsidR="00642DA0" w:rsidRPr="009D1AD4" w:rsidRDefault="00642DA0" w:rsidP="00642DA0">
            <w:pPr>
              <w:rPr>
                <w:rFonts w:ascii="Arial" w:hAnsi="Arial" w:cs="Arial"/>
                <w:sz w:val="20"/>
                <w:szCs w:val="20"/>
              </w:rPr>
            </w:pPr>
            <w:r w:rsidRPr="009D1AD4">
              <w:rPr>
                <w:rFonts w:ascii="Arial" w:hAnsi="Arial" w:cs="Arial"/>
                <w:sz w:val="20"/>
                <w:szCs w:val="20"/>
              </w:rPr>
              <w:t>July 31, 2019</w:t>
            </w:r>
          </w:p>
        </w:tc>
      </w:tr>
      <w:tr w:rsidR="00642DA0" w:rsidRPr="009D1AD4" w14:paraId="5BE25EE5" w14:textId="07A8F67F" w:rsidTr="001204C3">
        <w:tc>
          <w:tcPr>
            <w:tcW w:w="2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58" w:type="dxa"/>
              <w:left w:w="115" w:type="dxa"/>
              <w:bottom w:w="58" w:type="dxa"/>
              <w:right w:w="115" w:type="dxa"/>
            </w:tcMar>
            <w:vAlign w:val="center"/>
            <w:hideMark/>
          </w:tcPr>
          <w:p w14:paraId="6D0A8EB9" w14:textId="77777777" w:rsidR="00642DA0" w:rsidRPr="009D1AD4" w:rsidRDefault="00642DA0" w:rsidP="00642DA0">
            <w:pPr>
              <w:rPr>
                <w:rFonts w:ascii="Arial" w:hAnsi="Arial" w:cs="Arial"/>
                <w:sz w:val="20"/>
                <w:szCs w:val="20"/>
              </w:rPr>
            </w:pPr>
            <w:r w:rsidRPr="009D1AD4">
              <w:rPr>
                <w:rFonts w:ascii="Arial" w:hAnsi="Arial" w:cs="Arial"/>
                <w:sz w:val="20"/>
                <w:szCs w:val="20"/>
              </w:rPr>
              <w:t>Dec. 1, 2016 - Nov. 30, 2017</w:t>
            </w:r>
          </w:p>
        </w:tc>
        <w:tc>
          <w:tcPr>
            <w:tcW w:w="160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58" w:type="dxa"/>
              <w:left w:w="115" w:type="dxa"/>
              <w:bottom w:w="58" w:type="dxa"/>
              <w:right w:w="115" w:type="dxa"/>
            </w:tcMar>
            <w:vAlign w:val="center"/>
            <w:hideMark/>
          </w:tcPr>
          <w:p w14:paraId="49123E07" w14:textId="77777777" w:rsidR="00642DA0" w:rsidRPr="009D1AD4" w:rsidRDefault="00642DA0" w:rsidP="00642DA0">
            <w:pPr>
              <w:rPr>
                <w:rFonts w:ascii="Arial" w:hAnsi="Arial" w:cs="Arial"/>
                <w:sz w:val="20"/>
                <w:szCs w:val="20"/>
              </w:rPr>
            </w:pPr>
            <w:r w:rsidRPr="009D1AD4">
              <w:rPr>
                <w:rFonts w:ascii="Arial" w:hAnsi="Arial" w:cs="Arial"/>
                <w:sz w:val="20"/>
                <w:szCs w:val="20"/>
              </w:rPr>
              <w:t>July 31, 2018</w:t>
            </w:r>
          </w:p>
        </w:tc>
        <w:tc>
          <w:tcPr>
            <w:tcW w:w="237" w:type="dxa"/>
            <w:tcBorders>
              <w:left w:val="single" w:sz="8" w:space="0" w:color="BFBFBF" w:themeColor="background1" w:themeShade="BF"/>
              <w:right w:val="single" w:sz="4" w:space="0" w:color="A6A6A6" w:themeColor="background1" w:themeShade="A6"/>
            </w:tcBorders>
          </w:tcPr>
          <w:p w14:paraId="10F8B060" w14:textId="77777777" w:rsidR="00642DA0" w:rsidRPr="009D1AD4" w:rsidRDefault="00642DA0" w:rsidP="00642DA0">
            <w:pPr>
              <w:rPr>
                <w:rFonts w:ascii="Arial" w:hAnsi="Arial" w:cs="Arial"/>
                <w:sz w:val="20"/>
                <w:szCs w:val="20"/>
              </w:rPr>
            </w:pPr>
          </w:p>
        </w:tc>
        <w:tc>
          <w:tcPr>
            <w:tcW w:w="2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DC302C" w14:textId="645328F3" w:rsidR="00642DA0" w:rsidRPr="009D1AD4" w:rsidRDefault="00642DA0" w:rsidP="00642DA0">
            <w:pPr>
              <w:rPr>
                <w:rFonts w:ascii="Arial" w:hAnsi="Arial" w:cs="Arial"/>
                <w:sz w:val="20"/>
                <w:szCs w:val="20"/>
              </w:rPr>
            </w:pPr>
            <w:r w:rsidRPr="009D1AD4">
              <w:rPr>
                <w:rFonts w:ascii="Arial" w:hAnsi="Arial" w:cs="Arial"/>
                <w:sz w:val="20"/>
                <w:szCs w:val="20"/>
              </w:rPr>
              <w:t>Dec. 1, 2017 - Nov. 30, 2018</w:t>
            </w:r>
          </w:p>
        </w:tc>
        <w:tc>
          <w:tcPr>
            <w:tcW w:w="1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30F874" w14:textId="6556D807" w:rsidR="00642DA0" w:rsidRPr="009D1AD4" w:rsidRDefault="00642DA0" w:rsidP="00642DA0">
            <w:pPr>
              <w:rPr>
                <w:rFonts w:ascii="Arial" w:hAnsi="Arial" w:cs="Arial"/>
                <w:sz w:val="20"/>
                <w:szCs w:val="20"/>
              </w:rPr>
            </w:pPr>
            <w:r w:rsidRPr="009D1AD4">
              <w:rPr>
                <w:rFonts w:ascii="Arial" w:hAnsi="Arial" w:cs="Arial"/>
                <w:sz w:val="20"/>
                <w:szCs w:val="20"/>
              </w:rPr>
              <w:t>July 31, 2019</w:t>
            </w:r>
          </w:p>
        </w:tc>
      </w:tr>
      <w:tr w:rsidR="00642DA0" w:rsidRPr="009D1AD4" w14:paraId="21638505" w14:textId="753EBE84" w:rsidTr="001204C3">
        <w:tc>
          <w:tcPr>
            <w:tcW w:w="2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58" w:type="dxa"/>
              <w:left w:w="115" w:type="dxa"/>
              <w:bottom w:w="58" w:type="dxa"/>
              <w:right w:w="115" w:type="dxa"/>
            </w:tcMar>
            <w:vAlign w:val="center"/>
            <w:hideMark/>
          </w:tcPr>
          <w:p w14:paraId="165F548E" w14:textId="77777777" w:rsidR="00642DA0" w:rsidRPr="009D1AD4" w:rsidRDefault="00642DA0" w:rsidP="00642DA0">
            <w:pPr>
              <w:rPr>
                <w:rFonts w:ascii="Arial" w:hAnsi="Arial" w:cs="Arial"/>
                <w:sz w:val="20"/>
                <w:szCs w:val="20"/>
              </w:rPr>
            </w:pPr>
            <w:r w:rsidRPr="009D1AD4">
              <w:rPr>
                <w:rFonts w:ascii="Arial" w:hAnsi="Arial" w:cs="Arial"/>
                <w:sz w:val="20"/>
                <w:szCs w:val="20"/>
              </w:rPr>
              <w:t>Jan. 1, 2017 - Dec. 31, 2017</w:t>
            </w:r>
          </w:p>
        </w:tc>
        <w:tc>
          <w:tcPr>
            <w:tcW w:w="160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58" w:type="dxa"/>
              <w:left w:w="115" w:type="dxa"/>
              <w:bottom w:w="58" w:type="dxa"/>
              <w:right w:w="115" w:type="dxa"/>
            </w:tcMar>
            <w:vAlign w:val="center"/>
            <w:hideMark/>
          </w:tcPr>
          <w:p w14:paraId="623B8B7F" w14:textId="77777777" w:rsidR="00642DA0" w:rsidRPr="009D1AD4" w:rsidRDefault="00642DA0" w:rsidP="00642DA0">
            <w:pPr>
              <w:rPr>
                <w:rFonts w:ascii="Arial" w:hAnsi="Arial" w:cs="Arial"/>
                <w:sz w:val="20"/>
                <w:szCs w:val="20"/>
              </w:rPr>
            </w:pPr>
            <w:r w:rsidRPr="009D1AD4">
              <w:rPr>
                <w:rFonts w:ascii="Arial" w:hAnsi="Arial" w:cs="Arial"/>
                <w:sz w:val="20"/>
                <w:szCs w:val="20"/>
              </w:rPr>
              <w:t>July 31, 2018</w:t>
            </w:r>
          </w:p>
        </w:tc>
        <w:tc>
          <w:tcPr>
            <w:tcW w:w="237" w:type="dxa"/>
            <w:tcBorders>
              <w:left w:val="single" w:sz="8" w:space="0" w:color="BFBFBF" w:themeColor="background1" w:themeShade="BF"/>
              <w:right w:val="single" w:sz="4" w:space="0" w:color="A6A6A6" w:themeColor="background1" w:themeShade="A6"/>
            </w:tcBorders>
          </w:tcPr>
          <w:p w14:paraId="3983B88B" w14:textId="77777777" w:rsidR="00642DA0" w:rsidRPr="009D1AD4" w:rsidRDefault="00642DA0" w:rsidP="00642DA0">
            <w:pPr>
              <w:rPr>
                <w:rFonts w:ascii="Arial" w:hAnsi="Arial" w:cs="Arial"/>
                <w:sz w:val="20"/>
                <w:szCs w:val="20"/>
              </w:rPr>
            </w:pPr>
          </w:p>
        </w:tc>
        <w:tc>
          <w:tcPr>
            <w:tcW w:w="2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6F6D65" w14:textId="7CF954A6" w:rsidR="00642DA0" w:rsidRPr="009D1AD4" w:rsidRDefault="00642DA0" w:rsidP="00642DA0">
            <w:pPr>
              <w:rPr>
                <w:rFonts w:ascii="Arial" w:hAnsi="Arial" w:cs="Arial"/>
                <w:sz w:val="20"/>
                <w:szCs w:val="20"/>
              </w:rPr>
            </w:pPr>
            <w:r w:rsidRPr="009D1AD4">
              <w:rPr>
                <w:rFonts w:ascii="Arial" w:hAnsi="Arial" w:cs="Arial"/>
                <w:sz w:val="20"/>
                <w:szCs w:val="20"/>
                <w:shd w:val="clear" w:color="auto" w:fill="FFFF00"/>
              </w:rPr>
              <w:t>Jan. 1, 2018 -</w:t>
            </w:r>
            <w:r w:rsidR="00055049">
              <w:rPr>
                <w:rFonts w:ascii="Arial" w:hAnsi="Arial" w:cs="Arial"/>
                <w:sz w:val="20"/>
                <w:szCs w:val="20"/>
                <w:shd w:val="clear" w:color="auto" w:fill="FFFF00"/>
              </w:rPr>
              <w:t xml:space="preserve"> </w:t>
            </w:r>
            <w:r w:rsidRPr="009D1AD4">
              <w:rPr>
                <w:rFonts w:ascii="Arial" w:hAnsi="Arial" w:cs="Arial"/>
                <w:sz w:val="20"/>
                <w:szCs w:val="20"/>
                <w:shd w:val="clear" w:color="auto" w:fill="FFFF00"/>
              </w:rPr>
              <w:t>Dec. 31, 2018</w:t>
            </w:r>
          </w:p>
        </w:tc>
        <w:tc>
          <w:tcPr>
            <w:tcW w:w="1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C483D9" w14:textId="59CABB0B" w:rsidR="00642DA0" w:rsidRPr="009D1AD4" w:rsidRDefault="00642DA0" w:rsidP="00642DA0">
            <w:pPr>
              <w:rPr>
                <w:rFonts w:ascii="Arial" w:hAnsi="Arial" w:cs="Arial"/>
                <w:sz w:val="20"/>
                <w:szCs w:val="20"/>
              </w:rPr>
            </w:pPr>
            <w:r w:rsidRPr="009D1AD4">
              <w:rPr>
                <w:rFonts w:ascii="Arial" w:hAnsi="Arial" w:cs="Arial"/>
                <w:sz w:val="20"/>
                <w:szCs w:val="20"/>
                <w:shd w:val="clear" w:color="auto" w:fill="FFFF00"/>
              </w:rPr>
              <w:t>July 31, 2019</w:t>
            </w:r>
          </w:p>
        </w:tc>
      </w:tr>
      <w:tr w:rsidR="00642DA0" w:rsidRPr="009D1AD4" w14:paraId="79522203" w14:textId="75EFA961" w:rsidTr="001204C3">
        <w:tc>
          <w:tcPr>
            <w:tcW w:w="2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58" w:type="dxa"/>
              <w:left w:w="115" w:type="dxa"/>
              <w:bottom w:w="58" w:type="dxa"/>
              <w:right w:w="115" w:type="dxa"/>
            </w:tcMar>
            <w:vAlign w:val="center"/>
            <w:hideMark/>
          </w:tcPr>
          <w:p w14:paraId="01F2CA4A" w14:textId="77777777" w:rsidR="00642DA0" w:rsidRPr="009D1AD4" w:rsidRDefault="00642DA0" w:rsidP="00642DA0">
            <w:pPr>
              <w:rPr>
                <w:rFonts w:ascii="Arial" w:hAnsi="Arial" w:cs="Arial"/>
                <w:sz w:val="20"/>
                <w:szCs w:val="20"/>
              </w:rPr>
            </w:pPr>
            <w:r w:rsidRPr="009D1AD4">
              <w:rPr>
                <w:rFonts w:ascii="Arial" w:hAnsi="Arial" w:cs="Arial"/>
                <w:sz w:val="20"/>
                <w:szCs w:val="20"/>
              </w:rPr>
              <w:t>Feb. 1, 2017 - Jan. 31, 2018</w:t>
            </w:r>
          </w:p>
        </w:tc>
        <w:tc>
          <w:tcPr>
            <w:tcW w:w="160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58" w:type="dxa"/>
              <w:left w:w="115" w:type="dxa"/>
              <w:bottom w:w="58" w:type="dxa"/>
              <w:right w:w="115" w:type="dxa"/>
            </w:tcMar>
            <w:vAlign w:val="center"/>
            <w:hideMark/>
          </w:tcPr>
          <w:p w14:paraId="5A473892" w14:textId="77777777" w:rsidR="00642DA0" w:rsidRPr="009D1AD4" w:rsidRDefault="00642DA0" w:rsidP="00642DA0">
            <w:pPr>
              <w:rPr>
                <w:rFonts w:ascii="Arial" w:hAnsi="Arial" w:cs="Arial"/>
                <w:sz w:val="20"/>
                <w:szCs w:val="20"/>
              </w:rPr>
            </w:pPr>
            <w:r w:rsidRPr="009D1AD4">
              <w:rPr>
                <w:rFonts w:ascii="Arial" w:hAnsi="Arial" w:cs="Arial"/>
                <w:sz w:val="20"/>
                <w:szCs w:val="20"/>
              </w:rPr>
              <w:t>July 31, 2019</w:t>
            </w:r>
          </w:p>
        </w:tc>
        <w:tc>
          <w:tcPr>
            <w:tcW w:w="237" w:type="dxa"/>
            <w:tcBorders>
              <w:left w:val="single" w:sz="8" w:space="0" w:color="BFBFBF" w:themeColor="background1" w:themeShade="BF"/>
              <w:right w:val="single" w:sz="4" w:space="0" w:color="A6A6A6" w:themeColor="background1" w:themeShade="A6"/>
            </w:tcBorders>
          </w:tcPr>
          <w:p w14:paraId="26C37387" w14:textId="77777777" w:rsidR="00642DA0" w:rsidRPr="009D1AD4" w:rsidRDefault="00642DA0" w:rsidP="00642DA0">
            <w:pPr>
              <w:rPr>
                <w:rFonts w:ascii="Arial" w:hAnsi="Arial" w:cs="Arial"/>
                <w:sz w:val="20"/>
                <w:szCs w:val="20"/>
              </w:rPr>
            </w:pPr>
          </w:p>
        </w:tc>
        <w:tc>
          <w:tcPr>
            <w:tcW w:w="2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21BE75" w14:textId="5176786D" w:rsidR="00642DA0" w:rsidRPr="009D1AD4" w:rsidRDefault="00642DA0" w:rsidP="00642DA0">
            <w:pPr>
              <w:rPr>
                <w:rFonts w:ascii="Arial" w:hAnsi="Arial" w:cs="Arial"/>
                <w:sz w:val="20"/>
                <w:szCs w:val="20"/>
              </w:rPr>
            </w:pPr>
            <w:r w:rsidRPr="009D1AD4">
              <w:rPr>
                <w:rFonts w:ascii="Arial" w:hAnsi="Arial" w:cs="Arial"/>
                <w:sz w:val="20"/>
                <w:szCs w:val="20"/>
              </w:rPr>
              <w:t>Feb. 1, 2018 - Jan. 31, 2019</w:t>
            </w:r>
          </w:p>
        </w:tc>
        <w:tc>
          <w:tcPr>
            <w:tcW w:w="1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94777A" w14:textId="48F6C8DC" w:rsidR="00642DA0" w:rsidRPr="009D1AD4" w:rsidRDefault="00642DA0" w:rsidP="00642DA0">
            <w:pPr>
              <w:rPr>
                <w:rFonts w:ascii="Arial" w:hAnsi="Arial" w:cs="Arial"/>
                <w:sz w:val="20"/>
                <w:szCs w:val="20"/>
              </w:rPr>
            </w:pPr>
            <w:r w:rsidRPr="009D1AD4">
              <w:rPr>
                <w:rFonts w:ascii="Arial" w:hAnsi="Arial" w:cs="Arial"/>
                <w:sz w:val="20"/>
                <w:szCs w:val="20"/>
              </w:rPr>
              <w:t>July 31, 2020</w:t>
            </w:r>
          </w:p>
        </w:tc>
      </w:tr>
      <w:tr w:rsidR="00642DA0" w:rsidRPr="009D1AD4" w14:paraId="47A58742" w14:textId="28F27E7C" w:rsidTr="001204C3">
        <w:tc>
          <w:tcPr>
            <w:tcW w:w="2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58" w:type="dxa"/>
              <w:left w:w="115" w:type="dxa"/>
              <w:bottom w:w="58" w:type="dxa"/>
              <w:right w:w="115" w:type="dxa"/>
            </w:tcMar>
            <w:vAlign w:val="center"/>
            <w:hideMark/>
          </w:tcPr>
          <w:p w14:paraId="5EEFD04A" w14:textId="77777777" w:rsidR="00642DA0" w:rsidRPr="009D1AD4" w:rsidRDefault="00642DA0" w:rsidP="00642DA0">
            <w:pPr>
              <w:rPr>
                <w:rFonts w:ascii="Arial" w:hAnsi="Arial" w:cs="Arial"/>
                <w:sz w:val="20"/>
                <w:szCs w:val="20"/>
              </w:rPr>
            </w:pPr>
            <w:r w:rsidRPr="009D1AD4">
              <w:rPr>
                <w:rFonts w:ascii="Arial" w:hAnsi="Arial" w:cs="Arial"/>
                <w:sz w:val="20"/>
                <w:szCs w:val="20"/>
              </w:rPr>
              <w:t>March 1, 2017 - Feb. 28, 2018</w:t>
            </w:r>
          </w:p>
        </w:tc>
        <w:tc>
          <w:tcPr>
            <w:tcW w:w="160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58" w:type="dxa"/>
              <w:left w:w="115" w:type="dxa"/>
              <w:bottom w:w="58" w:type="dxa"/>
              <w:right w:w="115" w:type="dxa"/>
            </w:tcMar>
            <w:vAlign w:val="center"/>
            <w:hideMark/>
          </w:tcPr>
          <w:p w14:paraId="311682D2" w14:textId="77777777" w:rsidR="00642DA0" w:rsidRPr="009D1AD4" w:rsidRDefault="00642DA0" w:rsidP="00642DA0">
            <w:pPr>
              <w:rPr>
                <w:rFonts w:ascii="Arial" w:hAnsi="Arial" w:cs="Arial"/>
                <w:sz w:val="20"/>
                <w:szCs w:val="20"/>
              </w:rPr>
            </w:pPr>
            <w:r w:rsidRPr="009D1AD4">
              <w:rPr>
                <w:rFonts w:ascii="Arial" w:hAnsi="Arial" w:cs="Arial"/>
                <w:sz w:val="20"/>
                <w:szCs w:val="20"/>
              </w:rPr>
              <w:t>July 31, 2019</w:t>
            </w:r>
          </w:p>
        </w:tc>
        <w:tc>
          <w:tcPr>
            <w:tcW w:w="237" w:type="dxa"/>
            <w:tcBorders>
              <w:left w:val="single" w:sz="8" w:space="0" w:color="BFBFBF" w:themeColor="background1" w:themeShade="BF"/>
              <w:right w:val="single" w:sz="4" w:space="0" w:color="A6A6A6" w:themeColor="background1" w:themeShade="A6"/>
            </w:tcBorders>
          </w:tcPr>
          <w:p w14:paraId="62F55368" w14:textId="77777777" w:rsidR="00642DA0" w:rsidRPr="009D1AD4" w:rsidRDefault="00642DA0" w:rsidP="00642DA0">
            <w:pPr>
              <w:rPr>
                <w:rFonts w:ascii="Arial" w:hAnsi="Arial" w:cs="Arial"/>
                <w:sz w:val="20"/>
                <w:szCs w:val="20"/>
              </w:rPr>
            </w:pPr>
          </w:p>
        </w:tc>
        <w:tc>
          <w:tcPr>
            <w:tcW w:w="2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9AFFE2" w14:textId="3E8482E7" w:rsidR="00642DA0" w:rsidRPr="009D1AD4" w:rsidRDefault="00642DA0" w:rsidP="00642DA0">
            <w:pPr>
              <w:rPr>
                <w:rFonts w:ascii="Arial" w:hAnsi="Arial" w:cs="Arial"/>
                <w:sz w:val="20"/>
                <w:szCs w:val="20"/>
              </w:rPr>
            </w:pPr>
            <w:r w:rsidRPr="009D1AD4">
              <w:rPr>
                <w:rFonts w:ascii="Arial" w:hAnsi="Arial" w:cs="Arial"/>
                <w:sz w:val="20"/>
                <w:szCs w:val="20"/>
              </w:rPr>
              <w:t>March 1, 2018 - Feb. 28, 2019</w:t>
            </w:r>
          </w:p>
        </w:tc>
        <w:tc>
          <w:tcPr>
            <w:tcW w:w="1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574E48" w14:textId="7C9EAFBB" w:rsidR="00642DA0" w:rsidRPr="009D1AD4" w:rsidRDefault="00642DA0" w:rsidP="00642DA0">
            <w:pPr>
              <w:rPr>
                <w:rFonts w:ascii="Arial" w:hAnsi="Arial" w:cs="Arial"/>
                <w:sz w:val="20"/>
                <w:szCs w:val="20"/>
              </w:rPr>
            </w:pPr>
            <w:r w:rsidRPr="009D1AD4">
              <w:rPr>
                <w:rFonts w:ascii="Arial" w:hAnsi="Arial" w:cs="Arial"/>
                <w:sz w:val="20"/>
                <w:szCs w:val="20"/>
              </w:rPr>
              <w:t>July 31, 2020</w:t>
            </w:r>
          </w:p>
        </w:tc>
      </w:tr>
      <w:tr w:rsidR="00642DA0" w:rsidRPr="009D1AD4" w14:paraId="46B56311" w14:textId="4E2527F9" w:rsidTr="001204C3">
        <w:tc>
          <w:tcPr>
            <w:tcW w:w="2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58" w:type="dxa"/>
              <w:left w:w="115" w:type="dxa"/>
              <w:bottom w:w="58" w:type="dxa"/>
              <w:right w:w="115" w:type="dxa"/>
            </w:tcMar>
            <w:vAlign w:val="center"/>
            <w:hideMark/>
          </w:tcPr>
          <w:p w14:paraId="3442C811" w14:textId="77777777" w:rsidR="00642DA0" w:rsidRPr="009D1AD4" w:rsidRDefault="00642DA0" w:rsidP="00642DA0">
            <w:pPr>
              <w:rPr>
                <w:rFonts w:ascii="Arial" w:hAnsi="Arial" w:cs="Arial"/>
                <w:sz w:val="20"/>
                <w:szCs w:val="20"/>
              </w:rPr>
            </w:pPr>
            <w:r w:rsidRPr="009D1AD4">
              <w:rPr>
                <w:rFonts w:ascii="Arial" w:hAnsi="Arial" w:cs="Arial"/>
                <w:sz w:val="20"/>
                <w:szCs w:val="20"/>
              </w:rPr>
              <w:t>April 1, 2017 - March 31, 2018</w:t>
            </w:r>
          </w:p>
        </w:tc>
        <w:tc>
          <w:tcPr>
            <w:tcW w:w="160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58" w:type="dxa"/>
              <w:left w:w="115" w:type="dxa"/>
              <w:bottom w:w="58" w:type="dxa"/>
              <w:right w:w="115" w:type="dxa"/>
            </w:tcMar>
            <w:vAlign w:val="center"/>
            <w:hideMark/>
          </w:tcPr>
          <w:p w14:paraId="01020CE5" w14:textId="77777777" w:rsidR="00642DA0" w:rsidRPr="009D1AD4" w:rsidRDefault="00642DA0" w:rsidP="00642DA0">
            <w:pPr>
              <w:rPr>
                <w:rFonts w:ascii="Arial" w:hAnsi="Arial" w:cs="Arial"/>
                <w:sz w:val="20"/>
                <w:szCs w:val="20"/>
              </w:rPr>
            </w:pPr>
            <w:r w:rsidRPr="009D1AD4">
              <w:rPr>
                <w:rFonts w:ascii="Arial" w:hAnsi="Arial" w:cs="Arial"/>
                <w:sz w:val="20"/>
                <w:szCs w:val="20"/>
              </w:rPr>
              <w:t>July 31, 2019</w:t>
            </w:r>
          </w:p>
        </w:tc>
        <w:tc>
          <w:tcPr>
            <w:tcW w:w="237" w:type="dxa"/>
            <w:tcBorders>
              <w:left w:val="single" w:sz="8" w:space="0" w:color="BFBFBF" w:themeColor="background1" w:themeShade="BF"/>
              <w:right w:val="single" w:sz="4" w:space="0" w:color="A6A6A6" w:themeColor="background1" w:themeShade="A6"/>
            </w:tcBorders>
          </w:tcPr>
          <w:p w14:paraId="6EEB947C" w14:textId="77777777" w:rsidR="00642DA0" w:rsidRPr="009D1AD4" w:rsidRDefault="00642DA0" w:rsidP="00642DA0">
            <w:pPr>
              <w:rPr>
                <w:rFonts w:ascii="Arial" w:hAnsi="Arial" w:cs="Arial"/>
                <w:sz w:val="20"/>
                <w:szCs w:val="20"/>
              </w:rPr>
            </w:pPr>
          </w:p>
        </w:tc>
        <w:tc>
          <w:tcPr>
            <w:tcW w:w="2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E1F993" w14:textId="6EC894A3" w:rsidR="00642DA0" w:rsidRPr="009D1AD4" w:rsidRDefault="00642DA0" w:rsidP="00642DA0">
            <w:pPr>
              <w:rPr>
                <w:rFonts w:ascii="Arial" w:hAnsi="Arial" w:cs="Arial"/>
                <w:sz w:val="20"/>
                <w:szCs w:val="20"/>
              </w:rPr>
            </w:pPr>
            <w:r w:rsidRPr="009D1AD4">
              <w:rPr>
                <w:rFonts w:ascii="Arial" w:hAnsi="Arial" w:cs="Arial"/>
                <w:sz w:val="20"/>
                <w:szCs w:val="20"/>
              </w:rPr>
              <w:t>April 1, 2018 - March 31, 2019</w:t>
            </w:r>
          </w:p>
        </w:tc>
        <w:tc>
          <w:tcPr>
            <w:tcW w:w="1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30580B" w14:textId="1FFB2D39" w:rsidR="00642DA0" w:rsidRPr="009D1AD4" w:rsidRDefault="00642DA0" w:rsidP="00642DA0">
            <w:pPr>
              <w:rPr>
                <w:rFonts w:ascii="Arial" w:hAnsi="Arial" w:cs="Arial"/>
                <w:sz w:val="20"/>
                <w:szCs w:val="20"/>
              </w:rPr>
            </w:pPr>
            <w:r w:rsidRPr="009D1AD4">
              <w:rPr>
                <w:rFonts w:ascii="Arial" w:hAnsi="Arial" w:cs="Arial"/>
                <w:sz w:val="20"/>
                <w:szCs w:val="20"/>
              </w:rPr>
              <w:t>July 31, 2020</w:t>
            </w:r>
          </w:p>
        </w:tc>
      </w:tr>
      <w:tr w:rsidR="00642DA0" w:rsidRPr="009D1AD4" w14:paraId="077089A5" w14:textId="534CF635" w:rsidTr="001204C3">
        <w:tc>
          <w:tcPr>
            <w:tcW w:w="2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58" w:type="dxa"/>
              <w:left w:w="115" w:type="dxa"/>
              <w:bottom w:w="58" w:type="dxa"/>
              <w:right w:w="115" w:type="dxa"/>
            </w:tcMar>
            <w:vAlign w:val="center"/>
            <w:hideMark/>
          </w:tcPr>
          <w:p w14:paraId="37A64DA8" w14:textId="77777777" w:rsidR="00642DA0" w:rsidRPr="009D1AD4" w:rsidRDefault="00642DA0" w:rsidP="00642DA0">
            <w:pPr>
              <w:rPr>
                <w:rFonts w:ascii="Arial" w:hAnsi="Arial" w:cs="Arial"/>
                <w:sz w:val="20"/>
                <w:szCs w:val="20"/>
              </w:rPr>
            </w:pPr>
            <w:r w:rsidRPr="009D1AD4">
              <w:rPr>
                <w:rFonts w:ascii="Arial" w:hAnsi="Arial" w:cs="Arial"/>
                <w:sz w:val="20"/>
                <w:szCs w:val="20"/>
              </w:rPr>
              <w:t>May 1, 2017 - April 30, 2018</w:t>
            </w:r>
          </w:p>
        </w:tc>
        <w:tc>
          <w:tcPr>
            <w:tcW w:w="160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58" w:type="dxa"/>
              <w:left w:w="115" w:type="dxa"/>
              <w:bottom w:w="58" w:type="dxa"/>
              <w:right w:w="115" w:type="dxa"/>
            </w:tcMar>
            <w:vAlign w:val="center"/>
            <w:hideMark/>
          </w:tcPr>
          <w:p w14:paraId="01FDFA1B" w14:textId="77777777" w:rsidR="00642DA0" w:rsidRPr="009D1AD4" w:rsidRDefault="00642DA0" w:rsidP="00642DA0">
            <w:pPr>
              <w:rPr>
                <w:rFonts w:ascii="Arial" w:hAnsi="Arial" w:cs="Arial"/>
                <w:sz w:val="20"/>
                <w:szCs w:val="20"/>
              </w:rPr>
            </w:pPr>
            <w:r w:rsidRPr="009D1AD4">
              <w:rPr>
                <w:rFonts w:ascii="Arial" w:hAnsi="Arial" w:cs="Arial"/>
                <w:sz w:val="20"/>
                <w:szCs w:val="20"/>
              </w:rPr>
              <w:t>July 31, 2019</w:t>
            </w:r>
          </w:p>
        </w:tc>
        <w:tc>
          <w:tcPr>
            <w:tcW w:w="237" w:type="dxa"/>
            <w:tcBorders>
              <w:left w:val="single" w:sz="8" w:space="0" w:color="BFBFBF" w:themeColor="background1" w:themeShade="BF"/>
              <w:right w:val="single" w:sz="4" w:space="0" w:color="A6A6A6" w:themeColor="background1" w:themeShade="A6"/>
            </w:tcBorders>
          </w:tcPr>
          <w:p w14:paraId="14E2FE42" w14:textId="77777777" w:rsidR="00642DA0" w:rsidRPr="009D1AD4" w:rsidRDefault="00642DA0" w:rsidP="00642DA0">
            <w:pPr>
              <w:rPr>
                <w:rFonts w:ascii="Arial" w:hAnsi="Arial" w:cs="Arial"/>
                <w:sz w:val="20"/>
                <w:szCs w:val="20"/>
              </w:rPr>
            </w:pPr>
          </w:p>
        </w:tc>
        <w:tc>
          <w:tcPr>
            <w:tcW w:w="2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4FF6ED" w14:textId="0202AEDD" w:rsidR="00642DA0" w:rsidRPr="009D1AD4" w:rsidRDefault="00642DA0" w:rsidP="00642DA0">
            <w:pPr>
              <w:rPr>
                <w:rFonts w:ascii="Arial" w:hAnsi="Arial" w:cs="Arial"/>
                <w:sz w:val="20"/>
                <w:szCs w:val="20"/>
              </w:rPr>
            </w:pPr>
            <w:r w:rsidRPr="009D1AD4">
              <w:rPr>
                <w:rFonts w:ascii="Arial" w:hAnsi="Arial" w:cs="Arial"/>
                <w:sz w:val="20"/>
                <w:szCs w:val="20"/>
              </w:rPr>
              <w:t>May 1, 2018 - April 30, 2019</w:t>
            </w:r>
          </w:p>
        </w:tc>
        <w:tc>
          <w:tcPr>
            <w:tcW w:w="1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C0DFAD" w14:textId="3BFB0EE1" w:rsidR="00642DA0" w:rsidRPr="009D1AD4" w:rsidRDefault="00642DA0" w:rsidP="00642DA0">
            <w:pPr>
              <w:rPr>
                <w:rFonts w:ascii="Arial" w:hAnsi="Arial" w:cs="Arial"/>
                <w:sz w:val="20"/>
                <w:szCs w:val="20"/>
              </w:rPr>
            </w:pPr>
            <w:r w:rsidRPr="009D1AD4">
              <w:rPr>
                <w:rFonts w:ascii="Arial" w:hAnsi="Arial" w:cs="Arial"/>
                <w:sz w:val="20"/>
                <w:szCs w:val="20"/>
              </w:rPr>
              <w:t>July 31, 2020</w:t>
            </w:r>
          </w:p>
        </w:tc>
      </w:tr>
      <w:tr w:rsidR="00642DA0" w:rsidRPr="009D1AD4" w14:paraId="4B1641A8" w14:textId="4CCB0F60" w:rsidTr="001204C3">
        <w:tc>
          <w:tcPr>
            <w:tcW w:w="2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58" w:type="dxa"/>
              <w:left w:w="115" w:type="dxa"/>
              <w:bottom w:w="58" w:type="dxa"/>
              <w:right w:w="115" w:type="dxa"/>
            </w:tcMar>
            <w:vAlign w:val="center"/>
            <w:hideMark/>
          </w:tcPr>
          <w:p w14:paraId="035D3C64" w14:textId="77777777" w:rsidR="00642DA0" w:rsidRPr="009D1AD4" w:rsidRDefault="00642DA0" w:rsidP="00642DA0">
            <w:pPr>
              <w:rPr>
                <w:rFonts w:ascii="Arial" w:hAnsi="Arial" w:cs="Arial"/>
                <w:sz w:val="20"/>
                <w:szCs w:val="20"/>
              </w:rPr>
            </w:pPr>
            <w:r w:rsidRPr="009D1AD4">
              <w:rPr>
                <w:rFonts w:ascii="Arial" w:hAnsi="Arial" w:cs="Arial"/>
                <w:sz w:val="20"/>
                <w:szCs w:val="20"/>
              </w:rPr>
              <w:t>June 1, 2017 - May 31, 2018</w:t>
            </w:r>
          </w:p>
        </w:tc>
        <w:tc>
          <w:tcPr>
            <w:tcW w:w="160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58" w:type="dxa"/>
              <w:left w:w="115" w:type="dxa"/>
              <w:bottom w:w="58" w:type="dxa"/>
              <w:right w:w="115" w:type="dxa"/>
            </w:tcMar>
            <w:vAlign w:val="center"/>
            <w:hideMark/>
          </w:tcPr>
          <w:p w14:paraId="2AE26A56" w14:textId="77777777" w:rsidR="00642DA0" w:rsidRPr="009D1AD4" w:rsidRDefault="00642DA0" w:rsidP="00642DA0">
            <w:pPr>
              <w:rPr>
                <w:rFonts w:ascii="Arial" w:hAnsi="Arial" w:cs="Arial"/>
                <w:sz w:val="20"/>
                <w:szCs w:val="20"/>
              </w:rPr>
            </w:pPr>
            <w:r w:rsidRPr="009D1AD4">
              <w:rPr>
                <w:rFonts w:ascii="Arial" w:hAnsi="Arial" w:cs="Arial"/>
                <w:sz w:val="20"/>
                <w:szCs w:val="20"/>
              </w:rPr>
              <w:t>July 31, 2019</w:t>
            </w:r>
          </w:p>
        </w:tc>
        <w:tc>
          <w:tcPr>
            <w:tcW w:w="237" w:type="dxa"/>
            <w:tcBorders>
              <w:left w:val="single" w:sz="8" w:space="0" w:color="BFBFBF" w:themeColor="background1" w:themeShade="BF"/>
              <w:right w:val="single" w:sz="4" w:space="0" w:color="A6A6A6" w:themeColor="background1" w:themeShade="A6"/>
            </w:tcBorders>
          </w:tcPr>
          <w:p w14:paraId="4CB2C356" w14:textId="77777777" w:rsidR="00642DA0" w:rsidRPr="009D1AD4" w:rsidRDefault="00642DA0" w:rsidP="00642DA0">
            <w:pPr>
              <w:rPr>
                <w:rFonts w:ascii="Arial" w:hAnsi="Arial" w:cs="Arial"/>
                <w:sz w:val="20"/>
                <w:szCs w:val="20"/>
              </w:rPr>
            </w:pPr>
          </w:p>
        </w:tc>
        <w:tc>
          <w:tcPr>
            <w:tcW w:w="2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2B9A28" w14:textId="2976A93B" w:rsidR="00642DA0" w:rsidRPr="009D1AD4" w:rsidRDefault="00642DA0" w:rsidP="00642DA0">
            <w:pPr>
              <w:rPr>
                <w:rFonts w:ascii="Arial" w:hAnsi="Arial" w:cs="Arial"/>
                <w:sz w:val="20"/>
                <w:szCs w:val="20"/>
              </w:rPr>
            </w:pPr>
            <w:r w:rsidRPr="009D1AD4">
              <w:rPr>
                <w:rFonts w:ascii="Arial" w:hAnsi="Arial" w:cs="Arial"/>
                <w:sz w:val="20"/>
                <w:szCs w:val="20"/>
              </w:rPr>
              <w:t>June 1, 2018 - May 31, 2019</w:t>
            </w:r>
          </w:p>
        </w:tc>
        <w:tc>
          <w:tcPr>
            <w:tcW w:w="1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C5D803" w14:textId="4846FE98" w:rsidR="00642DA0" w:rsidRPr="009D1AD4" w:rsidRDefault="00642DA0" w:rsidP="00642DA0">
            <w:pPr>
              <w:rPr>
                <w:rFonts w:ascii="Arial" w:hAnsi="Arial" w:cs="Arial"/>
                <w:sz w:val="20"/>
                <w:szCs w:val="20"/>
              </w:rPr>
            </w:pPr>
            <w:r w:rsidRPr="009D1AD4">
              <w:rPr>
                <w:rFonts w:ascii="Arial" w:hAnsi="Arial" w:cs="Arial"/>
                <w:sz w:val="20"/>
                <w:szCs w:val="20"/>
              </w:rPr>
              <w:t>July 31, 2020</w:t>
            </w:r>
          </w:p>
        </w:tc>
      </w:tr>
      <w:tr w:rsidR="00642DA0" w:rsidRPr="009D1AD4" w14:paraId="185BF138" w14:textId="63578998" w:rsidTr="001204C3">
        <w:tc>
          <w:tcPr>
            <w:tcW w:w="2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58" w:type="dxa"/>
              <w:left w:w="115" w:type="dxa"/>
              <w:bottom w:w="58" w:type="dxa"/>
              <w:right w:w="115" w:type="dxa"/>
            </w:tcMar>
            <w:vAlign w:val="center"/>
            <w:hideMark/>
          </w:tcPr>
          <w:p w14:paraId="2FE1A9DE" w14:textId="77777777" w:rsidR="00642DA0" w:rsidRPr="009D1AD4" w:rsidRDefault="00642DA0" w:rsidP="00642DA0">
            <w:pPr>
              <w:rPr>
                <w:rFonts w:ascii="Arial" w:hAnsi="Arial" w:cs="Arial"/>
                <w:sz w:val="20"/>
                <w:szCs w:val="20"/>
              </w:rPr>
            </w:pPr>
            <w:r w:rsidRPr="009D1AD4">
              <w:rPr>
                <w:rFonts w:ascii="Arial" w:hAnsi="Arial" w:cs="Arial"/>
                <w:sz w:val="20"/>
                <w:szCs w:val="20"/>
                <w:shd w:val="clear" w:color="auto" w:fill="FFFF00"/>
              </w:rPr>
              <w:t>July 1, 2017 - June 30, 2018</w:t>
            </w:r>
          </w:p>
        </w:tc>
        <w:tc>
          <w:tcPr>
            <w:tcW w:w="160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58" w:type="dxa"/>
              <w:left w:w="115" w:type="dxa"/>
              <w:bottom w:w="58" w:type="dxa"/>
              <w:right w:w="115" w:type="dxa"/>
            </w:tcMar>
            <w:vAlign w:val="center"/>
            <w:hideMark/>
          </w:tcPr>
          <w:p w14:paraId="7F3E6955" w14:textId="77777777" w:rsidR="00642DA0" w:rsidRPr="009D1AD4" w:rsidRDefault="00642DA0" w:rsidP="00642DA0">
            <w:pPr>
              <w:rPr>
                <w:rFonts w:ascii="Arial" w:hAnsi="Arial" w:cs="Arial"/>
                <w:sz w:val="20"/>
                <w:szCs w:val="20"/>
              </w:rPr>
            </w:pPr>
            <w:r w:rsidRPr="009D1AD4">
              <w:rPr>
                <w:rFonts w:ascii="Arial" w:hAnsi="Arial" w:cs="Arial"/>
                <w:sz w:val="20"/>
                <w:szCs w:val="20"/>
                <w:shd w:val="clear" w:color="auto" w:fill="FFFF00"/>
              </w:rPr>
              <w:t>July 31, 2019</w:t>
            </w:r>
          </w:p>
        </w:tc>
        <w:tc>
          <w:tcPr>
            <w:tcW w:w="237" w:type="dxa"/>
            <w:tcBorders>
              <w:left w:val="single" w:sz="8" w:space="0" w:color="BFBFBF" w:themeColor="background1" w:themeShade="BF"/>
              <w:right w:val="single" w:sz="4" w:space="0" w:color="A6A6A6" w:themeColor="background1" w:themeShade="A6"/>
            </w:tcBorders>
          </w:tcPr>
          <w:p w14:paraId="73C9E6CF" w14:textId="77777777" w:rsidR="00642DA0" w:rsidRPr="009D1AD4" w:rsidRDefault="00642DA0" w:rsidP="00642DA0">
            <w:pPr>
              <w:rPr>
                <w:rFonts w:ascii="Arial" w:hAnsi="Arial" w:cs="Arial"/>
                <w:sz w:val="20"/>
                <w:szCs w:val="20"/>
                <w:shd w:val="clear" w:color="auto" w:fill="FFFF00"/>
              </w:rPr>
            </w:pPr>
          </w:p>
        </w:tc>
        <w:tc>
          <w:tcPr>
            <w:tcW w:w="2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78DC91" w14:textId="66A1F5F7" w:rsidR="00642DA0" w:rsidRPr="009D1AD4" w:rsidRDefault="00642DA0" w:rsidP="00642DA0">
            <w:pPr>
              <w:rPr>
                <w:rFonts w:ascii="Arial" w:hAnsi="Arial" w:cs="Arial"/>
                <w:sz w:val="20"/>
                <w:szCs w:val="20"/>
                <w:shd w:val="clear" w:color="auto" w:fill="FFFF00"/>
              </w:rPr>
            </w:pPr>
            <w:r w:rsidRPr="009D1AD4">
              <w:rPr>
                <w:rFonts w:ascii="Arial" w:hAnsi="Arial" w:cs="Arial"/>
                <w:sz w:val="20"/>
                <w:szCs w:val="20"/>
              </w:rPr>
              <w:t>July 1, 2018 - June 30, 2019</w:t>
            </w:r>
          </w:p>
        </w:tc>
        <w:tc>
          <w:tcPr>
            <w:tcW w:w="1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B26C6F" w14:textId="6E660262" w:rsidR="00642DA0" w:rsidRPr="009D1AD4" w:rsidRDefault="00642DA0" w:rsidP="00642DA0">
            <w:pPr>
              <w:rPr>
                <w:rFonts w:ascii="Arial" w:hAnsi="Arial" w:cs="Arial"/>
                <w:sz w:val="20"/>
                <w:szCs w:val="20"/>
                <w:shd w:val="clear" w:color="auto" w:fill="FFFF00"/>
              </w:rPr>
            </w:pPr>
            <w:r w:rsidRPr="009D1AD4">
              <w:rPr>
                <w:rFonts w:ascii="Arial" w:hAnsi="Arial" w:cs="Arial"/>
                <w:sz w:val="20"/>
                <w:szCs w:val="20"/>
              </w:rPr>
              <w:t>July 31, 2020</w:t>
            </w:r>
          </w:p>
        </w:tc>
      </w:tr>
      <w:tr w:rsidR="00642DA0" w:rsidRPr="009D1AD4" w14:paraId="7465C0DB" w14:textId="19726BDB" w:rsidTr="001204C3">
        <w:tc>
          <w:tcPr>
            <w:tcW w:w="2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58" w:type="dxa"/>
              <w:left w:w="115" w:type="dxa"/>
              <w:bottom w:w="58" w:type="dxa"/>
              <w:right w:w="115" w:type="dxa"/>
            </w:tcMar>
            <w:vAlign w:val="center"/>
            <w:hideMark/>
          </w:tcPr>
          <w:p w14:paraId="1A41B741" w14:textId="77777777" w:rsidR="00642DA0" w:rsidRPr="009D1AD4" w:rsidRDefault="00642DA0" w:rsidP="00642DA0">
            <w:pPr>
              <w:rPr>
                <w:rFonts w:ascii="Arial" w:hAnsi="Arial" w:cs="Arial"/>
                <w:sz w:val="20"/>
                <w:szCs w:val="20"/>
              </w:rPr>
            </w:pPr>
            <w:r w:rsidRPr="009D1AD4">
              <w:rPr>
                <w:rFonts w:ascii="Arial" w:hAnsi="Arial" w:cs="Arial"/>
                <w:sz w:val="20"/>
                <w:szCs w:val="20"/>
              </w:rPr>
              <w:t>Aug. 1, 2017 - July 31, 2018</w:t>
            </w:r>
          </w:p>
        </w:tc>
        <w:tc>
          <w:tcPr>
            <w:tcW w:w="160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58" w:type="dxa"/>
              <w:left w:w="115" w:type="dxa"/>
              <w:bottom w:w="58" w:type="dxa"/>
              <w:right w:w="115" w:type="dxa"/>
            </w:tcMar>
            <w:vAlign w:val="center"/>
            <w:hideMark/>
          </w:tcPr>
          <w:p w14:paraId="661FFE25" w14:textId="77777777" w:rsidR="00642DA0" w:rsidRPr="009D1AD4" w:rsidRDefault="00642DA0" w:rsidP="00642DA0">
            <w:pPr>
              <w:rPr>
                <w:rFonts w:ascii="Arial" w:hAnsi="Arial" w:cs="Arial"/>
                <w:sz w:val="20"/>
                <w:szCs w:val="20"/>
              </w:rPr>
            </w:pPr>
            <w:r w:rsidRPr="009D1AD4">
              <w:rPr>
                <w:rFonts w:ascii="Arial" w:hAnsi="Arial" w:cs="Arial"/>
                <w:sz w:val="20"/>
                <w:szCs w:val="20"/>
              </w:rPr>
              <w:t>July 31, 2019</w:t>
            </w:r>
          </w:p>
        </w:tc>
        <w:tc>
          <w:tcPr>
            <w:tcW w:w="237" w:type="dxa"/>
            <w:tcBorders>
              <w:left w:val="single" w:sz="8" w:space="0" w:color="BFBFBF" w:themeColor="background1" w:themeShade="BF"/>
              <w:right w:val="single" w:sz="4" w:space="0" w:color="A6A6A6" w:themeColor="background1" w:themeShade="A6"/>
            </w:tcBorders>
          </w:tcPr>
          <w:p w14:paraId="1293B182" w14:textId="77777777" w:rsidR="00642DA0" w:rsidRPr="009D1AD4" w:rsidRDefault="00642DA0" w:rsidP="00642DA0">
            <w:pPr>
              <w:rPr>
                <w:rFonts w:ascii="Arial" w:hAnsi="Arial" w:cs="Arial"/>
                <w:sz w:val="20"/>
                <w:szCs w:val="20"/>
              </w:rPr>
            </w:pPr>
          </w:p>
        </w:tc>
        <w:tc>
          <w:tcPr>
            <w:tcW w:w="2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A20DD2" w14:textId="5A765AE4" w:rsidR="00642DA0" w:rsidRPr="009D1AD4" w:rsidRDefault="00642DA0" w:rsidP="00642DA0">
            <w:pPr>
              <w:rPr>
                <w:rFonts w:ascii="Arial" w:hAnsi="Arial" w:cs="Arial"/>
                <w:sz w:val="20"/>
                <w:szCs w:val="20"/>
              </w:rPr>
            </w:pPr>
            <w:r w:rsidRPr="009D1AD4">
              <w:rPr>
                <w:rFonts w:ascii="Arial" w:hAnsi="Arial" w:cs="Arial"/>
                <w:sz w:val="20"/>
                <w:szCs w:val="20"/>
              </w:rPr>
              <w:t>Aug. 1, 2018 - July 31, 2019</w:t>
            </w:r>
          </w:p>
        </w:tc>
        <w:tc>
          <w:tcPr>
            <w:tcW w:w="1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F8E7D5" w14:textId="0989CF3F" w:rsidR="00642DA0" w:rsidRPr="009D1AD4" w:rsidRDefault="00642DA0" w:rsidP="00642DA0">
            <w:pPr>
              <w:rPr>
                <w:rFonts w:ascii="Arial" w:hAnsi="Arial" w:cs="Arial"/>
                <w:sz w:val="20"/>
                <w:szCs w:val="20"/>
              </w:rPr>
            </w:pPr>
            <w:r w:rsidRPr="009D1AD4">
              <w:rPr>
                <w:rFonts w:ascii="Arial" w:hAnsi="Arial" w:cs="Arial"/>
                <w:sz w:val="20"/>
                <w:szCs w:val="20"/>
              </w:rPr>
              <w:t>July 31, 2020</w:t>
            </w:r>
          </w:p>
        </w:tc>
      </w:tr>
      <w:tr w:rsidR="00642DA0" w:rsidRPr="009D1AD4" w14:paraId="4C31CE38" w14:textId="0510A01C" w:rsidTr="001204C3">
        <w:tc>
          <w:tcPr>
            <w:tcW w:w="2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58" w:type="dxa"/>
              <w:left w:w="115" w:type="dxa"/>
              <w:bottom w:w="58" w:type="dxa"/>
              <w:right w:w="115" w:type="dxa"/>
            </w:tcMar>
            <w:vAlign w:val="center"/>
            <w:hideMark/>
          </w:tcPr>
          <w:p w14:paraId="7EA49594" w14:textId="77777777" w:rsidR="00642DA0" w:rsidRPr="009D1AD4" w:rsidRDefault="00642DA0" w:rsidP="00642DA0">
            <w:pPr>
              <w:rPr>
                <w:rFonts w:ascii="Arial" w:hAnsi="Arial" w:cs="Arial"/>
                <w:sz w:val="20"/>
                <w:szCs w:val="20"/>
              </w:rPr>
            </w:pPr>
            <w:r w:rsidRPr="009D1AD4">
              <w:rPr>
                <w:rFonts w:ascii="Arial" w:hAnsi="Arial" w:cs="Arial"/>
                <w:sz w:val="20"/>
                <w:szCs w:val="20"/>
              </w:rPr>
              <w:t>Sept. 1, 2017 - Aug. 31, 2018</w:t>
            </w:r>
          </w:p>
        </w:tc>
        <w:tc>
          <w:tcPr>
            <w:tcW w:w="160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58" w:type="dxa"/>
              <w:left w:w="115" w:type="dxa"/>
              <w:bottom w:w="58" w:type="dxa"/>
              <w:right w:w="115" w:type="dxa"/>
            </w:tcMar>
            <w:vAlign w:val="center"/>
            <w:hideMark/>
          </w:tcPr>
          <w:p w14:paraId="0B0B5112" w14:textId="77777777" w:rsidR="00642DA0" w:rsidRPr="009D1AD4" w:rsidRDefault="00642DA0" w:rsidP="00642DA0">
            <w:pPr>
              <w:rPr>
                <w:rFonts w:ascii="Arial" w:hAnsi="Arial" w:cs="Arial"/>
                <w:sz w:val="20"/>
                <w:szCs w:val="20"/>
              </w:rPr>
            </w:pPr>
            <w:r w:rsidRPr="009D1AD4">
              <w:rPr>
                <w:rFonts w:ascii="Arial" w:hAnsi="Arial" w:cs="Arial"/>
                <w:sz w:val="20"/>
                <w:szCs w:val="20"/>
              </w:rPr>
              <w:t>July 31, 2019</w:t>
            </w:r>
          </w:p>
        </w:tc>
        <w:tc>
          <w:tcPr>
            <w:tcW w:w="237" w:type="dxa"/>
            <w:tcBorders>
              <w:left w:val="single" w:sz="8" w:space="0" w:color="BFBFBF" w:themeColor="background1" w:themeShade="BF"/>
              <w:right w:val="single" w:sz="4" w:space="0" w:color="A6A6A6" w:themeColor="background1" w:themeShade="A6"/>
            </w:tcBorders>
          </w:tcPr>
          <w:p w14:paraId="6A04E8EF" w14:textId="77777777" w:rsidR="00642DA0" w:rsidRPr="009D1AD4" w:rsidRDefault="00642DA0" w:rsidP="00642DA0">
            <w:pPr>
              <w:rPr>
                <w:rFonts w:ascii="Arial" w:hAnsi="Arial" w:cs="Arial"/>
                <w:sz w:val="20"/>
                <w:szCs w:val="20"/>
              </w:rPr>
            </w:pPr>
          </w:p>
        </w:tc>
        <w:tc>
          <w:tcPr>
            <w:tcW w:w="2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A7D45B" w14:textId="06E06561" w:rsidR="00642DA0" w:rsidRPr="009D1AD4" w:rsidRDefault="00642DA0" w:rsidP="00642DA0">
            <w:pPr>
              <w:rPr>
                <w:rFonts w:ascii="Arial" w:hAnsi="Arial" w:cs="Arial"/>
                <w:sz w:val="20"/>
                <w:szCs w:val="20"/>
              </w:rPr>
            </w:pPr>
            <w:r w:rsidRPr="009D1AD4">
              <w:rPr>
                <w:rFonts w:ascii="Arial" w:hAnsi="Arial" w:cs="Arial"/>
                <w:sz w:val="20"/>
                <w:szCs w:val="20"/>
              </w:rPr>
              <w:t>Sept. 1, 2018 - Aug. 31, 2019</w:t>
            </w:r>
          </w:p>
        </w:tc>
        <w:tc>
          <w:tcPr>
            <w:tcW w:w="1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8A8B9C" w14:textId="699DE445" w:rsidR="00642DA0" w:rsidRPr="009D1AD4" w:rsidRDefault="00642DA0" w:rsidP="00642DA0">
            <w:pPr>
              <w:rPr>
                <w:rFonts w:ascii="Arial" w:hAnsi="Arial" w:cs="Arial"/>
                <w:sz w:val="20"/>
                <w:szCs w:val="20"/>
              </w:rPr>
            </w:pPr>
            <w:r w:rsidRPr="009D1AD4">
              <w:rPr>
                <w:rFonts w:ascii="Arial" w:hAnsi="Arial" w:cs="Arial"/>
                <w:sz w:val="20"/>
                <w:szCs w:val="20"/>
              </w:rPr>
              <w:t>July 31, 2020</w:t>
            </w:r>
          </w:p>
        </w:tc>
      </w:tr>
      <w:tr w:rsidR="00642DA0" w:rsidRPr="009D1AD4" w14:paraId="09396DB4" w14:textId="123265F4" w:rsidTr="001204C3">
        <w:tc>
          <w:tcPr>
            <w:tcW w:w="2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58" w:type="dxa"/>
              <w:left w:w="115" w:type="dxa"/>
              <w:bottom w:w="58" w:type="dxa"/>
              <w:right w:w="115" w:type="dxa"/>
            </w:tcMar>
            <w:vAlign w:val="center"/>
            <w:hideMark/>
          </w:tcPr>
          <w:p w14:paraId="2DC11A67" w14:textId="77777777" w:rsidR="00642DA0" w:rsidRPr="009D1AD4" w:rsidRDefault="00642DA0" w:rsidP="00642DA0">
            <w:pPr>
              <w:rPr>
                <w:rFonts w:ascii="Arial" w:hAnsi="Arial" w:cs="Arial"/>
                <w:sz w:val="20"/>
                <w:szCs w:val="20"/>
              </w:rPr>
            </w:pPr>
            <w:r w:rsidRPr="009D1AD4">
              <w:rPr>
                <w:rFonts w:ascii="Arial" w:hAnsi="Arial" w:cs="Arial"/>
                <w:sz w:val="20"/>
                <w:szCs w:val="20"/>
              </w:rPr>
              <w:t>Oct. 1, 2017 - Sept. 30, 2018</w:t>
            </w:r>
          </w:p>
        </w:tc>
        <w:tc>
          <w:tcPr>
            <w:tcW w:w="160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58" w:type="dxa"/>
              <w:left w:w="115" w:type="dxa"/>
              <w:bottom w:w="58" w:type="dxa"/>
              <w:right w:w="115" w:type="dxa"/>
            </w:tcMar>
            <w:vAlign w:val="center"/>
            <w:hideMark/>
          </w:tcPr>
          <w:p w14:paraId="641EB603" w14:textId="77777777" w:rsidR="00642DA0" w:rsidRPr="009D1AD4" w:rsidRDefault="00642DA0" w:rsidP="00642DA0">
            <w:pPr>
              <w:rPr>
                <w:rFonts w:ascii="Arial" w:hAnsi="Arial" w:cs="Arial"/>
                <w:sz w:val="20"/>
                <w:szCs w:val="20"/>
              </w:rPr>
            </w:pPr>
            <w:r w:rsidRPr="009D1AD4">
              <w:rPr>
                <w:rFonts w:ascii="Arial" w:hAnsi="Arial" w:cs="Arial"/>
                <w:sz w:val="20"/>
                <w:szCs w:val="20"/>
              </w:rPr>
              <w:t>July 31, 2019</w:t>
            </w:r>
          </w:p>
        </w:tc>
        <w:tc>
          <w:tcPr>
            <w:tcW w:w="237" w:type="dxa"/>
            <w:tcBorders>
              <w:left w:val="single" w:sz="8" w:space="0" w:color="BFBFBF" w:themeColor="background1" w:themeShade="BF"/>
              <w:right w:val="single" w:sz="4" w:space="0" w:color="A6A6A6" w:themeColor="background1" w:themeShade="A6"/>
            </w:tcBorders>
          </w:tcPr>
          <w:p w14:paraId="2C293ECD" w14:textId="77777777" w:rsidR="00642DA0" w:rsidRPr="009D1AD4" w:rsidRDefault="00642DA0" w:rsidP="00642DA0">
            <w:pPr>
              <w:rPr>
                <w:rFonts w:ascii="Arial" w:hAnsi="Arial" w:cs="Arial"/>
                <w:sz w:val="20"/>
                <w:szCs w:val="20"/>
              </w:rPr>
            </w:pPr>
          </w:p>
        </w:tc>
        <w:tc>
          <w:tcPr>
            <w:tcW w:w="2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B27592" w14:textId="694B2772" w:rsidR="00642DA0" w:rsidRPr="009D1AD4" w:rsidRDefault="00642DA0" w:rsidP="00642DA0">
            <w:pPr>
              <w:rPr>
                <w:rFonts w:ascii="Arial" w:hAnsi="Arial" w:cs="Arial"/>
                <w:sz w:val="20"/>
                <w:szCs w:val="20"/>
              </w:rPr>
            </w:pPr>
            <w:r w:rsidRPr="009D1AD4">
              <w:rPr>
                <w:rFonts w:ascii="Arial" w:hAnsi="Arial" w:cs="Arial"/>
                <w:color w:val="000000"/>
                <w:sz w:val="20"/>
                <w:szCs w:val="20"/>
              </w:rPr>
              <w:t>Oct. 1, 2018 - Sept. 30, 2019</w:t>
            </w:r>
          </w:p>
        </w:tc>
        <w:tc>
          <w:tcPr>
            <w:tcW w:w="1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5510DF" w14:textId="03352E57" w:rsidR="00642DA0" w:rsidRPr="009D1AD4" w:rsidRDefault="00642DA0" w:rsidP="00642DA0">
            <w:pPr>
              <w:rPr>
                <w:rFonts w:ascii="Arial" w:hAnsi="Arial" w:cs="Arial"/>
                <w:sz w:val="20"/>
                <w:szCs w:val="20"/>
              </w:rPr>
            </w:pPr>
            <w:r w:rsidRPr="009D1AD4">
              <w:rPr>
                <w:rFonts w:ascii="Arial" w:hAnsi="Arial" w:cs="Arial"/>
                <w:color w:val="000000"/>
                <w:sz w:val="20"/>
                <w:szCs w:val="20"/>
              </w:rPr>
              <w:t>July 31, 2020</w:t>
            </w:r>
          </w:p>
        </w:tc>
      </w:tr>
    </w:tbl>
    <w:p w14:paraId="53700B3B" w14:textId="77777777" w:rsidR="00D40223" w:rsidRPr="009D1AD4" w:rsidRDefault="00D40223" w:rsidP="004C6CEA">
      <w:pPr>
        <w:spacing w:after="200"/>
        <w:rPr>
          <w:rFonts w:ascii="Arial" w:hAnsi="Arial" w:cs="Arial"/>
          <w:color w:val="000000"/>
          <w:sz w:val="20"/>
          <w:szCs w:val="20"/>
        </w:rPr>
      </w:pPr>
    </w:p>
    <w:p w14:paraId="158A0D37" w14:textId="7299A70C" w:rsidR="006E7881" w:rsidRPr="009D1AD4" w:rsidRDefault="006E7881" w:rsidP="004C6CEA">
      <w:pPr>
        <w:spacing w:after="200"/>
        <w:rPr>
          <w:rFonts w:ascii="Arial" w:hAnsi="Arial" w:cs="Arial"/>
          <w:bCs/>
          <w:sz w:val="20"/>
          <w:szCs w:val="20"/>
        </w:rPr>
      </w:pPr>
      <w:r w:rsidRPr="00C5063D">
        <w:rPr>
          <w:rFonts w:ascii="Arial" w:hAnsi="Arial" w:cs="Arial"/>
          <w:b/>
          <w:bCs/>
          <w:color w:val="001BBA"/>
          <w:sz w:val="22"/>
          <w:szCs w:val="22"/>
        </w:rPr>
        <w:t>Question:</w:t>
      </w:r>
      <w:r w:rsidR="00055049">
        <w:rPr>
          <w:rFonts w:ascii="Arial" w:hAnsi="Arial" w:cs="Arial"/>
          <w:sz w:val="20"/>
          <w:szCs w:val="20"/>
        </w:rPr>
        <w:t xml:space="preserve"> </w:t>
      </w:r>
      <w:r w:rsidRPr="009D1AD4">
        <w:rPr>
          <w:rFonts w:ascii="Arial" w:hAnsi="Arial" w:cs="Arial"/>
          <w:bCs/>
          <w:sz w:val="20"/>
          <w:szCs w:val="20"/>
        </w:rPr>
        <w:t>Who must pay the Patient-Centered Outcomes Research Institute (PCORI) fee and when is the fee due? Is there a penalty for failure to file or pay the PCORI fee? How does a plan sponsor correct a previously filed Form 720?</w:t>
      </w:r>
    </w:p>
    <w:p w14:paraId="18CD1607" w14:textId="23DF567A" w:rsidR="006E7881" w:rsidRPr="009D1AD4" w:rsidRDefault="006E7881" w:rsidP="004C6CEA">
      <w:pPr>
        <w:spacing w:after="200"/>
        <w:rPr>
          <w:rFonts w:ascii="Arial" w:hAnsi="Arial" w:cs="Arial"/>
          <w:bCs/>
          <w:sz w:val="20"/>
          <w:szCs w:val="20"/>
        </w:rPr>
      </w:pPr>
      <w:r w:rsidRPr="009D1AD4">
        <w:rPr>
          <w:rFonts w:ascii="Arial" w:hAnsi="Arial" w:cs="Arial"/>
          <w:b/>
          <w:bCs/>
          <w:sz w:val="20"/>
          <w:szCs w:val="20"/>
        </w:rPr>
        <w:t>Answer:</w:t>
      </w:r>
      <w:r w:rsidR="00055049">
        <w:rPr>
          <w:rFonts w:ascii="Arial" w:hAnsi="Arial" w:cs="Arial"/>
          <w:b/>
          <w:bCs/>
          <w:sz w:val="20"/>
          <w:szCs w:val="20"/>
        </w:rPr>
        <w:t xml:space="preserve"> </w:t>
      </w:r>
      <w:r w:rsidRPr="009D1AD4">
        <w:rPr>
          <w:rFonts w:ascii="Arial" w:hAnsi="Arial" w:cs="Arial"/>
          <w:bCs/>
          <w:sz w:val="20"/>
          <w:szCs w:val="20"/>
        </w:rPr>
        <w:t>The fee must be determined and paid by:</w:t>
      </w:r>
    </w:p>
    <w:p w14:paraId="0ED2C990" w14:textId="77777777" w:rsidR="006E7881" w:rsidRPr="009D1AD4" w:rsidRDefault="006E7881" w:rsidP="004C6CEA">
      <w:pPr>
        <w:numPr>
          <w:ilvl w:val="0"/>
          <w:numId w:val="1"/>
        </w:numPr>
        <w:spacing w:after="200"/>
        <w:rPr>
          <w:rFonts w:ascii="Arial" w:hAnsi="Arial" w:cs="Arial"/>
          <w:bCs/>
          <w:sz w:val="20"/>
          <w:szCs w:val="20"/>
        </w:rPr>
      </w:pPr>
      <w:r w:rsidRPr="009D1AD4">
        <w:rPr>
          <w:rFonts w:ascii="Arial" w:hAnsi="Arial" w:cs="Arial"/>
          <w:bCs/>
          <w:sz w:val="20"/>
          <w:szCs w:val="20"/>
        </w:rPr>
        <w:t>The insurer for fully insured plans (although the fee likely will be passed on to the plan)</w:t>
      </w:r>
    </w:p>
    <w:p w14:paraId="478B4392" w14:textId="77777777" w:rsidR="006E7881" w:rsidRPr="009D1AD4" w:rsidRDefault="006E7881" w:rsidP="004C6CEA">
      <w:pPr>
        <w:numPr>
          <w:ilvl w:val="0"/>
          <w:numId w:val="1"/>
        </w:numPr>
        <w:spacing w:after="200"/>
        <w:rPr>
          <w:rFonts w:ascii="Arial" w:hAnsi="Arial" w:cs="Arial"/>
          <w:bCs/>
          <w:sz w:val="20"/>
          <w:szCs w:val="20"/>
        </w:rPr>
      </w:pPr>
      <w:r w:rsidRPr="009D1AD4">
        <w:rPr>
          <w:rFonts w:ascii="Arial" w:hAnsi="Arial" w:cs="Arial"/>
          <w:bCs/>
          <w:sz w:val="20"/>
          <w:szCs w:val="20"/>
        </w:rPr>
        <w:t>The plan sponsor of self-funded plans, including HRAs</w:t>
      </w:r>
    </w:p>
    <w:p w14:paraId="44AC22F6" w14:textId="77777777" w:rsidR="006E7881" w:rsidRPr="009D1AD4" w:rsidRDefault="006E7881" w:rsidP="00642DA0">
      <w:pPr>
        <w:numPr>
          <w:ilvl w:val="1"/>
          <w:numId w:val="2"/>
        </w:numPr>
        <w:spacing w:after="200"/>
        <w:ind w:left="1080"/>
        <w:rPr>
          <w:rFonts w:ascii="Arial" w:hAnsi="Arial" w:cs="Arial"/>
          <w:bCs/>
          <w:sz w:val="20"/>
          <w:szCs w:val="20"/>
        </w:rPr>
      </w:pPr>
      <w:r w:rsidRPr="009D1AD4">
        <w:rPr>
          <w:rFonts w:ascii="Arial" w:hAnsi="Arial" w:cs="Arial"/>
          <w:bCs/>
          <w:sz w:val="20"/>
          <w:szCs w:val="20"/>
        </w:rPr>
        <w:t xml:space="preserve">The plan’s TPA may assist with the calculation, but the plan sponsor must file IRS </w:t>
      </w:r>
      <w:hyperlink r:id="rId32" w:history="1">
        <w:r w:rsidRPr="009D1AD4">
          <w:rPr>
            <w:rStyle w:val="Hyperlink"/>
            <w:bCs/>
          </w:rPr>
          <w:t>Form 720</w:t>
        </w:r>
      </w:hyperlink>
      <w:r w:rsidRPr="009D1AD4">
        <w:rPr>
          <w:rFonts w:ascii="Arial" w:hAnsi="Arial" w:cs="Arial"/>
          <w:bCs/>
          <w:sz w:val="20"/>
          <w:szCs w:val="20"/>
        </w:rPr>
        <w:t xml:space="preserve"> and pay the applicable fee</w:t>
      </w:r>
    </w:p>
    <w:p w14:paraId="1AC618ED" w14:textId="77777777" w:rsidR="006E7881" w:rsidRPr="009D1AD4" w:rsidRDefault="006E7881" w:rsidP="00642DA0">
      <w:pPr>
        <w:numPr>
          <w:ilvl w:val="1"/>
          <w:numId w:val="2"/>
        </w:numPr>
        <w:spacing w:after="200"/>
        <w:ind w:left="1080"/>
        <w:rPr>
          <w:rFonts w:ascii="Arial" w:hAnsi="Arial" w:cs="Arial"/>
          <w:bCs/>
          <w:sz w:val="20"/>
          <w:szCs w:val="20"/>
        </w:rPr>
      </w:pPr>
      <w:r w:rsidRPr="009D1AD4">
        <w:rPr>
          <w:rFonts w:ascii="Arial" w:hAnsi="Arial" w:cs="Arial"/>
          <w:bCs/>
          <w:sz w:val="20"/>
          <w:szCs w:val="20"/>
        </w:rPr>
        <w:t>If multiple employers participate in the plan, each must file separately unless the plan document designates one as the plan sponsor</w:t>
      </w:r>
    </w:p>
    <w:p w14:paraId="53EBCB39" w14:textId="0903A13B" w:rsidR="001204C3" w:rsidRDefault="006E7881" w:rsidP="004C6CEA">
      <w:pPr>
        <w:spacing w:after="200"/>
        <w:rPr>
          <w:rFonts w:ascii="Arial" w:hAnsi="Arial" w:cs="Arial"/>
          <w:bCs/>
          <w:sz w:val="20"/>
          <w:szCs w:val="20"/>
        </w:rPr>
      </w:pPr>
      <w:r w:rsidRPr="009D1AD4">
        <w:rPr>
          <w:rFonts w:ascii="Arial" w:hAnsi="Arial" w:cs="Arial"/>
          <w:bCs/>
          <w:sz w:val="20"/>
          <w:szCs w:val="20"/>
        </w:rPr>
        <w:t>The fee is due by July 31 of the year following the calendar year in which the plan/policy year ends. For example:</w:t>
      </w:r>
    </w:p>
    <w:p w14:paraId="6B4D0309" w14:textId="77777777" w:rsidR="001204C3" w:rsidRDefault="001204C3">
      <w:pPr>
        <w:rPr>
          <w:rFonts w:ascii="Arial" w:hAnsi="Arial" w:cs="Arial"/>
          <w:bCs/>
          <w:sz w:val="20"/>
          <w:szCs w:val="20"/>
        </w:rPr>
      </w:pPr>
      <w:r>
        <w:rPr>
          <w:rFonts w:ascii="Arial" w:hAnsi="Arial" w:cs="Arial"/>
          <w:bCs/>
          <w:sz w:val="20"/>
          <w:szCs w:val="20"/>
        </w:rPr>
        <w:br w:type="page"/>
      </w:r>
    </w:p>
    <w:tbl>
      <w:tblPr>
        <w:tblStyle w:val="TableGrid"/>
        <w:tblW w:w="9397" w:type="dxa"/>
        <w:tblInd w:w="-5" w:type="dxa"/>
        <w:tblLayout w:type="fixed"/>
        <w:tblCellMar>
          <w:top w:w="58" w:type="dxa"/>
          <w:left w:w="115" w:type="dxa"/>
          <w:bottom w:w="58" w:type="dxa"/>
          <w:right w:w="115" w:type="dxa"/>
        </w:tblCellMar>
        <w:tblLook w:val="04A0" w:firstRow="1" w:lastRow="0" w:firstColumn="1" w:lastColumn="0" w:noHBand="0" w:noVBand="1"/>
      </w:tblPr>
      <w:tblGrid>
        <w:gridCol w:w="2947"/>
        <w:gridCol w:w="1590"/>
        <w:gridCol w:w="300"/>
        <w:gridCol w:w="2970"/>
        <w:gridCol w:w="1590"/>
      </w:tblGrid>
      <w:tr w:rsidR="006E7881" w:rsidRPr="009D1AD4" w14:paraId="3A8278AC" w14:textId="77777777" w:rsidTr="00642DA0">
        <w:tc>
          <w:tcPr>
            <w:tcW w:w="2947" w:type="dxa"/>
            <w:vAlign w:val="bottom"/>
          </w:tcPr>
          <w:p w14:paraId="17E03E86" w14:textId="77777777" w:rsidR="006E7881" w:rsidRPr="009D1AD4" w:rsidRDefault="006E7881" w:rsidP="00642DA0">
            <w:pPr>
              <w:rPr>
                <w:rFonts w:ascii="Arial" w:hAnsi="Arial" w:cs="Arial"/>
                <w:b/>
                <w:bCs/>
                <w:sz w:val="20"/>
                <w:szCs w:val="20"/>
              </w:rPr>
            </w:pPr>
            <w:r w:rsidRPr="009D1AD4">
              <w:rPr>
                <w:rFonts w:ascii="Arial" w:hAnsi="Arial" w:cs="Arial"/>
                <w:b/>
                <w:bCs/>
                <w:sz w:val="20"/>
                <w:szCs w:val="20"/>
              </w:rPr>
              <w:lastRenderedPageBreak/>
              <w:t>Plan/Policy Year</w:t>
            </w:r>
          </w:p>
        </w:tc>
        <w:tc>
          <w:tcPr>
            <w:tcW w:w="1590" w:type="dxa"/>
            <w:tcBorders>
              <w:right w:val="single" w:sz="4" w:space="0" w:color="auto"/>
            </w:tcBorders>
            <w:vAlign w:val="bottom"/>
          </w:tcPr>
          <w:p w14:paraId="10CB54FA" w14:textId="77777777" w:rsidR="006E7881" w:rsidRPr="009D1AD4" w:rsidRDefault="006E7881" w:rsidP="00642DA0">
            <w:pPr>
              <w:jc w:val="center"/>
              <w:rPr>
                <w:rFonts w:ascii="Arial" w:hAnsi="Arial" w:cs="Arial"/>
                <w:bCs/>
                <w:sz w:val="20"/>
                <w:szCs w:val="20"/>
              </w:rPr>
            </w:pPr>
            <w:r w:rsidRPr="009D1AD4">
              <w:rPr>
                <w:rFonts w:ascii="Arial" w:hAnsi="Arial" w:cs="Arial"/>
                <w:b/>
                <w:bCs/>
                <w:sz w:val="20"/>
                <w:szCs w:val="20"/>
              </w:rPr>
              <w:t>Year Fee Is Due</w:t>
            </w:r>
            <w:r w:rsidRPr="009D1AD4">
              <w:rPr>
                <w:rFonts w:ascii="Arial" w:hAnsi="Arial" w:cs="Arial"/>
                <w:bCs/>
                <w:sz w:val="20"/>
                <w:szCs w:val="20"/>
              </w:rPr>
              <w:t xml:space="preserve"> ($2.26, indexed/ person)</w:t>
            </w:r>
          </w:p>
        </w:tc>
        <w:tc>
          <w:tcPr>
            <w:tcW w:w="300" w:type="dxa"/>
            <w:tcBorders>
              <w:top w:val="nil"/>
              <w:bottom w:val="nil"/>
            </w:tcBorders>
          </w:tcPr>
          <w:p w14:paraId="6387BA6F" w14:textId="77777777" w:rsidR="006E7881" w:rsidRPr="009D1AD4" w:rsidRDefault="006E7881" w:rsidP="00642DA0">
            <w:pPr>
              <w:rPr>
                <w:rFonts w:ascii="Arial" w:hAnsi="Arial" w:cs="Arial"/>
                <w:bCs/>
                <w:sz w:val="20"/>
                <w:szCs w:val="20"/>
              </w:rPr>
            </w:pPr>
          </w:p>
        </w:tc>
        <w:tc>
          <w:tcPr>
            <w:tcW w:w="2970" w:type="dxa"/>
            <w:vAlign w:val="bottom"/>
          </w:tcPr>
          <w:p w14:paraId="69081654" w14:textId="77777777" w:rsidR="006E7881" w:rsidRPr="009D1AD4" w:rsidRDefault="006E7881" w:rsidP="00642DA0">
            <w:pPr>
              <w:rPr>
                <w:rFonts w:ascii="Arial" w:hAnsi="Arial" w:cs="Arial"/>
                <w:b/>
                <w:bCs/>
                <w:sz w:val="20"/>
                <w:szCs w:val="20"/>
              </w:rPr>
            </w:pPr>
            <w:r w:rsidRPr="009D1AD4">
              <w:rPr>
                <w:rFonts w:ascii="Arial" w:hAnsi="Arial" w:cs="Arial"/>
                <w:b/>
                <w:bCs/>
                <w:sz w:val="20"/>
                <w:szCs w:val="20"/>
              </w:rPr>
              <w:t>Plan/Policy Year</w:t>
            </w:r>
          </w:p>
        </w:tc>
        <w:tc>
          <w:tcPr>
            <w:tcW w:w="1590" w:type="dxa"/>
            <w:vAlign w:val="bottom"/>
          </w:tcPr>
          <w:p w14:paraId="764D84D5" w14:textId="77777777" w:rsidR="006E7881" w:rsidRDefault="006E7881" w:rsidP="00642DA0">
            <w:pPr>
              <w:jc w:val="center"/>
              <w:rPr>
                <w:rFonts w:ascii="Arial" w:hAnsi="Arial" w:cs="Arial"/>
                <w:bCs/>
                <w:sz w:val="20"/>
                <w:szCs w:val="20"/>
              </w:rPr>
            </w:pPr>
            <w:r w:rsidRPr="009D1AD4">
              <w:rPr>
                <w:rFonts w:ascii="Arial" w:hAnsi="Arial" w:cs="Arial"/>
                <w:b/>
                <w:bCs/>
                <w:sz w:val="20"/>
                <w:szCs w:val="20"/>
              </w:rPr>
              <w:t>Year Fee Is Due</w:t>
            </w:r>
            <w:r w:rsidRPr="009D1AD4">
              <w:rPr>
                <w:rFonts w:ascii="Arial" w:hAnsi="Arial" w:cs="Arial"/>
                <w:bCs/>
                <w:sz w:val="20"/>
                <w:szCs w:val="20"/>
              </w:rPr>
              <w:t xml:space="preserve"> ($2.39, indexed/</w:t>
            </w:r>
          </w:p>
          <w:p w14:paraId="16EDC3EF" w14:textId="77777777" w:rsidR="006E7881" w:rsidRPr="009D1AD4" w:rsidRDefault="006E7881" w:rsidP="00642DA0">
            <w:pPr>
              <w:rPr>
                <w:rFonts w:ascii="Arial" w:hAnsi="Arial" w:cs="Arial"/>
                <w:bCs/>
                <w:sz w:val="20"/>
                <w:szCs w:val="20"/>
              </w:rPr>
            </w:pPr>
            <w:r w:rsidRPr="009D1AD4">
              <w:rPr>
                <w:rFonts w:ascii="Arial" w:hAnsi="Arial" w:cs="Arial"/>
                <w:bCs/>
                <w:sz w:val="20"/>
                <w:szCs w:val="20"/>
              </w:rPr>
              <w:t>person)</w:t>
            </w:r>
          </w:p>
        </w:tc>
      </w:tr>
      <w:tr w:rsidR="006E7881" w:rsidRPr="009D1AD4" w14:paraId="0F83BF51" w14:textId="77777777" w:rsidTr="00642DA0">
        <w:tc>
          <w:tcPr>
            <w:tcW w:w="2947" w:type="dxa"/>
            <w:vAlign w:val="center"/>
          </w:tcPr>
          <w:p w14:paraId="3A5C37F3" w14:textId="77777777" w:rsidR="006E7881" w:rsidRPr="009D1AD4" w:rsidRDefault="006E7881" w:rsidP="00642DA0">
            <w:pPr>
              <w:rPr>
                <w:rFonts w:ascii="Arial" w:hAnsi="Arial" w:cs="Arial"/>
                <w:bCs/>
                <w:sz w:val="20"/>
                <w:szCs w:val="20"/>
              </w:rPr>
            </w:pPr>
            <w:r w:rsidRPr="009D1AD4">
              <w:rPr>
                <w:rFonts w:ascii="Arial" w:hAnsi="Arial" w:cs="Arial"/>
                <w:bCs/>
                <w:sz w:val="20"/>
                <w:szCs w:val="20"/>
              </w:rPr>
              <w:t>Nov. 1, 2015 - Oct. 31, 2016</w:t>
            </w:r>
          </w:p>
        </w:tc>
        <w:tc>
          <w:tcPr>
            <w:tcW w:w="1590" w:type="dxa"/>
            <w:tcBorders>
              <w:right w:val="single" w:sz="4" w:space="0" w:color="auto"/>
            </w:tcBorders>
            <w:vAlign w:val="center"/>
          </w:tcPr>
          <w:p w14:paraId="7EDB3A78" w14:textId="77777777" w:rsidR="006E7881" w:rsidRPr="009D1AD4" w:rsidRDefault="006E7881" w:rsidP="00642DA0">
            <w:pPr>
              <w:rPr>
                <w:rFonts w:ascii="Arial" w:hAnsi="Arial" w:cs="Arial"/>
                <w:bCs/>
                <w:sz w:val="20"/>
                <w:szCs w:val="20"/>
              </w:rPr>
            </w:pPr>
            <w:r w:rsidRPr="009D1AD4">
              <w:rPr>
                <w:rFonts w:ascii="Arial" w:hAnsi="Arial" w:cs="Arial"/>
                <w:bCs/>
                <w:sz w:val="20"/>
                <w:szCs w:val="20"/>
              </w:rPr>
              <w:t>July 31, 2017</w:t>
            </w:r>
          </w:p>
        </w:tc>
        <w:tc>
          <w:tcPr>
            <w:tcW w:w="300" w:type="dxa"/>
            <w:tcBorders>
              <w:top w:val="nil"/>
              <w:bottom w:val="nil"/>
            </w:tcBorders>
          </w:tcPr>
          <w:p w14:paraId="3B5EFB97" w14:textId="77777777" w:rsidR="006E7881" w:rsidRPr="009D1AD4" w:rsidRDefault="006E7881" w:rsidP="00642DA0">
            <w:pPr>
              <w:rPr>
                <w:rFonts w:ascii="Arial" w:hAnsi="Arial" w:cs="Arial"/>
                <w:bCs/>
                <w:sz w:val="20"/>
                <w:szCs w:val="20"/>
              </w:rPr>
            </w:pPr>
          </w:p>
        </w:tc>
        <w:tc>
          <w:tcPr>
            <w:tcW w:w="2970" w:type="dxa"/>
            <w:vAlign w:val="center"/>
          </w:tcPr>
          <w:p w14:paraId="45E69C35" w14:textId="77777777" w:rsidR="006E7881" w:rsidRPr="009D1AD4" w:rsidRDefault="006E7881" w:rsidP="00642DA0">
            <w:pPr>
              <w:rPr>
                <w:rFonts w:ascii="Arial" w:hAnsi="Arial" w:cs="Arial"/>
                <w:bCs/>
                <w:sz w:val="20"/>
                <w:szCs w:val="20"/>
              </w:rPr>
            </w:pPr>
            <w:r w:rsidRPr="009D1AD4">
              <w:rPr>
                <w:rFonts w:ascii="Arial" w:hAnsi="Arial" w:cs="Arial"/>
                <w:bCs/>
                <w:sz w:val="20"/>
                <w:szCs w:val="20"/>
              </w:rPr>
              <w:t>Nov. 1, 2016 - Oct. 31, 2017</w:t>
            </w:r>
          </w:p>
        </w:tc>
        <w:tc>
          <w:tcPr>
            <w:tcW w:w="1590" w:type="dxa"/>
            <w:vAlign w:val="center"/>
          </w:tcPr>
          <w:p w14:paraId="3B037A9D" w14:textId="77777777" w:rsidR="006E7881" w:rsidRPr="009D1AD4" w:rsidRDefault="006E7881" w:rsidP="00642DA0">
            <w:pPr>
              <w:rPr>
                <w:rFonts w:ascii="Arial" w:hAnsi="Arial" w:cs="Arial"/>
                <w:bCs/>
                <w:sz w:val="20"/>
                <w:szCs w:val="20"/>
              </w:rPr>
            </w:pPr>
            <w:r w:rsidRPr="009D1AD4">
              <w:rPr>
                <w:rFonts w:ascii="Arial" w:hAnsi="Arial" w:cs="Arial"/>
                <w:bCs/>
                <w:sz w:val="20"/>
                <w:szCs w:val="20"/>
              </w:rPr>
              <w:t>July 31, 2018</w:t>
            </w:r>
          </w:p>
        </w:tc>
      </w:tr>
      <w:tr w:rsidR="006E7881" w:rsidRPr="009D1AD4" w14:paraId="6EDA19C2" w14:textId="77777777" w:rsidTr="00642DA0">
        <w:tc>
          <w:tcPr>
            <w:tcW w:w="2947" w:type="dxa"/>
            <w:vAlign w:val="center"/>
          </w:tcPr>
          <w:p w14:paraId="4C4F3794" w14:textId="77777777" w:rsidR="006E7881" w:rsidRPr="009D1AD4" w:rsidRDefault="006E7881" w:rsidP="00642DA0">
            <w:pPr>
              <w:rPr>
                <w:rFonts w:ascii="Arial" w:hAnsi="Arial" w:cs="Arial"/>
                <w:bCs/>
                <w:sz w:val="20"/>
                <w:szCs w:val="20"/>
              </w:rPr>
            </w:pPr>
            <w:r w:rsidRPr="009D1AD4">
              <w:rPr>
                <w:rFonts w:ascii="Arial" w:hAnsi="Arial" w:cs="Arial"/>
                <w:bCs/>
                <w:sz w:val="20"/>
                <w:szCs w:val="20"/>
              </w:rPr>
              <w:t>Dec. 1, 2015 - Nov. 30, 2016</w:t>
            </w:r>
          </w:p>
        </w:tc>
        <w:tc>
          <w:tcPr>
            <w:tcW w:w="1590" w:type="dxa"/>
            <w:tcBorders>
              <w:right w:val="single" w:sz="4" w:space="0" w:color="auto"/>
            </w:tcBorders>
            <w:vAlign w:val="center"/>
          </w:tcPr>
          <w:p w14:paraId="1614089A" w14:textId="77777777" w:rsidR="006E7881" w:rsidRPr="009D1AD4" w:rsidRDefault="006E7881" w:rsidP="00642DA0">
            <w:pPr>
              <w:rPr>
                <w:rFonts w:ascii="Arial" w:hAnsi="Arial" w:cs="Arial"/>
                <w:bCs/>
                <w:sz w:val="20"/>
                <w:szCs w:val="20"/>
              </w:rPr>
            </w:pPr>
            <w:r w:rsidRPr="009D1AD4">
              <w:rPr>
                <w:rFonts w:ascii="Arial" w:hAnsi="Arial" w:cs="Arial"/>
                <w:bCs/>
                <w:sz w:val="20"/>
                <w:szCs w:val="20"/>
              </w:rPr>
              <w:t>July 31, 2017</w:t>
            </w:r>
          </w:p>
        </w:tc>
        <w:tc>
          <w:tcPr>
            <w:tcW w:w="300" w:type="dxa"/>
            <w:tcBorders>
              <w:top w:val="nil"/>
              <w:bottom w:val="nil"/>
            </w:tcBorders>
          </w:tcPr>
          <w:p w14:paraId="199ABBA3" w14:textId="77777777" w:rsidR="006E7881" w:rsidRPr="009D1AD4" w:rsidRDefault="006E7881" w:rsidP="00642DA0">
            <w:pPr>
              <w:rPr>
                <w:rFonts w:ascii="Arial" w:hAnsi="Arial" w:cs="Arial"/>
                <w:bCs/>
                <w:sz w:val="20"/>
                <w:szCs w:val="20"/>
              </w:rPr>
            </w:pPr>
          </w:p>
        </w:tc>
        <w:tc>
          <w:tcPr>
            <w:tcW w:w="2970" w:type="dxa"/>
            <w:vAlign w:val="center"/>
          </w:tcPr>
          <w:p w14:paraId="601D1ED3" w14:textId="77777777" w:rsidR="006E7881" w:rsidRPr="009D1AD4" w:rsidRDefault="006E7881" w:rsidP="00642DA0">
            <w:pPr>
              <w:rPr>
                <w:rFonts w:ascii="Arial" w:hAnsi="Arial" w:cs="Arial"/>
                <w:bCs/>
                <w:sz w:val="20"/>
                <w:szCs w:val="20"/>
              </w:rPr>
            </w:pPr>
            <w:r w:rsidRPr="009D1AD4">
              <w:rPr>
                <w:rFonts w:ascii="Arial" w:hAnsi="Arial" w:cs="Arial"/>
                <w:bCs/>
                <w:sz w:val="20"/>
                <w:szCs w:val="20"/>
              </w:rPr>
              <w:t>Dec. 1, 2016 - Nov. 30, 2017</w:t>
            </w:r>
          </w:p>
        </w:tc>
        <w:tc>
          <w:tcPr>
            <w:tcW w:w="1590" w:type="dxa"/>
            <w:vAlign w:val="center"/>
          </w:tcPr>
          <w:p w14:paraId="583470D9" w14:textId="77777777" w:rsidR="006E7881" w:rsidRPr="009D1AD4" w:rsidRDefault="006E7881" w:rsidP="00642DA0">
            <w:pPr>
              <w:rPr>
                <w:rFonts w:ascii="Arial" w:hAnsi="Arial" w:cs="Arial"/>
                <w:bCs/>
                <w:sz w:val="20"/>
                <w:szCs w:val="20"/>
              </w:rPr>
            </w:pPr>
            <w:r w:rsidRPr="009D1AD4">
              <w:rPr>
                <w:rFonts w:ascii="Arial" w:hAnsi="Arial" w:cs="Arial"/>
                <w:bCs/>
                <w:sz w:val="20"/>
                <w:szCs w:val="20"/>
              </w:rPr>
              <w:t>July 31, 2018</w:t>
            </w:r>
          </w:p>
        </w:tc>
      </w:tr>
      <w:tr w:rsidR="006E7881" w:rsidRPr="009D1AD4" w14:paraId="6C36B04A" w14:textId="77777777" w:rsidTr="00642DA0">
        <w:tc>
          <w:tcPr>
            <w:tcW w:w="2947" w:type="dxa"/>
            <w:vAlign w:val="center"/>
          </w:tcPr>
          <w:p w14:paraId="401B1B04" w14:textId="77777777" w:rsidR="006E7881" w:rsidRPr="009D1AD4" w:rsidRDefault="006E7881" w:rsidP="00642DA0">
            <w:pPr>
              <w:rPr>
                <w:rFonts w:ascii="Arial" w:hAnsi="Arial" w:cs="Arial"/>
                <w:bCs/>
                <w:sz w:val="20"/>
                <w:szCs w:val="20"/>
              </w:rPr>
            </w:pPr>
            <w:r w:rsidRPr="009D1AD4">
              <w:rPr>
                <w:rFonts w:ascii="Arial" w:hAnsi="Arial" w:cs="Arial"/>
                <w:bCs/>
                <w:sz w:val="20"/>
                <w:szCs w:val="20"/>
              </w:rPr>
              <w:t>Jan. 1, 2016 - Dec. 31, 2016</w:t>
            </w:r>
          </w:p>
        </w:tc>
        <w:tc>
          <w:tcPr>
            <w:tcW w:w="1590" w:type="dxa"/>
            <w:tcBorders>
              <w:right w:val="single" w:sz="4" w:space="0" w:color="auto"/>
            </w:tcBorders>
            <w:vAlign w:val="center"/>
          </w:tcPr>
          <w:p w14:paraId="6AE845E3" w14:textId="77777777" w:rsidR="006E7881" w:rsidRPr="009D1AD4" w:rsidRDefault="006E7881" w:rsidP="00642DA0">
            <w:pPr>
              <w:rPr>
                <w:rFonts w:ascii="Arial" w:hAnsi="Arial" w:cs="Arial"/>
                <w:bCs/>
                <w:sz w:val="20"/>
                <w:szCs w:val="20"/>
              </w:rPr>
            </w:pPr>
            <w:r w:rsidRPr="009D1AD4">
              <w:rPr>
                <w:rFonts w:ascii="Arial" w:hAnsi="Arial" w:cs="Arial"/>
                <w:bCs/>
                <w:sz w:val="20"/>
                <w:szCs w:val="20"/>
              </w:rPr>
              <w:t>July 31, 2017</w:t>
            </w:r>
          </w:p>
        </w:tc>
        <w:tc>
          <w:tcPr>
            <w:tcW w:w="300" w:type="dxa"/>
            <w:tcBorders>
              <w:top w:val="nil"/>
              <w:bottom w:val="nil"/>
            </w:tcBorders>
          </w:tcPr>
          <w:p w14:paraId="6BCE02B5" w14:textId="77777777" w:rsidR="006E7881" w:rsidRPr="009D1AD4" w:rsidRDefault="006E7881" w:rsidP="00642DA0">
            <w:pPr>
              <w:rPr>
                <w:rFonts w:ascii="Arial" w:hAnsi="Arial" w:cs="Arial"/>
                <w:bCs/>
                <w:sz w:val="20"/>
                <w:szCs w:val="20"/>
              </w:rPr>
            </w:pPr>
          </w:p>
        </w:tc>
        <w:tc>
          <w:tcPr>
            <w:tcW w:w="2970" w:type="dxa"/>
            <w:vAlign w:val="center"/>
          </w:tcPr>
          <w:p w14:paraId="594AD3A9" w14:textId="77777777" w:rsidR="006E7881" w:rsidRPr="009D1AD4" w:rsidRDefault="006E7881" w:rsidP="00642DA0">
            <w:pPr>
              <w:rPr>
                <w:rFonts w:ascii="Arial" w:hAnsi="Arial" w:cs="Arial"/>
                <w:bCs/>
                <w:sz w:val="20"/>
                <w:szCs w:val="20"/>
              </w:rPr>
            </w:pPr>
            <w:r w:rsidRPr="009D1AD4">
              <w:rPr>
                <w:rFonts w:ascii="Arial" w:hAnsi="Arial" w:cs="Arial"/>
                <w:bCs/>
                <w:sz w:val="20"/>
                <w:szCs w:val="20"/>
              </w:rPr>
              <w:t>Jan. 1, 2017 - Dec. 31, 2017</w:t>
            </w:r>
          </w:p>
        </w:tc>
        <w:tc>
          <w:tcPr>
            <w:tcW w:w="1590" w:type="dxa"/>
            <w:vAlign w:val="center"/>
          </w:tcPr>
          <w:p w14:paraId="26A6E89E" w14:textId="77777777" w:rsidR="006E7881" w:rsidRPr="009D1AD4" w:rsidRDefault="006E7881" w:rsidP="00642DA0">
            <w:pPr>
              <w:rPr>
                <w:rFonts w:ascii="Arial" w:hAnsi="Arial" w:cs="Arial"/>
                <w:bCs/>
                <w:sz w:val="20"/>
                <w:szCs w:val="20"/>
              </w:rPr>
            </w:pPr>
            <w:r w:rsidRPr="009D1AD4">
              <w:rPr>
                <w:rFonts w:ascii="Arial" w:hAnsi="Arial" w:cs="Arial"/>
                <w:bCs/>
                <w:sz w:val="20"/>
                <w:szCs w:val="20"/>
              </w:rPr>
              <w:t>July 31, 2018</w:t>
            </w:r>
          </w:p>
        </w:tc>
      </w:tr>
      <w:tr w:rsidR="006E7881" w:rsidRPr="009D1AD4" w14:paraId="0266ACC9" w14:textId="77777777" w:rsidTr="00642DA0">
        <w:tc>
          <w:tcPr>
            <w:tcW w:w="2947" w:type="dxa"/>
            <w:vAlign w:val="center"/>
          </w:tcPr>
          <w:p w14:paraId="0915FE3F" w14:textId="77777777" w:rsidR="006E7881" w:rsidRPr="009D1AD4" w:rsidRDefault="006E7881" w:rsidP="00642DA0">
            <w:pPr>
              <w:rPr>
                <w:rFonts w:ascii="Arial" w:hAnsi="Arial" w:cs="Arial"/>
                <w:bCs/>
                <w:sz w:val="20"/>
                <w:szCs w:val="20"/>
              </w:rPr>
            </w:pPr>
            <w:r w:rsidRPr="009D1AD4">
              <w:rPr>
                <w:rFonts w:ascii="Arial" w:hAnsi="Arial" w:cs="Arial"/>
                <w:bCs/>
                <w:sz w:val="20"/>
                <w:szCs w:val="20"/>
              </w:rPr>
              <w:t>Feb. 1, 2016 - Jan. 31, 2017</w:t>
            </w:r>
          </w:p>
        </w:tc>
        <w:tc>
          <w:tcPr>
            <w:tcW w:w="1590" w:type="dxa"/>
            <w:tcBorders>
              <w:right w:val="single" w:sz="4" w:space="0" w:color="auto"/>
            </w:tcBorders>
            <w:vAlign w:val="center"/>
          </w:tcPr>
          <w:p w14:paraId="2BC77800" w14:textId="77777777" w:rsidR="006E7881" w:rsidRPr="009D1AD4" w:rsidRDefault="006E7881" w:rsidP="00642DA0">
            <w:pPr>
              <w:rPr>
                <w:rFonts w:ascii="Arial" w:hAnsi="Arial" w:cs="Arial"/>
                <w:bCs/>
                <w:sz w:val="20"/>
                <w:szCs w:val="20"/>
              </w:rPr>
            </w:pPr>
            <w:r w:rsidRPr="009D1AD4">
              <w:rPr>
                <w:rFonts w:ascii="Arial" w:hAnsi="Arial" w:cs="Arial"/>
                <w:bCs/>
                <w:sz w:val="20"/>
                <w:szCs w:val="20"/>
              </w:rPr>
              <w:t>July 31, 2018</w:t>
            </w:r>
          </w:p>
        </w:tc>
        <w:tc>
          <w:tcPr>
            <w:tcW w:w="300" w:type="dxa"/>
            <w:tcBorders>
              <w:top w:val="nil"/>
              <w:bottom w:val="nil"/>
            </w:tcBorders>
          </w:tcPr>
          <w:p w14:paraId="1E536BEC" w14:textId="77777777" w:rsidR="006E7881" w:rsidRPr="009D1AD4" w:rsidRDefault="006E7881" w:rsidP="00642DA0">
            <w:pPr>
              <w:rPr>
                <w:rFonts w:ascii="Arial" w:hAnsi="Arial" w:cs="Arial"/>
                <w:bCs/>
                <w:sz w:val="20"/>
                <w:szCs w:val="20"/>
              </w:rPr>
            </w:pPr>
          </w:p>
        </w:tc>
        <w:tc>
          <w:tcPr>
            <w:tcW w:w="2970" w:type="dxa"/>
            <w:vAlign w:val="center"/>
          </w:tcPr>
          <w:p w14:paraId="01600100" w14:textId="77777777" w:rsidR="006E7881" w:rsidRPr="009D1AD4" w:rsidRDefault="006E7881" w:rsidP="00642DA0">
            <w:pPr>
              <w:rPr>
                <w:rFonts w:ascii="Arial" w:hAnsi="Arial" w:cs="Arial"/>
                <w:bCs/>
                <w:sz w:val="20"/>
                <w:szCs w:val="20"/>
              </w:rPr>
            </w:pPr>
            <w:r w:rsidRPr="009D1AD4">
              <w:rPr>
                <w:rFonts w:ascii="Arial" w:hAnsi="Arial" w:cs="Arial"/>
                <w:bCs/>
                <w:sz w:val="20"/>
                <w:szCs w:val="20"/>
              </w:rPr>
              <w:t>Feb. 1, 2017 - Jan. 31, 2018</w:t>
            </w:r>
          </w:p>
        </w:tc>
        <w:tc>
          <w:tcPr>
            <w:tcW w:w="1590" w:type="dxa"/>
            <w:vAlign w:val="center"/>
          </w:tcPr>
          <w:p w14:paraId="5B12FC52" w14:textId="77777777" w:rsidR="006E7881" w:rsidRPr="009D1AD4" w:rsidRDefault="006E7881" w:rsidP="00642DA0">
            <w:pPr>
              <w:rPr>
                <w:rFonts w:ascii="Arial" w:hAnsi="Arial" w:cs="Arial"/>
                <w:bCs/>
                <w:sz w:val="20"/>
                <w:szCs w:val="20"/>
              </w:rPr>
            </w:pPr>
            <w:r w:rsidRPr="009D1AD4">
              <w:rPr>
                <w:rFonts w:ascii="Arial" w:hAnsi="Arial" w:cs="Arial"/>
                <w:bCs/>
                <w:sz w:val="20"/>
                <w:szCs w:val="20"/>
              </w:rPr>
              <w:t>July 31, 2019</w:t>
            </w:r>
          </w:p>
        </w:tc>
      </w:tr>
      <w:tr w:rsidR="006E7881" w:rsidRPr="009D1AD4" w14:paraId="55BFA408" w14:textId="77777777" w:rsidTr="00642DA0">
        <w:tc>
          <w:tcPr>
            <w:tcW w:w="2947" w:type="dxa"/>
            <w:vAlign w:val="center"/>
          </w:tcPr>
          <w:p w14:paraId="37FF558A" w14:textId="77777777" w:rsidR="006E7881" w:rsidRPr="009D1AD4" w:rsidRDefault="006E7881" w:rsidP="00642DA0">
            <w:pPr>
              <w:rPr>
                <w:rFonts w:ascii="Arial" w:hAnsi="Arial" w:cs="Arial"/>
                <w:bCs/>
                <w:sz w:val="20"/>
                <w:szCs w:val="20"/>
              </w:rPr>
            </w:pPr>
            <w:r w:rsidRPr="009D1AD4">
              <w:rPr>
                <w:rFonts w:ascii="Arial" w:hAnsi="Arial" w:cs="Arial"/>
                <w:bCs/>
                <w:sz w:val="20"/>
                <w:szCs w:val="20"/>
              </w:rPr>
              <w:t>March 1, 2016 - Feb. 28, 2017</w:t>
            </w:r>
          </w:p>
        </w:tc>
        <w:tc>
          <w:tcPr>
            <w:tcW w:w="1590" w:type="dxa"/>
            <w:tcBorders>
              <w:right w:val="single" w:sz="4" w:space="0" w:color="auto"/>
            </w:tcBorders>
            <w:vAlign w:val="center"/>
          </w:tcPr>
          <w:p w14:paraId="598163A7" w14:textId="77777777" w:rsidR="006E7881" w:rsidRPr="009D1AD4" w:rsidRDefault="006E7881" w:rsidP="00642DA0">
            <w:pPr>
              <w:rPr>
                <w:rFonts w:ascii="Arial" w:hAnsi="Arial" w:cs="Arial"/>
                <w:bCs/>
                <w:sz w:val="20"/>
                <w:szCs w:val="20"/>
              </w:rPr>
            </w:pPr>
            <w:r w:rsidRPr="009D1AD4">
              <w:rPr>
                <w:rFonts w:ascii="Arial" w:hAnsi="Arial" w:cs="Arial"/>
                <w:bCs/>
                <w:sz w:val="20"/>
                <w:szCs w:val="20"/>
              </w:rPr>
              <w:t>July 31, 2018</w:t>
            </w:r>
          </w:p>
        </w:tc>
        <w:tc>
          <w:tcPr>
            <w:tcW w:w="300" w:type="dxa"/>
            <w:tcBorders>
              <w:top w:val="nil"/>
              <w:bottom w:val="nil"/>
            </w:tcBorders>
          </w:tcPr>
          <w:p w14:paraId="53D8EA50" w14:textId="77777777" w:rsidR="006E7881" w:rsidRPr="009D1AD4" w:rsidRDefault="006E7881" w:rsidP="00642DA0">
            <w:pPr>
              <w:rPr>
                <w:rFonts w:ascii="Arial" w:hAnsi="Arial" w:cs="Arial"/>
                <w:bCs/>
                <w:sz w:val="20"/>
                <w:szCs w:val="20"/>
              </w:rPr>
            </w:pPr>
          </w:p>
        </w:tc>
        <w:tc>
          <w:tcPr>
            <w:tcW w:w="2970" w:type="dxa"/>
            <w:vAlign w:val="center"/>
          </w:tcPr>
          <w:p w14:paraId="43A1E770" w14:textId="77777777" w:rsidR="006E7881" w:rsidRPr="009D1AD4" w:rsidRDefault="006E7881" w:rsidP="00642DA0">
            <w:pPr>
              <w:rPr>
                <w:rFonts w:ascii="Arial" w:hAnsi="Arial" w:cs="Arial"/>
                <w:bCs/>
                <w:sz w:val="20"/>
                <w:szCs w:val="20"/>
              </w:rPr>
            </w:pPr>
            <w:r w:rsidRPr="009D1AD4">
              <w:rPr>
                <w:rFonts w:ascii="Arial" w:hAnsi="Arial" w:cs="Arial"/>
                <w:bCs/>
                <w:sz w:val="20"/>
                <w:szCs w:val="20"/>
              </w:rPr>
              <w:t>March 1, 2017 - Feb. 28, 2018</w:t>
            </w:r>
          </w:p>
        </w:tc>
        <w:tc>
          <w:tcPr>
            <w:tcW w:w="1590" w:type="dxa"/>
            <w:vAlign w:val="center"/>
          </w:tcPr>
          <w:p w14:paraId="35388E80" w14:textId="77777777" w:rsidR="006E7881" w:rsidRPr="009D1AD4" w:rsidRDefault="006E7881" w:rsidP="00642DA0">
            <w:pPr>
              <w:rPr>
                <w:rFonts w:ascii="Arial" w:hAnsi="Arial" w:cs="Arial"/>
                <w:bCs/>
                <w:sz w:val="20"/>
                <w:szCs w:val="20"/>
              </w:rPr>
            </w:pPr>
            <w:r w:rsidRPr="009D1AD4">
              <w:rPr>
                <w:rFonts w:ascii="Arial" w:hAnsi="Arial" w:cs="Arial"/>
                <w:bCs/>
                <w:sz w:val="20"/>
                <w:szCs w:val="20"/>
              </w:rPr>
              <w:t>July 31, 2019</w:t>
            </w:r>
          </w:p>
        </w:tc>
      </w:tr>
      <w:tr w:rsidR="006E7881" w:rsidRPr="009D1AD4" w14:paraId="5D8C3A7B" w14:textId="77777777" w:rsidTr="00642DA0">
        <w:tc>
          <w:tcPr>
            <w:tcW w:w="2947" w:type="dxa"/>
            <w:vAlign w:val="center"/>
          </w:tcPr>
          <w:p w14:paraId="3404B773" w14:textId="77777777" w:rsidR="006E7881" w:rsidRPr="009D1AD4" w:rsidRDefault="006E7881" w:rsidP="00642DA0">
            <w:pPr>
              <w:rPr>
                <w:rFonts w:ascii="Arial" w:hAnsi="Arial" w:cs="Arial"/>
                <w:bCs/>
                <w:sz w:val="20"/>
                <w:szCs w:val="20"/>
              </w:rPr>
            </w:pPr>
            <w:r w:rsidRPr="009D1AD4">
              <w:rPr>
                <w:rFonts w:ascii="Arial" w:hAnsi="Arial" w:cs="Arial"/>
                <w:bCs/>
                <w:sz w:val="20"/>
                <w:szCs w:val="20"/>
              </w:rPr>
              <w:t>April 1, 2016 - March 31, 2017</w:t>
            </w:r>
          </w:p>
        </w:tc>
        <w:tc>
          <w:tcPr>
            <w:tcW w:w="1590" w:type="dxa"/>
            <w:tcBorders>
              <w:right w:val="single" w:sz="4" w:space="0" w:color="auto"/>
            </w:tcBorders>
            <w:vAlign w:val="center"/>
          </w:tcPr>
          <w:p w14:paraId="33FE89E0" w14:textId="77777777" w:rsidR="006E7881" w:rsidRPr="009D1AD4" w:rsidRDefault="006E7881" w:rsidP="00642DA0">
            <w:pPr>
              <w:rPr>
                <w:rFonts w:ascii="Arial" w:hAnsi="Arial" w:cs="Arial"/>
                <w:bCs/>
                <w:sz w:val="20"/>
                <w:szCs w:val="20"/>
              </w:rPr>
            </w:pPr>
            <w:r w:rsidRPr="009D1AD4">
              <w:rPr>
                <w:rFonts w:ascii="Arial" w:hAnsi="Arial" w:cs="Arial"/>
                <w:bCs/>
                <w:sz w:val="20"/>
                <w:szCs w:val="20"/>
              </w:rPr>
              <w:t>July 31, 2018</w:t>
            </w:r>
          </w:p>
        </w:tc>
        <w:tc>
          <w:tcPr>
            <w:tcW w:w="300" w:type="dxa"/>
            <w:tcBorders>
              <w:top w:val="nil"/>
              <w:bottom w:val="nil"/>
            </w:tcBorders>
          </w:tcPr>
          <w:p w14:paraId="46FC1AB6" w14:textId="77777777" w:rsidR="006E7881" w:rsidRPr="009D1AD4" w:rsidRDefault="006E7881" w:rsidP="00642DA0">
            <w:pPr>
              <w:rPr>
                <w:rFonts w:ascii="Arial" w:hAnsi="Arial" w:cs="Arial"/>
                <w:bCs/>
                <w:sz w:val="20"/>
                <w:szCs w:val="20"/>
              </w:rPr>
            </w:pPr>
          </w:p>
        </w:tc>
        <w:tc>
          <w:tcPr>
            <w:tcW w:w="2970" w:type="dxa"/>
            <w:vAlign w:val="center"/>
          </w:tcPr>
          <w:p w14:paraId="509984C5" w14:textId="77777777" w:rsidR="006E7881" w:rsidRPr="009D1AD4" w:rsidRDefault="006E7881" w:rsidP="00642DA0">
            <w:pPr>
              <w:rPr>
                <w:rFonts w:ascii="Arial" w:hAnsi="Arial" w:cs="Arial"/>
                <w:bCs/>
                <w:sz w:val="20"/>
                <w:szCs w:val="20"/>
              </w:rPr>
            </w:pPr>
            <w:r w:rsidRPr="009D1AD4">
              <w:rPr>
                <w:rFonts w:ascii="Arial" w:hAnsi="Arial" w:cs="Arial"/>
                <w:bCs/>
                <w:sz w:val="20"/>
                <w:szCs w:val="20"/>
              </w:rPr>
              <w:t>April 1, 2017 - March 31, 2018</w:t>
            </w:r>
          </w:p>
        </w:tc>
        <w:tc>
          <w:tcPr>
            <w:tcW w:w="1590" w:type="dxa"/>
            <w:vAlign w:val="center"/>
          </w:tcPr>
          <w:p w14:paraId="2C874C70" w14:textId="77777777" w:rsidR="006E7881" w:rsidRPr="009D1AD4" w:rsidRDefault="006E7881" w:rsidP="00642DA0">
            <w:pPr>
              <w:rPr>
                <w:rFonts w:ascii="Arial" w:hAnsi="Arial" w:cs="Arial"/>
                <w:bCs/>
                <w:sz w:val="20"/>
                <w:szCs w:val="20"/>
              </w:rPr>
            </w:pPr>
            <w:r w:rsidRPr="009D1AD4">
              <w:rPr>
                <w:rFonts w:ascii="Arial" w:hAnsi="Arial" w:cs="Arial"/>
                <w:bCs/>
                <w:sz w:val="20"/>
                <w:szCs w:val="20"/>
              </w:rPr>
              <w:t>July 31, 2019</w:t>
            </w:r>
          </w:p>
        </w:tc>
      </w:tr>
      <w:tr w:rsidR="006E7881" w:rsidRPr="009D1AD4" w14:paraId="5B154B16" w14:textId="77777777" w:rsidTr="00642DA0">
        <w:tc>
          <w:tcPr>
            <w:tcW w:w="2947" w:type="dxa"/>
            <w:vAlign w:val="center"/>
          </w:tcPr>
          <w:p w14:paraId="67AC59B2" w14:textId="77777777" w:rsidR="006E7881" w:rsidRPr="009D1AD4" w:rsidRDefault="006E7881" w:rsidP="00642DA0">
            <w:pPr>
              <w:rPr>
                <w:rFonts w:ascii="Arial" w:hAnsi="Arial" w:cs="Arial"/>
                <w:bCs/>
                <w:sz w:val="20"/>
                <w:szCs w:val="20"/>
              </w:rPr>
            </w:pPr>
            <w:r w:rsidRPr="009D1AD4">
              <w:rPr>
                <w:rFonts w:ascii="Arial" w:hAnsi="Arial" w:cs="Arial"/>
                <w:bCs/>
                <w:sz w:val="20"/>
                <w:szCs w:val="20"/>
              </w:rPr>
              <w:t>May 1, 2016 - April 30, 2017</w:t>
            </w:r>
          </w:p>
        </w:tc>
        <w:tc>
          <w:tcPr>
            <w:tcW w:w="1590" w:type="dxa"/>
            <w:tcBorders>
              <w:right w:val="single" w:sz="4" w:space="0" w:color="auto"/>
            </w:tcBorders>
            <w:vAlign w:val="center"/>
          </w:tcPr>
          <w:p w14:paraId="59F9F9C6" w14:textId="77777777" w:rsidR="006E7881" w:rsidRPr="009D1AD4" w:rsidRDefault="006E7881" w:rsidP="00642DA0">
            <w:pPr>
              <w:rPr>
                <w:rFonts w:ascii="Arial" w:hAnsi="Arial" w:cs="Arial"/>
                <w:bCs/>
                <w:sz w:val="20"/>
                <w:szCs w:val="20"/>
              </w:rPr>
            </w:pPr>
            <w:r w:rsidRPr="009D1AD4">
              <w:rPr>
                <w:rFonts w:ascii="Arial" w:hAnsi="Arial" w:cs="Arial"/>
                <w:bCs/>
                <w:sz w:val="20"/>
                <w:szCs w:val="20"/>
              </w:rPr>
              <w:t>July 31, 2018</w:t>
            </w:r>
          </w:p>
        </w:tc>
        <w:tc>
          <w:tcPr>
            <w:tcW w:w="300" w:type="dxa"/>
            <w:tcBorders>
              <w:top w:val="nil"/>
              <w:bottom w:val="nil"/>
            </w:tcBorders>
          </w:tcPr>
          <w:p w14:paraId="65F00149" w14:textId="77777777" w:rsidR="006E7881" w:rsidRPr="009D1AD4" w:rsidRDefault="006E7881" w:rsidP="00642DA0">
            <w:pPr>
              <w:rPr>
                <w:rFonts w:ascii="Arial" w:hAnsi="Arial" w:cs="Arial"/>
                <w:bCs/>
                <w:sz w:val="20"/>
                <w:szCs w:val="20"/>
              </w:rPr>
            </w:pPr>
          </w:p>
        </w:tc>
        <w:tc>
          <w:tcPr>
            <w:tcW w:w="2970" w:type="dxa"/>
            <w:vAlign w:val="center"/>
          </w:tcPr>
          <w:p w14:paraId="436E3DFD" w14:textId="77777777" w:rsidR="006E7881" w:rsidRPr="009D1AD4" w:rsidRDefault="006E7881" w:rsidP="00642DA0">
            <w:pPr>
              <w:rPr>
                <w:rFonts w:ascii="Arial" w:hAnsi="Arial" w:cs="Arial"/>
                <w:bCs/>
                <w:sz w:val="20"/>
                <w:szCs w:val="20"/>
              </w:rPr>
            </w:pPr>
            <w:r w:rsidRPr="009D1AD4">
              <w:rPr>
                <w:rFonts w:ascii="Arial" w:hAnsi="Arial" w:cs="Arial"/>
                <w:bCs/>
                <w:sz w:val="20"/>
                <w:szCs w:val="20"/>
              </w:rPr>
              <w:t>May 1, 2017 - April 30, 2018</w:t>
            </w:r>
          </w:p>
        </w:tc>
        <w:tc>
          <w:tcPr>
            <w:tcW w:w="1590" w:type="dxa"/>
            <w:vAlign w:val="center"/>
          </w:tcPr>
          <w:p w14:paraId="774CDF09" w14:textId="77777777" w:rsidR="006E7881" w:rsidRPr="009D1AD4" w:rsidRDefault="006E7881" w:rsidP="00642DA0">
            <w:pPr>
              <w:rPr>
                <w:rFonts w:ascii="Arial" w:hAnsi="Arial" w:cs="Arial"/>
                <w:bCs/>
                <w:sz w:val="20"/>
                <w:szCs w:val="20"/>
              </w:rPr>
            </w:pPr>
            <w:r w:rsidRPr="009D1AD4">
              <w:rPr>
                <w:rFonts w:ascii="Arial" w:hAnsi="Arial" w:cs="Arial"/>
                <w:bCs/>
                <w:sz w:val="20"/>
                <w:szCs w:val="20"/>
              </w:rPr>
              <w:t>July 31, 2019</w:t>
            </w:r>
          </w:p>
        </w:tc>
      </w:tr>
      <w:tr w:rsidR="006E7881" w:rsidRPr="009D1AD4" w14:paraId="20807F23" w14:textId="77777777" w:rsidTr="00642DA0">
        <w:tc>
          <w:tcPr>
            <w:tcW w:w="2947" w:type="dxa"/>
            <w:vAlign w:val="center"/>
          </w:tcPr>
          <w:p w14:paraId="5AEE7DB5" w14:textId="77777777" w:rsidR="006E7881" w:rsidRPr="009D1AD4" w:rsidRDefault="006E7881" w:rsidP="00642DA0">
            <w:pPr>
              <w:rPr>
                <w:rFonts w:ascii="Arial" w:hAnsi="Arial" w:cs="Arial"/>
                <w:bCs/>
                <w:sz w:val="20"/>
                <w:szCs w:val="20"/>
              </w:rPr>
            </w:pPr>
            <w:r w:rsidRPr="009D1AD4">
              <w:rPr>
                <w:rFonts w:ascii="Arial" w:hAnsi="Arial" w:cs="Arial"/>
                <w:bCs/>
                <w:sz w:val="20"/>
                <w:szCs w:val="20"/>
              </w:rPr>
              <w:t>June 1, 2016 - May 31, 2017</w:t>
            </w:r>
          </w:p>
        </w:tc>
        <w:tc>
          <w:tcPr>
            <w:tcW w:w="1590" w:type="dxa"/>
            <w:tcBorders>
              <w:right w:val="single" w:sz="4" w:space="0" w:color="auto"/>
            </w:tcBorders>
            <w:vAlign w:val="center"/>
          </w:tcPr>
          <w:p w14:paraId="0A59661E" w14:textId="77777777" w:rsidR="006E7881" w:rsidRPr="009D1AD4" w:rsidRDefault="006E7881" w:rsidP="00642DA0">
            <w:pPr>
              <w:rPr>
                <w:rFonts w:ascii="Arial" w:hAnsi="Arial" w:cs="Arial"/>
                <w:bCs/>
                <w:sz w:val="20"/>
                <w:szCs w:val="20"/>
              </w:rPr>
            </w:pPr>
            <w:r w:rsidRPr="009D1AD4">
              <w:rPr>
                <w:rFonts w:ascii="Arial" w:hAnsi="Arial" w:cs="Arial"/>
                <w:bCs/>
                <w:sz w:val="20"/>
                <w:szCs w:val="20"/>
              </w:rPr>
              <w:t>July 31, 2018</w:t>
            </w:r>
          </w:p>
        </w:tc>
        <w:tc>
          <w:tcPr>
            <w:tcW w:w="300" w:type="dxa"/>
            <w:tcBorders>
              <w:top w:val="nil"/>
              <w:bottom w:val="nil"/>
            </w:tcBorders>
          </w:tcPr>
          <w:p w14:paraId="22AF4CD0" w14:textId="77777777" w:rsidR="006E7881" w:rsidRPr="009D1AD4" w:rsidRDefault="006E7881" w:rsidP="00642DA0">
            <w:pPr>
              <w:rPr>
                <w:rFonts w:ascii="Arial" w:hAnsi="Arial" w:cs="Arial"/>
                <w:bCs/>
                <w:sz w:val="20"/>
                <w:szCs w:val="20"/>
              </w:rPr>
            </w:pPr>
          </w:p>
        </w:tc>
        <w:tc>
          <w:tcPr>
            <w:tcW w:w="2970" w:type="dxa"/>
            <w:vAlign w:val="center"/>
          </w:tcPr>
          <w:p w14:paraId="3A229F14" w14:textId="77777777" w:rsidR="006E7881" w:rsidRPr="009D1AD4" w:rsidRDefault="006E7881" w:rsidP="00642DA0">
            <w:pPr>
              <w:rPr>
                <w:rFonts w:ascii="Arial" w:hAnsi="Arial" w:cs="Arial"/>
                <w:bCs/>
                <w:sz w:val="20"/>
                <w:szCs w:val="20"/>
              </w:rPr>
            </w:pPr>
            <w:r w:rsidRPr="009D1AD4">
              <w:rPr>
                <w:rFonts w:ascii="Arial" w:hAnsi="Arial" w:cs="Arial"/>
                <w:bCs/>
                <w:sz w:val="20"/>
                <w:szCs w:val="20"/>
              </w:rPr>
              <w:t>June 1, 2017 - May 31, 2018</w:t>
            </w:r>
          </w:p>
        </w:tc>
        <w:tc>
          <w:tcPr>
            <w:tcW w:w="1590" w:type="dxa"/>
            <w:vAlign w:val="center"/>
          </w:tcPr>
          <w:p w14:paraId="5D3DA219" w14:textId="77777777" w:rsidR="006E7881" w:rsidRPr="009D1AD4" w:rsidRDefault="006E7881" w:rsidP="00642DA0">
            <w:pPr>
              <w:rPr>
                <w:rFonts w:ascii="Arial" w:hAnsi="Arial" w:cs="Arial"/>
                <w:bCs/>
                <w:sz w:val="20"/>
                <w:szCs w:val="20"/>
              </w:rPr>
            </w:pPr>
            <w:r w:rsidRPr="009D1AD4">
              <w:rPr>
                <w:rFonts w:ascii="Arial" w:hAnsi="Arial" w:cs="Arial"/>
                <w:bCs/>
                <w:sz w:val="20"/>
                <w:szCs w:val="20"/>
              </w:rPr>
              <w:t>July 31, 2019</w:t>
            </w:r>
          </w:p>
        </w:tc>
      </w:tr>
      <w:tr w:rsidR="006E7881" w:rsidRPr="009D1AD4" w14:paraId="58905A78" w14:textId="77777777" w:rsidTr="00642DA0">
        <w:tc>
          <w:tcPr>
            <w:tcW w:w="2947" w:type="dxa"/>
            <w:vAlign w:val="center"/>
          </w:tcPr>
          <w:p w14:paraId="7C9A2453" w14:textId="77777777" w:rsidR="006E7881" w:rsidRPr="009D1AD4" w:rsidRDefault="006E7881" w:rsidP="00642DA0">
            <w:pPr>
              <w:rPr>
                <w:rFonts w:ascii="Arial" w:hAnsi="Arial" w:cs="Arial"/>
                <w:bCs/>
                <w:sz w:val="20"/>
                <w:szCs w:val="20"/>
              </w:rPr>
            </w:pPr>
            <w:r w:rsidRPr="009D1AD4">
              <w:rPr>
                <w:rFonts w:ascii="Arial" w:hAnsi="Arial" w:cs="Arial"/>
                <w:bCs/>
                <w:sz w:val="20"/>
                <w:szCs w:val="20"/>
              </w:rPr>
              <w:t>July 1, 2016 - June 30, 2017</w:t>
            </w:r>
          </w:p>
        </w:tc>
        <w:tc>
          <w:tcPr>
            <w:tcW w:w="1590" w:type="dxa"/>
            <w:tcBorders>
              <w:right w:val="single" w:sz="4" w:space="0" w:color="auto"/>
            </w:tcBorders>
            <w:vAlign w:val="center"/>
          </w:tcPr>
          <w:p w14:paraId="40707059" w14:textId="77777777" w:rsidR="006E7881" w:rsidRPr="009D1AD4" w:rsidRDefault="006E7881" w:rsidP="00642DA0">
            <w:pPr>
              <w:rPr>
                <w:rFonts w:ascii="Arial" w:hAnsi="Arial" w:cs="Arial"/>
                <w:bCs/>
                <w:sz w:val="20"/>
                <w:szCs w:val="20"/>
              </w:rPr>
            </w:pPr>
            <w:r w:rsidRPr="009D1AD4">
              <w:rPr>
                <w:rFonts w:ascii="Arial" w:hAnsi="Arial" w:cs="Arial"/>
                <w:bCs/>
                <w:sz w:val="20"/>
                <w:szCs w:val="20"/>
              </w:rPr>
              <w:t>July 31, 2018</w:t>
            </w:r>
          </w:p>
        </w:tc>
        <w:tc>
          <w:tcPr>
            <w:tcW w:w="300" w:type="dxa"/>
            <w:tcBorders>
              <w:top w:val="nil"/>
              <w:bottom w:val="nil"/>
            </w:tcBorders>
          </w:tcPr>
          <w:p w14:paraId="3492EB43" w14:textId="77777777" w:rsidR="006E7881" w:rsidRPr="009D1AD4" w:rsidRDefault="006E7881" w:rsidP="00642DA0">
            <w:pPr>
              <w:rPr>
                <w:rFonts w:ascii="Arial" w:hAnsi="Arial" w:cs="Arial"/>
                <w:bCs/>
                <w:sz w:val="20"/>
                <w:szCs w:val="20"/>
              </w:rPr>
            </w:pPr>
          </w:p>
        </w:tc>
        <w:tc>
          <w:tcPr>
            <w:tcW w:w="2970" w:type="dxa"/>
            <w:vAlign w:val="center"/>
          </w:tcPr>
          <w:p w14:paraId="03583685" w14:textId="77777777" w:rsidR="006E7881" w:rsidRPr="009D1AD4" w:rsidRDefault="006E7881" w:rsidP="00642DA0">
            <w:pPr>
              <w:rPr>
                <w:rFonts w:ascii="Arial" w:hAnsi="Arial" w:cs="Arial"/>
                <w:bCs/>
                <w:sz w:val="20"/>
                <w:szCs w:val="20"/>
              </w:rPr>
            </w:pPr>
            <w:r w:rsidRPr="009D1AD4">
              <w:rPr>
                <w:rFonts w:ascii="Arial" w:hAnsi="Arial" w:cs="Arial"/>
                <w:bCs/>
                <w:sz w:val="20"/>
                <w:szCs w:val="20"/>
              </w:rPr>
              <w:t>July 1, 2017 - June 30, 2018</w:t>
            </w:r>
          </w:p>
        </w:tc>
        <w:tc>
          <w:tcPr>
            <w:tcW w:w="1590" w:type="dxa"/>
            <w:vAlign w:val="center"/>
          </w:tcPr>
          <w:p w14:paraId="6A30433D" w14:textId="77777777" w:rsidR="006E7881" w:rsidRPr="009D1AD4" w:rsidRDefault="006E7881" w:rsidP="00642DA0">
            <w:pPr>
              <w:rPr>
                <w:rFonts w:ascii="Arial" w:hAnsi="Arial" w:cs="Arial"/>
                <w:bCs/>
                <w:sz w:val="20"/>
                <w:szCs w:val="20"/>
              </w:rPr>
            </w:pPr>
            <w:r w:rsidRPr="009D1AD4">
              <w:rPr>
                <w:rFonts w:ascii="Arial" w:hAnsi="Arial" w:cs="Arial"/>
                <w:bCs/>
                <w:sz w:val="20"/>
                <w:szCs w:val="20"/>
              </w:rPr>
              <w:t>July 31, 2019</w:t>
            </w:r>
          </w:p>
        </w:tc>
      </w:tr>
      <w:tr w:rsidR="006E7881" w:rsidRPr="009D1AD4" w14:paraId="58E62085" w14:textId="77777777" w:rsidTr="00642DA0">
        <w:tc>
          <w:tcPr>
            <w:tcW w:w="2947" w:type="dxa"/>
            <w:vAlign w:val="center"/>
          </w:tcPr>
          <w:p w14:paraId="34EB893B" w14:textId="77777777" w:rsidR="006E7881" w:rsidRPr="009D1AD4" w:rsidRDefault="006E7881" w:rsidP="00642DA0">
            <w:pPr>
              <w:rPr>
                <w:rFonts w:ascii="Arial" w:hAnsi="Arial" w:cs="Arial"/>
                <w:bCs/>
                <w:sz w:val="20"/>
                <w:szCs w:val="20"/>
              </w:rPr>
            </w:pPr>
            <w:r w:rsidRPr="009D1AD4">
              <w:rPr>
                <w:rFonts w:ascii="Arial" w:hAnsi="Arial" w:cs="Arial"/>
                <w:bCs/>
                <w:sz w:val="20"/>
                <w:szCs w:val="20"/>
              </w:rPr>
              <w:t>Aug. 1, 2016 - July 31, 2017</w:t>
            </w:r>
          </w:p>
        </w:tc>
        <w:tc>
          <w:tcPr>
            <w:tcW w:w="1590" w:type="dxa"/>
            <w:tcBorders>
              <w:right w:val="single" w:sz="4" w:space="0" w:color="auto"/>
            </w:tcBorders>
            <w:vAlign w:val="center"/>
          </w:tcPr>
          <w:p w14:paraId="4AFC7BE4" w14:textId="77777777" w:rsidR="006E7881" w:rsidRPr="009D1AD4" w:rsidRDefault="006E7881" w:rsidP="00642DA0">
            <w:pPr>
              <w:rPr>
                <w:rFonts w:ascii="Arial" w:hAnsi="Arial" w:cs="Arial"/>
                <w:bCs/>
                <w:sz w:val="20"/>
                <w:szCs w:val="20"/>
              </w:rPr>
            </w:pPr>
            <w:r w:rsidRPr="009D1AD4">
              <w:rPr>
                <w:rFonts w:ascii="Arial" w:hAnsi="Arial" w:cs="Arial"/>
                <w:bCs/>
                <w:sz w:val="20"/>
                <w:szCs w:val="20"/>
              </w:rPr>
              <w:t>July 31, 2018</w:t>
            </w:r>
          </w:p>
        </w:tc>
        <w:tc>
          <w:tcPr>
            <w:tcW w:w="300" w:type="dxa"/>
            <w:tcBorders>
              <w:top w:val="nil"/>
              <w:bottom w:val="nil"/>
            </w:tcBorders>
          </w:tcPr>
          <w:p w14:paraId="5329C367" w14:textId="77777777" w:rsidR="006E7881" w:rsidRPr="009D1AD4" w:rsidRDefault="006E7881" w:rsidP="00642DA0">
            <w:pPr>
              <w:rPr>
                <w:rFonts w:ascii="Arial" w:hAnsi="Arial" w:cs="Arial"/>
                <w:bCs/>
                <w:sz w:val="20"/>
                <w:szCs w:val="20"/>
              </w:rPr>
            </w:pPr>
          </w:p>
        </w:tc>
        <w:tc>
          <w:tcPr>
            <w:tcW w:w="2970" w:type="dxa"/>
            <w:vAlign w:val="center"/>
          </w:tcPr>
          <w:p w14:paraId="043A1DA3" w14:textId="77777777" w:rsidR="006E7881" w:rsidRPr="009D1AD4" w:rsidRDefault="006E7881" w:rsidP="00642DA0">
            <w:pPr>
              <w:rPr>
                <w:rFonts w:ascii="Arial" w:hAnsi="Arial" w:cs="Arial"/>
                <w:bCs/>
                <w:sz w:val="20"/>
                <w:szCs w:val="20"/>
              </w:rPr>
            </w:pPr>
            <w:r w:rsidRPr="009D1AD4">
              <w:rPr>
                <w:rFonts w:ascii="Arial" w:hAnsi="Arial" w:cs="Arial"/>
                <w:bCs/>
                <w:sz w:val="20"/>
                <w:szCs w:val="20"/>
              </w:rPr>
              <w:t>Aug. 1, 2017 - July 31, 2018</w:t>
            </w:r>
          </w:p>
        </w:tc>
        <w:tc>
          <w:tcPr>
            <w:tcW w:w="1590" w:type="dxa"/>
            <w:vAlign w:val="center"/>
          </w:tcPr>
          <w:p w14:paraId="448FBA2D" w14:textId="77777777" w:rsidR="006E7881" w:rsidRPr="009D1AD4" w:rsidRDefault="006E7881" w:rsidP="00642DA0">
            <w:pPr>
              <w:rPr>
                <w:rFonts w:ascii="Arial" w:hAnsi="Arial" w:cs="Arial"/>
                <w:bCs/>
                <w:sz w:val="20"/>
                <w:szCs w:val="20"/>
              </w:rPr>
            </w:pPr>
            <w:r w:rsidRPr="009D1AD4">
              <w:rPr>
                <w:rFonts w:ascii="Arial" w:hAnsi="Arial" w:cs="Arial"/>
                <w:bCs/>
                <w:sz w:val="20"/>
                <w:szCs w:val="20"/>
              </w:rPr>
              <w:t>July 31, 2019</w:t>
            </w:r>
          </w:p>
        </w:tc>
      </w:tr>
      <w:tr w:rsidR="006E7881" w:rsidRPr="009D1AD4" w14:paraId="020F5303" w14:textId="77777777" w:rsidTr="00642DA0">
        <w:tc>
          <w:tcPr>
            <w:tcW w:w="2947" w:type="dxa"/>
            <w:vAlign w:val="center"/>
          </w:tcPr>
          <w:p w14:paraId="0F7A75CC" w14:textId="77777777" w:rsidR="006E7881" w:rsidRPr="009D1AD4" w:rsidRDefault="006E7881" w:rsidP="00642DA0">
            <w:pPr>
              <w:rPr>
                <w:rFonts w:ascii="Arial" w:hAnsi="Arial" w:cs="Arial"/>
                <w:bCs/>
                <w:sz w:val="20"/>
                <w:szCs w:val="20"/>
              </w:rPr>
            </w:pPr>
            <w:r w:rsidRPr="009D1AD4">
              <w:rPr>
                <w:rFonts w:ascii="Arial" w:hAnsi="Arial" w:cs="Arial"/>
                <w:bCs/>
                <w:sz w:val="20"/>
                <w:szCs w:val="20"/>
              </w:rPr>
              <w:t>Sept. 1, 2016 - Aug. 31, 2017</w:t>
            </w:r>
          </w:p>
        </w:tc>
        <w:tc>
          <w:tcPr>
            <w:tcW w:w="1590" w:type="dxa"/>
            <w:tcBorders>
              <w:right w:val="single" w:sz="4" w:space="0" w:color="auto"/>
            </w:tcBorders>
            <w:vAlign w:val="center"/>
          </w:tcPr>
          <w:p w14:paraId="6805C0AA" w14:textId="77777777" w:rsidR="006E7881" w:rsidRPr="009D1AD4" w:rsidRDefault="006E7881" w:rsidP="00642DA0">
            <w:pPr>
              <w:rPr>
                <w:rFonts w:ascii="Arial" w:hAnsi="Arial" w:cs="Arial"/>
                <w:bCs/>
                <w:sz w:val="20"/>
                <w:szCs w:val="20"/>
              </w:rPr>
            </w:pPr>
            <w:r w:rsidRPr="009D1AD4">
              <w:rPr>
                <w:rFonts w:ascii="Arial" w:hAnsi="Arial" w:cs="Arial"/>
                <w:bCs/>
                <w:sz w:val="20"/>
                <w:szCs w:val="20"/>
              </w:rPr>
              <w:t>July 31, 2018</w:t>
            </w:r>
          </w:p>
        </w:tc>
        <w:tc>
          <w:tcPr>
            <w:tcW w:w="300" w:type="dxa"/>
            <w:tcBorders>
              <w:top w:val="nil"/>
              <w:bottom w:val="nil"/>
            </w:tcBorders>
          </w:tcPr>
          <w:p w14:paraId="3FBD2462" w14:textId="77777777" w:rsidR="006E7881" w:rsidRPr="009D1AD4" w:rsidRDefault="006E7881" w:rsidP="00642DA0">
            <w:pPr>
              <w:rPr>
                <w:rFonts w:ascii="Arial" w:hAnsi="Arial" w:cs="Arial"/>
                <w:bCs/>
                <w:sz w:val="20"/>
                <w:szCs w:val="20"/>
              </w:rPr>
            </w:pPr>
          </w:p>
        </w:tc>
        <w:tc>
          <w:tcPr>
            <w:tcW w:w="2970" w:type="dxa"/>
            <w:vAlign w:val="center"/>
          </w:tcPr>
          <w:p w14:paraId="56298949" w14:textId="77777777" w:rsidR="006E7881" w:rsidRPr="009D1AD4" w:rsidRDefault="006E7881" w:rsidP="00642DA0">
            <w:pPr>
              <w:rPr>
                <w:rFonts w:ascii="Arial" w:hAnsi="Arial" w:cs="Arial"/>
                <w:bCs/>
                <w:sz w:val="20"/>
                <w:szCs w:val="20"/>
              </w:rPr>
            </w:pPr>
            <w:r w:rsidRPr="009D1AD4">
              <w:rPr>
                <w:rFonts w:ascii="Arial" w:hAnsi="Arial" w:cs="Arial"/>
                <w:bCs/>
                <w:sz w:val="20"/>
                <w:szCs w:val="20"/>
              </w:rPr>
              <w:t>Sept. 1, 2017 - Aug. 31, 2018</w:t>
            </w:r>
          </w:p>
        </w:tc>
        <w:tc>
          <w:tcPr>
            <w:tcW w:w="1590" w:type="dxa"/>
            <w:vAlign w:val="center"/>
          </w:tcPr>
          <w:p w14:paraId="12848C84" w14:textId="77777777" w:rsidR="006E7881" w:rsidRPr="009D1AD4" w:rsidRDefault="006E7881" w:rsidP="00642DA0">
            <w:pPr>
              <w:rPr>
                <w:rFonts w:ascii="Arial" w:hAnsi="Arial" w:cs="Arial"/>
                <w:bCs/>
                <w:sz w:val="20"/>
                <w:szCs w:val="20"/>
              </w:rPr>
            </w:pPr>
            <w:r w:rsidRPr="009D1AD4">
              <w:rPr>
                <w:rFonts w:ascii="Arial" w:hAnsi="Arial" w:cs="Arial"/>
                <w:bCs/>
                <w:sz w:val="20"/>
                <w:szCs w:val="20"/>
              </w:rPr>
              <w:t>July 31, 2019</w:t>
            </w:r>
          </w:p>
        </w:tc>
      </w:tr>
      <w:tr w:rsidR="006E7881" w:rsidRPr="009D1AD4" w14:paraId="013DD747" w14:textId="77777777" w:rsidTr="00642DA0">
        <w:tc>
          <w:tcPr>
            <w:tcW w:w="2947" w:type="dxa"/>
            <w:vAlign w:val="center"/>
          </w:tcPr>
          <w:p w14:paraId="20F05044" w14:textId="77777777" w:rsidR="006E7881" w:rsidRPr="009D1AD4" w:rsidRDefault="006E7881" w:rsidP="00642DA0">
            <w:pPr>
              <w:rPr>
                <w:rFonts w:ascii="Arial" w:hAnsi="Arial" w:cs="Arial"/>
                <w:bCs/>
                <w:sz w:val="20"/>
                <w:szCs w:val="20"/>
              </w:rPr>
            </w:pPr>
            <w:r w:rsidRPr="009D1AD4">
              <w:rPr>
                <w:rFonts w:ascii="Arial" w:hAnsi="Arial" w:cs="Arial"/>
                <w:bCs/>
                <w:sz w:val="20"/>
                <w:szCs w:val="20"/>
              </w:rPr>
              <w:t>Oct. 1, 2016 - Sept. 30, 2017</w:t>
            </w:r>
          </w:p>
        </w:tc>
        <w:tc>
          <w:tcPr>
            <w:tcW w:w="1590" w:type="dxa"/>
            <w:tcBorders>
              <w:right w:val="single" w:sz="4" w:space="0" w:color="auto"/>
            </w:tcBorders>
            <w:vAlign w:val="center"/>
          </w:tcPr>
          <w:p w14:paraId="3E4400B2" w14:textId="77777777" w:rsidR="006E7881" w:rsidRPr="009D1AD4" w:rsidRDefault="006E7881" w:rsidP="00642DA0">
            <w:pPr>
              <w:rPr>
                <w:rFonts w:ascii="Arial" w:hAnsi="Arial" w:cs="Arial"/>
                <w:bCs/>
                <w:sz w:val="20"/>
                <w:szCs w:val="20"/>
              </w:rPr>
            </w:pPr>
            <w:r w:rsidRPr="009D1AD4">
              <w:rPr>
                <w:rFonts w:ascii="Arial" w:hAnsi="Arial" w:cs="Arial"/>
                <w:bCs/>
                <w:sz w:val="20"/>
                <w:szCs w:val="20"/>
              </w:rPr>
              <w:t>July 31, 2018</w:t>
            </w:r>
          </w:p>
        </w:tc>
        <w:tc>
          <w:tcPr>
            <w:tcW w:w="300" w:type="dxa"/>
            <w:tcBorders>
              <w:top w:val="nil"/>
              <w:bottom w:val="nil"/>
            </w:tcBorders>
          </w:tcPr>
          <w:p w14:paraId="51DB7BCA" w14:textId="77777777" w:rsidR="006E7881" w:rsidRPr="009D1AD4" w:rsidRDefault="006E7881" w:rsidP="00642DA0">
            <w:pPr>
              <w:rPr>
                <w:rFonts w:ascii="Arial" w:hAnsi="Arial" w:cs="Arial"/>
                <w:bCs/>
                <w:sz w:val="20"/>
                <w:szCs w:val="20"/>
              </w:rPr>
            </w:pPr>
          </w:p>
        </w:tc>
        <w:tc>
          <w:tcPr>
            <w:tcW w:w="2970" w:type="dxa"/>
            <w:vAlign w:val="center"/>
          </w:tcPr>
          <w:p w14:paraId="6C28C707" w14:textId="77777777" w:rsidR="006E7881" w:rsidRPr="009D1AD4" w:rsidRDefault="006E7881" w:rsidP="00642DA0">
            <w:pPr>
              <w:rPr>
                <w:rFonts w:ascii="Arial" w:hAnsi="Arial" w:cs="Arial"/>
                <w:bCs/>
                <w:sz w:val="20"/>
                <w:szCs w:val="20"/>
              </w:rPr>
            </w:pPr>
            <w:r w:rsidRPr="009D1AD4">
              <w:rPr>
                <w:rFonts w:ascii="Arial" w:hAnsi="Arial" w:cs="Arial"/>
                <w:bCs/>
                <w:sz w:val="20"/>
                <w:szCs w:val="20"/>
              </w:rPr>
              <w:t>Oct. 1, 2017 - Sept. 30, 2018</w:t>
            </w:r>
          </w:p>
        </w:tc>
        <w:tc>
          <w:tcPr>
            <w:tcW w:w="1590" w:type="dxa"/>
            <w:vAlign w:val="center"/>
          </w:tcPr>
          <w:p w14:paraId="73683ECB" w14:textId="77777777" w:rsidR="006E7881" w:rsidRPr="009D1AD4" w:rsidRDefault="006E7881" w:rsidP="00642DA0">
            <w:pPr>
              <w:rPr>
                <w:rFonts w:ascii="Arial" w:hAnsi="Arial" w:cs="Arial"/>
                <w:bCs/>
                <w:sz w:val="20"/>
                <w:szCs w:val="20"/>
              </w:rPr>
            </w:pPr>
            <w:r w:rsidRPr="009D1AD4">
              <w:rPr>
                <w:rFonts w:ascii="Arial" w:hAnsi="Arial" w:cs="Arial"/>
                <w:bCs/>
                <w:sz w:val="20"/>
                <w:szCs w:val="20"/>
              </w:rPr>
              <w:t>July 31, 2019</w:t>
            </w:r>
          </w:p>
        </w:tc>
      </w:tr>
    </w:tbl>
    <w:p w14:paraId="3C787711" w14:textId="77777777" w:rsidR="006E7881" w:rsidRPr="009D1AD4" w:rsidRDefault="006E7881" w:rsidP="004C6CEA">
      <w:pPr>
        <w:spacing w:after="200"/>
        <w:rPr>
          <w:rFonts w:ascii="Arial" w:hAnsi="Arial" w:cs="Arial"/>
          <w:b/>
          <w:bCs/>
          <w:sz w:val="20"/>
          <w:szCs w:val="20"/>
        </w:rPr>
      </w:pPr>
    </w:p>
    <w:p w14:paraId="747C8A76" w14:textId="1132F47F" w:rsidR="006E7881" w:rsidRPr="009D1AD4" w:rsidRDefault="006E7881" w:rsidP="004C6CEA">
      <w:pPr>
        <w:spacing w:after="200"/>
        <w:rPr>
          <w:rFonts w:ascii="Arial" w:hAnsi="Arial" w:cs="Arial"/>
          <w:color w:val="000000"/>
          <w:sz w:val="20"/>
          <w:szCs w:val="20"/>
        </w:rPr>
      </w:pPr>
      <w:r w:rsidRPr="009D1AD4">
        <w:rPr>
          <w:rFonts w:ascii="Arial" w:hAnsi="Arial" w:cs="Arial"/>
          <w:color w:val="000000"/>
          <w:sz w:val="20"/>
          <w:szCs w:val="20"/>
        </w:rPr>
        <w:t>Although the PCORI statute and its regulations do not include a specific penalty for failure to report or pay the PCORI fee, the plan sponsor may be subject to</w:t>
      </w:r>
      <w:r w:rsidR="00055049">
        <w:rPr>
          <w:rFonts w:ascii="Arial" w:hAnsi="Arial" w:cs="Arial"/>
          <w:color w:val="000000"/>
          <w:sz w:val="20"/>
          <w:szCs w:val="20"/>
        </w:rPr>
        <w:t xml:space="preserve"> </w:t>
      </w:r>
      <w:hyperlink r:id="rId33" w:history="1">
        <w:r w:rsidRPr="009D1AD4">
          <w:rPr>
            <w:rStyle w:val="Hyperlink"/>
          </w:rPr>
          <w:t>penalties</w:t>
        </w:r>
        <w:r w:rsidR="00055049">
          <w:rPr>
            <w:rStyle w:val="Hyperlink"/>
          </w:rPr>
          <w:t xml:space="preserve"> </w:t>
        </w:r>
      </w:hyperlink>
      <w:r w:rsidRPr="009D1AD4">
        <w:rPr>
          <w:rFonts w:ascii="Arial" w:hAnsi="Arial" w:cs="Arial"/>
          <w:color w:val="000000"/>
          <w:sz w:val="20"/>
          <w:szCs w:val="20"/>
        </w:rPr>
        <w:t>for failure to file a tax return because the PCORI fee is an excise tax. The plan sponsor should consult with its attorney on how to proceed with a late filing or late payment of the PCORI fee.</w:t>
      </w:r>
    </w:p>
    <w:p w14:paraId="5D783849" w14:textId="27E8F81E" w:rsidR="006E7881" w:rsidRPr="009D1AD4" w:rsidRDefault="006E7881" w:rsidP="004C6CEA">
      <w:pPr>
        <w:spacing w:after="200"/>
        <w:rPr>
          <w:rFonts w:ascii="Arial" w:hAnsi="Arial" w:cs="Arial"/>
          <w:color w:val="000000"/>
          <w:sz w:val="20"/>
          <w:szCs w:val="20"/>
        </w:rPr>
      </w:pPr>
      <w:r w:rsidRPr="009D1AD4">
        <w:rPr>
          <w:rFonts w:ascii="Arial" w:hAnsi="Arial" w:cs="Arial"/>
          <w:color w:val="000000"/>
          <w:sz w:val="20"/>
          <w:szCs w:val="20"/>
        </w:rPr>
        <w:t>The PCORI</w:t>
      </w:r>
      <w:r w:rsidR="00055049">
        <w:rPr>
          <w:rFonts w:ascii="Arial" w:hAnsi="Arial" w:cs="Arial"/>
          <w:color w:val="000000"/>
          <w:sz w:val="20"/>
          <w:szCs w:val="20"/>
        </w:rPr>
        <w:t xml:space="preserve"> </w:t>
      </w:r>
      <w:r w:rsidRPr="00A10D74">
        <w:rPr>
          <w:rFonts w:ascii="Arial" w:hAnsi="Arial" w:cs="Arial"/>
          <w:color w:val="000000"/>
          <w:sz w:val="20"/>
          <w:szCs w:val="20"/>
        </w:rPr>
        <w:t>regulations</w:t>
      </w:r>
      <w:r w:rsidR="00055049">
        <w:rPr>
          <w:rFonts w:ascii="Arial" w:hAnsi="Arial" w:cs="Arial"/>
          <w:color w:val="000000"/>
          <w:sz w:val="20"/>
          <w:szCs w:val="20"/>
        </w:rPr>
        <w:t xml:space="preserve"> </w:t>
      </w:r>
      <w:r w:rsidRPr="009D1AD4">
        <w:rPr>
          <w:rFonts w:ascii="Arial" w:hAnsi="Arial" w:cs="Arial"/>
          <w:color w:val="000000"/>
          <w:sz w:val="20"/>
          <w:szCs w:val="20"/>
        </w:rPr>
        <w:t>note that the penalties related to late filing of Form 720 or late payment of the fee</w:t>
      </w:r>
      <w:r w:rsidR="00055049">
        <w:rPr>
          <w:rFonts w:ascii="Arial" w:hAnsi="Arial" w:cs="Arial"/>
          <w:color w:val="000000"/>
          <w:sz w:val="20"/>
          <w:szCs w:val="20"/>
        </w:rPr>
        <w:t xml:space="preserve"> </w:t>
      </w:r>
      <w:r w:rsidRPr="009D1AD4">
        <w:rPr>
          <w:rFonts w:ascii="Arial" w:hAnsi="Arial" w:cs="Arial"/>
          <w:color w:val="000000"/>
          <w:sz w:val="20"/>
          <w:szCs w:val="20"/>
        </w:rPr>
        <w:t>may be waived or abated</w:t>
      </w:r>
      <w:r w:rsidR="00055049">
        <w:rPr>
          <w:rFonts w:ascii="Arial" w:hAnsi="Arial" w:cs="Arial"/>
          <w:color w:val="000000"/>
          <w:sz w:val="20"/>
          <w:szCs w:val="20"/>
        </w:rPr>
        <w:t xml:space="preserve"> </w:t>
      </w:r>
      <w:r w:rsidRPr="009D1AD4">
        <w:rPr>
          <w:rFonts w:ascii="Arial" w:hAnsi="Arial" w:cs="Arial"/>
          <w:color w:val="000000"/>
          <w:sz w:val="20"/>
          <w:szCs w:val="20"/>
        </w:rPr>
        <w:t>if the plan sponsor has reasonable cause and the failure was not due to willful neglect.</w:t>
      </w:r>
    </w:p>
    <w:p w14:paraId="6B67E7B3" w14:textId="5D417A18" w:rsidR="006E7881" w:rsidRPr="009D1AD4" w:rsidRDefault="006E7881" w:rsidP="004C6CEA">
      <w:pPr>
        <w:spacing w:after="200"/>
        <w:rPr>
          <w:rFonts w:ascii="Arial" w:hAnsi="Arial" w:cs="Arial"/>
          <w:color w:val="000000"/>
          <w:sz w:val="20"/>
          <w:szCs w:val="20"/>
        </w:rPr>
      </w:pPr>
      <w:r w:rsidRPr="009D1AD4">
        <w:rPr>
          <w:rFonts w:ascii="Arial" w:hAnsi="Arial" w:cs="Arial"/>
          <w:color w:val="000000"/>
          <w:sz w:val="20"/>
          <w:szCs w:val="20"/>
        </w:rPr>
        <w:t>If the plan sponsor already filed Form 720 (for example, for a different excise tax), then the employer / plan sponsor can make a correction to a previously filed Form 720 by using</w:t>
      </w:r>
      <w:r w:rsidR="00055049">
        <w:rPr>
          <w:rFonts w:ascii="Arial" w:hAnsi="Arial" w:cs="Arial"/>
          <w:color w:val="000000"/>
          <w:sz w:val="20"/>
          <w:szCs w:val="20"/>
        </w:rPr>
        <w:t xml:space="preserve"> </w:t>
      </w:r>
      <w:hyperlink r:id="rId34" w:history="1">
        <w:r w:rsidRPr="009D1AD4">
          <w:rPr>
            <w:rFonts w:ascii="Arial" w:hAnsi="Arial" w:cs="Arial"/>
            <w:color w:val="800080"/>
            <w:sz w:val="20"/>
            <w:szCs w:val="20"/>
            <w:u w:val="single"/>
          </w:rPr>
          <w:t>Form 720X</w:t>
        </w:r>
      </w:hyperlink>
      <w:r w:rsidRPr="009D1AD4">
        <w:rPr>
          <w:rFonts w:ascii="Arial" w:hAnsi="Arial" w:cs="Arial"/>
          <w:color w:val="000000"/>
          <w:sz w:val="20"/>
          <w:szCs w:val="20"/>
        </w:rPr>
        <w:t>.</w:t>
      </w:r>
    </w:p>
    <w:p w14:paraId="2EB35514" w14:textId="77777777" w:rsidR="006E7881" w:rsidRDefault="006E7881" w:rsidP="004C6CEA">
      <w:pPr>
        <w:spacing w:after="200"/>
        <w:rPr>
          <w:rFonts w:ascii="Arial" w:hAnsi="Arial" w:cs="Arial"/>
          <w:sz w:val="20"/>
          <w:szCs w:val="20"/>
        </w:rPr>
      </w:pPr>
    </w:p>
    <w:tbl>
      <w:tblPr>
        <w:tblW w:w="9360" w:type="dxa"/>
        <w:shd w:val="clear" w:color="auto" w:fill="001BBA"/>
        <w:tblCellMar>
          <w:top w:w="86" w:type="dxa"/>
          <w:left w:w="115" w:type="dxa"/>
          <w:bottom w:w="86" w:type="dxa"/>
          <w:right w:w="115" w:type="dxa"/>
        </w:tblCellMar>
        <w:tblLook w:val="01E0" w:firstRow="1" w:lastRow="1" w:firstColumn="1" w:lastColumn="1" w:noHBand="0" w:noVBand="0"/>
      </w:tblPr>
      <w:tblGrid>
        <w:gridCol w:w="9360"/>
      </w:tblGrid>
      <w:tr w:rsidR="00FE74CA" w:rsidRPr="00C04F07" w14:paraId="3D031FF0" w14:textId="77777777" w:rsidTr="00A14E50">
        <w:trPr>
          <w:trHeight w:val="144"/>
        </w:trPr>
        <w:tc>
          <w:tcPr>
            <w:tcW w:w="9360" w:type="dxa"/>
            <w:shd w:val="clear" w:color="auto" w:fill="001BBA"/>
            <w:vAlign w:val="center"/>
          </w:tcPr>
          <w:p w14:paraId="255806A1" w14:textId="20BAD9B9" w:rsidR="00FE74CA" w:rsidRPr="00C04F07" w:rsidRDefault="00FE74CA" w:rsidP="00A14E50">
            <w:pPr>
              <w:pStyle w:val="Heading2"/>
              <w:rPr>
                <w:i w:val="0"/>
                <w:iCs/>
                <w:color w:val="auto"/>
              </w:rPr>
            </w:pPr>
            <w:bookmarkStart w:id="15" w:name="_Toc12890039"/>
            <w:bookmarkStart w:id="16" w:name="_Toc12890155"/>
            <w:bookmarkStart w:id="17" w:name="_Toc12890536"/>
            <w:r>
              <w:rPr>
                <w:i w:val="0"/>
                <w:iCs/>
                <w:color w:val="auto"/>
                <w:szCs w:val="22"/>
              </w:rPr>
              <w:t>General ACA</w:t>
            </w:r>
            <w:bookmarkEnd w:id="15"/>
            <w:bookmarkEnd w:id="16"/>
            <w:bookmarkEnd w:id="17"/>
          </w:p>
        </w:tc>
      </w:tr>
    </w:tbl>
    <w:p w14:paraId="78EA59AC" w14:textId="77777777" w:rsidR="00A703EE" w:rsidRPr="00535CAE" w:rsidRDefault="00A703EE" w:rsidP="001204C3">
      <w:pPr>
        <w:rPr>
          <w:rFonts w:ascii="Arial" w:hAnsi="Arial" w:cs="Arial"/>
          <w:sz w:val="20"/>
          <w:szCs w:val="20"/>
        </w:rPr>
      </w:pPr>
    </w:p>
    <w:p w14:paraId="7BDEAF5F" w14:textId="77777777" w:rsidR="009F5C2B" w:rsidRDefault="009F5C2B" w:rsidP="004C6CEA">
      <w:pPr>
        <w:spacing w:after="200"/>
        <w:rPr>
          <w:rFonts w:ascii="Arial" w:hAnsi="Arial" w:cs="Arial"/>
          <w:bCs/>
          <w:sz w:val="20"/>
          <w:szCs w:val="20"/>
        </w:rPr>
      </w:pPr>
      <w:r w:rsidRPr="00C5063D">
        <w:rPr>
          <w:rFonts w:ascii="Arial" w:hAnsi="Arial" w:cs="Arial"/>
          <w:b/>
          <w:bCs/>
          <w:color w:val="001BBA"/>
          <w:sz w:val="22"/>
          <w:szCs w:val="22"/>
        </w:rPr>
        <w:t xml:space="preserve">Question: </w:t>
      </w:r>
      <w:r w:rsidRPr="009D1AD4">
        <w:rPr>
          <w:rFonts w:ascii="Arial" w:hAnsi="Arial" w:cs="Arial"/>
          <w:bCs/>
          <w:sz w:val="20"/>
          <w:szCs w:val="20"/>
        </w:rPr>
        <w:t>For employers with employees affected by the current federal furlough, will the employees’ health benefits discontinue and would the furlough be considered:</w:t>
      </w:r>
    </w:p>
    <w:p w14:paraId="28FABA49" w14:textId="77777777" w:rsidR="009F5C2B" w:rsidRDefault="009F5C2B" w:rsidP="004C6CEA">
      <w:pPr>
        <w:pStyle w:val="ListParagraph"/>
        <w:numPr>
          <w:ilvl w:val="0"/>
          <w:numId w:val="13"/>
        </w:numPr>
        <w:spacing w:after="200"/>
        <w:contextualSpacing w:val="0"/>
        <w:rPr>
          <w:rFonts w:ascii="Arial" w:hAnsi="Arial" w:cs="Arial"/>
          <w:bCs/>
          <w:sz w:val="20"/>
          <w:szCs w:val="20"/>
        </w:rPr>
      </w:pPr>
      <w:r w:rsidRPr="009D1AD4">
        <w:rPr>
          <w:rFonts w:ascii="Arial" w:hAnsi="Arial" w:cs="Arial"/>
          <w:bCs/>
          <w:sz w:val="20"/>
          <w:szCs w:val="20"/>
        </w:rPr>
        <w:t>unpaid leave for purposes of applying the ACA’s employer shared responsibility provisions?</w:t>
      </w:r>
    </w:p>
    <w:p w14:paraId="35C95637" w14:textId="77777777" w:rsidR="009F5C2B" w:rsidRDefault="009F5C2B" w:rsidP="004C6CEA">
      <w:pPr>
        <w:pStyle w:val="ListParagraph"/>
        <w:numPr>
          <w:ilvl w:val="0"/>
          <w:numId w:val="13"/>
        </w:numPr>
        <w:spacing w:after="200"/>
        <w:contextualSpacing w:val="0"/>
        <w:rPr>
          <w:rFonts w:ascii="Arial" w:hAnsi="Arial" w:cs="Arial"/>
          <w:bCs/>
          <w:sz w:val="20"/>
          <w:szCs w:val="20"/>
        </w:rPr>
      </w:pPr>
      <w:r w:rsidRPr="009D1AD4">
        <w:rPr>
          <w:rFonts w:ascii="Arial" w:hAnsi="Arial" w:cs="Arial"/>
          <w:bCs/>
          <w:sz w:val="20"/>
          <w:szCs w:val="20"/>
        </w:rPr>
        <w:t>a reduction of hours under the cafeteria plan regulations?</w:t>
      </w:r>
    </w:p>
    <w:p w14:paraId="07FD51B4" w14:textId="77777777" w:rsidR="009F5C2B" w:rsidRPr="009D1AD4" w:rsidRDefault="009F5C2B" w:rsidP="004C6CEA">
      <w:pPr>
        <w:pStyle w:val="ListParagraph"/>
        <w:numPr>
          <w:ilvl w:val="0"/>
          <w:numId w:val="13"/>
        </w:numPr>
        <w:spacing w:after="200"/>
        <w:contextualSpacing w:val="0"/>
        <w:rPr>
          <w:rFonts w:ascii="Arial" w:hAnsi="Arial" w:cs="Arial"/>
          <w:bCs/>
          <w:sz w:val="20"/>
          <w:szCs w:val="20"/>
        </w:rPr>
      </w:pPr>
      <w:r w:rsidRPr="009D1AD4">
        <w:rPr>
          <w:rFonts w:ascii="Arial" w:hAnsi="Arial" w:cs="Arial"/>
          <w:bCs/>
          <w:sz w:val="20"/>
          <w:szCs w:val="20"/>
        </w:rPr>
        <w:t>a COBRA qualifying event?</w:t>
      </w:r>
    </w:p>
    <w:p w14:paraId="1C341214" w14:textId="77777777" w:rsidR="009F5C2B" w:rsidRPr="009D1AD4" w:rsidRDefault="009F5C2B" w:rsidP="004C6CEA">
      <w:pPr>
        <w:spacing w:after="200"/>
        <w:rPr>
          <w:rFonts w:ascii="Arial" w:hAnsi="Arial" w:cs="Arial"/>
          <w:bCs/>
          <w:sz w:val="20"/>
          <w:szCs w:val="20"/>
        </w:rPr>
      </w:pPr>
      <w:r w:rsidRPr="009D1AD4">
        <w:rPr>
          <w:rFonts w:ascii="Arial" w:hAnsi="Arial" w:cs="Arial"/>
          <w:bCs/>
          <w:sz w:val="20"/>
          <w:szCs w:val="20"/>
        </w:rPr>
        <w:t>For purposes of the answers below, the employer is an applicable large employer and the employer is subject to COBRA.</w:t>
      </w:r>
    </w:p>
    <w:p w14:paraId="2C1EBD96" w14:textId="77777777" w:rsidR="00CE6288" w:rsidRPr="009D1AD4" w:rsidRDefault="00CE6288" w:rsidP="00CE6288">
      <w:pPr>
        <w:spacing w:after="200"/>
        <w:rPr>
          <w:rFonts w:ascii="Arial" w:hAnsi="Arial" w:cs="Arial"/>
          <w:bCs/>
          <w:sz w:val="20"/>
          <w:szCs w:val="20"/>
        </w:rPr>
      </w:pPr>
      <w:r w:rsidRPr="009D1AD4">
        <w:rPr>
          <w:rFonts w:ascii="Arial" w:hAnsi="Arial" w:cs="Arial"/>
          <w:b/>
          <w:bCs/>
          <w:sz w:val="20"/>
          <w:szCs w:val="20"/>
        </w:rPr>
        <w:t>Answer – regarding federal employees</w:t>
      </w:r>
      <w:r w:rsidRPr="009D1AD4">
        <w:rPr>
          <w:rFonts w:ascii="Arial" w:hAnsi="Arial" w:cs="Arial"/>
          <w:bCs/>
          <w:sz w:val="20"/>
          <w:szCs w:val="20"/>
        </w:rPr>
        <w:t xml:space="preserve">: For federal employees who receive Federal Employees Health Benefits (FEHB) coverage, FEHB coverage continues even when the employees don’t receive a paycheck. According to the U.S. Office of Personnel Management’s </w:t>
      </w:r>
      <w:hyperlink r:id="rId35" w:history="1">
        <w:r w:rsidRPr="009D1AD4">
          <w:rPr>
            <w:rStyle w:val="Hyperlink"/>
            <w:bCs/>
          </w:rPr>
          <w:t xml:space="preserve">Fact Sheet: Pay and Benefits </w:t>
        </w:r>
        <w:r w:rsidRPr="009D1AD4">
          <w:rPr>
            <w:rStyle w:val="Hyperlink"/>
            <w:bCs/>
          </w:rPr>
          <w:lastRenderedPageBreak/>
          <w:t>Information for Employees Affected by the Lapse in Appropriations</w:t>
        </w:r>
      </w:hyperlink>
      <w:r w:rsidRPr="009D1AD4">
        <w:rPr>
          <w:rFonts w:ascii="Arial" w:hAnsi="Arial" w:cs="Arial"/>
          <w:bCs/>
          <w:sz w:val="20"/>
          <w:szCs w:val="20"/>
        </w:rPr>
        <w:t>, an employee’s share of premiums will accumulate and be withheld later when the lapse ends and employees can be paid.</w:t>
      </w:r>
    </w:p>
    <w:p w14:paraId="325BF10B" w14:textId="77777777" w:rsidR="00CE6288" w:rsidRDefault="00CE6288" w:rsidP="00CE6288">
      <w:pPr>
        <w:spacing w:after="200"/>
        <w:rPr>
          <w:rFonts w:ascii="Arial" w:hAnsi="Arial" w:cs="Arial"/>
          <w:bCs/>
          <w:sz w:val="20"/>
          <w:szCs w:val="20"/>
        </w:rPr>
      </w:pPr>
      <w:r w:rsidRPr="009D1AD4">
        <w:rPr>
          <w:rFonts w:ascii="Arial" w:hAnsi="Arial" w:cs="Arial"/>
          <w:bCs/>
          <w:sz w:val="20"/>
          <w:szCs w:val="20"/>
        </w:rPr>
        <w:t xml:space="preserve">On Friday, January 11, </w:t>
      </w:r>
      <w:r>
        <w:rPr>
          <w:rFonts w:ascii="Arial" w:hAnsi="Arial" w:cs="Arial"/>
          <w:bCs/>
          <w:sz w:val="20"/>
          <w:szCs w:val="20"/>
        </w:rPr>
        <w:t xml:space="preserve">2019, </w:t>
      </w:r>
      <w:r w:rsidRPr="009D1AD4">
        <w:rPr>
          <w:rFonts w:ascii="Arial" w:hAnsi="Arial" w:cs="Arial"/>
          <w:bCs/>
          <w:sz w:val="20"/>
          <w:szCs w:val="20"/>
        </w:rPr>
        <w:t xml:space="preserve">Congress passed a bill that would provide back pay to furloughed federal employees when the furlough ends. </w:t>
      </w:r>
      <w:r w:rsidRPr="00642DA0">
        <w:rPr>
          <w:rFonts w:ascii="Arial" w:hAnsi="Arial" w:cs="Arial"/>
          <w:bCs/>
          <w:sz w:val="20"/>
          <w:szCs w:val="20"/>
        </w:rPr>
        <w:t>It appears that the President will sign the bill</w:t>
      </w:r>
      <w:r w:rsidRPr="009D1AD4">
        <w:rPr>
          <w:rFonts w:ascii="Arial" w:hAnsi="Arial" w:cs="Arial"/>
          <w:bCs/>
          <w:sz w:val="20"/>
          <w:szCs w:val="20"/>
        </w:rPr>
        <w:t>. If the bill becomes law, then the furlough would be considered paid leave. For now, it appears that employees of government contractors are not included in the bill that will pay furlough back pay.</w:t>
      </w:r>
    </w:p>
    <w:p w14:paraId="0C3B0CC4" w14:textId="66BDD670" w:rsidR="00CE6288" w:rsidRPr="009D1AD4" w:rsidRDefault="00CE6288" w:rsidP="00CE6288">
      <w:pPr>
        <w:spacing w:after="200"/>
        <w:rPr>
          <w:rFonts w:ascii="Arial" w:hAnsi="Arial" w:cs="Arial"/>
          <w:bCs/>
          <w:sz w:val="20"/>
          <w:szCs w:val="20"/>
        </w:rPr>
      </w:pPr>
      <w:r w:rsidRPr="009D1AD4">
        <w:rPr>
          <w:rFonts w:ascii="Arial" w:hAnsi="Arial" w:cs="Arial"/>
          <w:bCs/>
          <w:sz w:val="20"/>
          <w:szCs w:val="20"/>
        </w:rPr>
        <w:t xml:space="preserve">Under the </w:t>
      </w:r>
      <w:r>
        <w:rPr>
          <w:rFonts w:ascii="Arial" w:hAnsi="Arial" w:cs="Arial"/>
          <w:bCs/>
          <w:sz w:val="20"/>
          <w:szCs w:val="20"/>
        </w:rPr>
        <w:t>Patient Protection and Affordable Care Act (</w:t>
      </w:r>
      <w:r w:rsidRPr="009D1AD4">
        <w:rPr>
          <w:rFonts w:ascii="Arial" w:hAnsi="Arial" w:cs="Arial"/>
          <w:bCs/>
          <w:sz w:val="20"/>
          <w:szCs w:val="20"/>
        </w:rPr>
        <w:t>ACA</w:t>
      </w:r>
      <w:r>
        <w:rPr>
          <w:rFonts w:ascii="Arial" w:hAnsi="Arial" w:cs="Arial"/>
          <w:bCs/>
          <w:sz w:val="20"/>
          <w:szCs w:val="20"/>
        </w:rPr>
        <w:t>)</w:t>
      </w:r>
      <w:r w:rsidRPr="009D1AD4">
        <w:rPr>
          <w:rFonts w:ascii="Arial" w:hAnsi="Arial" w:cs="Arial"/>
          <w:bCs/>
          <w:sz w:val="20"/>
          <w:szCs w:val="20"/>
        </w:rPr>
        <w:t xml:space="preserve">, any hour for which an employee is paid or entitled to payment must be counted as an hour of service. </w:t>
      </w:r>
      <w:r>
        <w:rPr>
          <w:rFonts w:ascii="Arial" w:hAnsi="Arial" w:cs="Arial"/>
          <w:bCs/>
          <w:sz w:val="20"/>
          <w:szCs w:val="20"/>
        </w:rPr>
        <w:t>O</w:t>
      </w:r>
      <w:r w:rsidRPr="009D1AD4">
        <w:rPr>
          <w:rFonts w:ascii="Arial" w:hAnsi="Arial" w:cs="Arial"/>
          <w:bCs/>
          <w:sz w:val="20"/>
          <w:szCs w:val="20"/>
        </w:rPr>
        <w:t>ur UBA Advisor “</w:t>
      </w:r>
      <w:hyperlink r:id="rId36" w:history="1">
        <w:r w:rsidRPr="0049445B">
          <w:rPr>
            <w:rStyle w:val="Hyperlink"/>
            <w:bCs/>
          </w:rPr>
          <w:t>Perfect Attendance! How to Handle Leaves of Absence under the ACA</w:t>
        </w:r>
      </w:hyperlink>
      <w:r w:rsidRPr="009D1AD4">
        <w:rPr>
          <w:rFonts w:ascii="Arial" w:hAnsi="Arial" w:cs="Arial"/>
          <w:bCs/>
          <w:sz w:val="20"/>
          <w:szCs w:val="20"/>
        </w:rPr>
        <w:t>” further describes how leaves of absence should be treated.</w:t>
      </w:r>
    </w:p>
    <w:p w14:paraId="50655F8B" w14:textId="77777777" w:rsidR="00CE6288" w:rsidRPr="009D1AD4" w:rsidRDefault="00CE6288" w:rsidP="00CE6288">
      <w:pPr>
        <w:spacing w:after="200"/>
        <w:rPr>
          <w:rFonts w:ascii="Arial" w:hAnsi="Arial" w:cs="Arial"/>
          <w:bCs/>
          <w:sz w:val="20"/>
          <w:szCs w:val="20"/>
        </w:rPr>
      </w:pPr>
      <w:r w:rsidRPr="009D1AD4">
        <w:rPr>
          <w:rFonts w:ascii="Arial" w:hAnsi="Arial" w:cs="Arial"/>
          <w:bCs/>
          <w:sz w:val="20"/>
          <w:szCs w:val="20"/>
        </w:rPr>
        <w:t>A furlough would not necessarily be a COBRA qualifying event. Although a furlough may cause a reduction of hours for an employee, the reduction in hours would only be a COBRA qualifying event if the reduction in hours results in a loss of group health plan coverage. For federal employees who are on furlough, their FEHB coverage continues so there is no loss of group health plan coverage and no COBRA qualifying event.</w:t>
      </w:r>
    </w:p>
    <w:p w14:paraId="5C0F3501" w14:textId="77777777" w:rsidR="00CE6288" w:rsidRPr="009D1AD4" w:rsidRDefault="00CE6288" w:rsidP="00CE6288">
      <w:pPr>
        <w:spacing w:after="200"/>
        <w:rPr>
          <w:rFonts w:ascii="Arial" w:hAnsi="Arial" w:cs="Arial"/>
          <w:bCs/>
          <w:sz w:val="20"/>
          <w:szCs w:val="20"/>
        </w:rPr>
      </w:pPr>
      <w:r w:rsidRPr="009D1AD4">
        <w:rPr>
          <w:rFonts w:ascii="Arial" w:hAnsi="Arial" w:cs="Arial"/>
          <w:bCs/>
          <w:sz w:val="20"/>
          <w:szCs w:val="20"/>
        </w:rPr>
        <w:t>A furlough with back pay would not likely fit the definition of the permitted election change event of reduction of hours.</w:t>
      </w:r>
    </w:p>
    <w:p w14:paraId="4E715B94" w14:textId="77777777" w:rsidR="00CE6288" w:rsidRPr="00727034" w:rsidRDefault="00CE6288" w:rsidP="00CE6288">
      <w:pPr>
        <w:spacing w:after="200"/>
        <w:rPr>
          <w:rFonts w:ascii="Arial" w:hAnsi="Arial" w:cs="Arial"/>
          <w:sz w:val="20"/>
          <w:szCs w:val="20"/>
        </w:rPr>
      </w:pPr>
      <w:r w:rsidRPr="009D1AD4">
        <w:rPr>
          <w:rFonts w:ascii="Arial" w:hAnsi="Arial" w:cs="Arial"/>
          <w:b/>
          <w:bCs/>
          <w:sz w:val="20"/>
          <w:szCs w:val="20"/>
        </w:rPr>
        <w:t xml:space="preserve">Answer – regarding employees who are not considered to be federal employees: </w:t>
      </w:r>
      <w:r w:rsidRPr="009D1AD4">
        <w:rPr>
          <w:rFonts w:ascii="Arial" w:hAnsi="Arial" w:cs="Arial"/>
          <w:bCs/>
          <w:sz w:val="20"/>
          <w:szCs w:val="20"/>
        </w:rPr>
        <w:t>For employees who aren’t considered to be federal employees, the answer may be yes to each question, depending on the facts of each employee’s case.</w:t>
      </w:r>
    </w:p>
    <w:p w14:paraId="6DD30C0A" w14:textId="77777777" w:rsidR="00CE6288" w:rsidRPr="009D1AD4" w:rsidRDefault="00CE6288" w:rsidP="00CE6288">
      <w:pPr>
        <w:spacing w:after="200"/>
        <w:rPr>
          <w:rFonts w:ascii="Arial" w:hAnsi="Arial" w:cs="Arial"/>
          <w:b/>
          <w:bCs/>
          <w:sz w:val="20"/>
          <w:szCs w:val="20"/>
        </w:rPr>
      </w:pPr>
      <w:r w:rsidRPr="009D1AD4">
        <w:rPr>
          <w:rFonts w:ascii="Arial" w:hAnsi="Arial" w:cs="Arial"/>
          <w:bCs/>
          <w:sz w:val="20"/>
          <w:szCs w:val="20"/>
        </w:rPr>
        <w:t>If an employer is using the monthly measurement method, then the reduction in hours of a furloughed employee may result in loss of eligibility for group health plan coverage and trigger a COBRA qualifying event. If an employer is using the lookback measurement method, then the employer must offer coverage through the stability period to employees who have full-time status based on their prior measurement period. When an employee’s hours are calculated during the contemporaneous measurement period, the unpaid leave will count as zero hours of service.</w:t>
      </w:r>
    </w:p>
    <w:p w14:paraId="5481BC37" w14:textId="77777777" w:rsidR="00CE6288" w:rsidRPr="009D1AD4" w:rsidRDefault="00CE6288" w:rsidP="00CE6288">
      <w:pPr>
        <w:spacing w:after="200"/>
        <w:rPr>
          <w:rFonts w:ascii="Arial" w:hAnsi="Arial" w:cs="Arial"/>
          <w:b/>
          <w:bCs/>
          <w:sz w:val="20"/>
          <w:szCs w:val="20"/>
        </w:rPr>
      </w:pPr>
      <w:r w:rsidRPr="009D1AD4">
        <w:rPr>
          <w:rFonts w:ascii="Arial" w:hAnsi="Arial" w:cs="Arial"/>
          <w:bCs/>
          <w:sz w:val="20"/>
          <w:szCs w:val="20"/>
        </w:rPr>
        <w:t>If an employee experiences a COBRA qualifying event, then the employee may make election changes for any group health plans subject to COBRA (including FSAs). If an employee has the permitted election change event of reduction in hours, then the employee may make changes for group health plans (excluding FSAs) that provide minimum essential coverage. Please see pages 4-5 of our UBA Advisor “</w:t>
      </w:r>
      <w:hyperlink r:id="rId37" w:history="1">
        <w:r w:rsidRPr="00727034">
          <w:rPr>
            <w:rStyle w:val="Hyperlink"/>
            <w:bCs/>
          </w:rPr>
          <w:t>Cafeteria Plans: Qualifying Events and Changing Employee Elections</w:t>
        </w:r>
      </w:hyperlink>
      <w:r w:rsidRPr="009D1AD4">
        <w:rPr>
          <w:rFonts w:ascii="Arial" w:hAnsi="Arial" w:cs="Arial"/>
          <w:bCs/>
          <w:sz w:val="20"/>
          <w:szCs w:val="20"/>
        </w:rPr>
        <w:t>” that describe which benefits can be changed mid-year when an employee has a permitted election change event.</w:t>
      </w:r>
    </w:p>
    <w:p w14:paraId="101E6911" w14:textId="77777777" w:rsidR="00CE6288" w:rsidRPr="009D1AD4" w:rsidRDefault="00CE6288" w:rsidP="00CE6288">
      <w:pPr>
        <w:spacing w:after="200"/>
        <w:rPr>
          <w:rFonts w:ascii="Arial" w:hAnsi="Arial" w:cs="Arial"/>
          <w:b/>
          <w:bCs/>
          <w:sz w:val="20"/>
          <w:szCs w:val="20"/>
        </w:rPr>
      </w:pPr>
      <w:r w:rsidRPr="009D1AD4">
        <w:rPr>
          <w:rFonts w:ascii="Arial" w:hAnsi="Arial" w:cs="Arial"/>
          <w:b/>
          <w:bCs/>
          <w:sz w:val="20"/>
          <w:szCs w:val="20"/>
        </w:rPr>
        <w:t>Educational Information</w:t>
      </w:r>
    </w:p>
    <w:p w14:paraId="79B177E8" w14:textId="788D9C15" w:rsidR="00CE6288" w:rsidRPr="009D1AD4" w:rsidRDefault="00CE6288" w:rsidP="00CE6288">
      <w:pPr>
        <w:spacing w:after="200"/>
        <w:rPr>
          <w:rFonts w:ascii="Arial" w:hAnsi="Arial" w:cs="Arial"/>
          <w:b/>
          <w:bCs/>
          <w:sz w:val="20"/>
          <w:szCs w:val="20"/>
        </w:rPr>
      </w:pPr>
      <w:r w:rsidRPr="009D1AD4">
        <w:rPr>
          <w:rFonts w:ascii="Arial" w:hAnsi="Arial" w:cs="Arial"/>
          <w:bCs/>
          <w:sz w:val="20"/>
          <w:szCs w:val="20"/>
        </w:rPr>
        <w:t>From the Wolters Kluwer</w:t>
      </w:r>
      <w:r w:rsidR="00055049">
        <w:rPr>
          <w:rFonts w:ascii="Arial" w:hAnsi="Arial" w:cs="Arial"/>
          <w:bCs/>
          <w:sz w:val="20"/>
          <w:szCs w:val="20"/>
        </w:rPr>
        <w:t xml:space="preserve"> </w:t>
      </w:r>
      <w:r w:rsidRPr="00727034">
        <w:rPr>
          <w:rFonts w:ascii="Arial" w:hAnsi="Arial" w:cs="Arial"/>
          <w:bCs/>
          <w:i/>
          <w:iCs/>
          <w:sz w:val="20"/>
          <w:szCs w:val="20"/>
        </w:rPr>
        <w:t>Employee Benefits Answer Book</w:t>
      </w:r>
      <w:r w:rsidRPr="009D1AD4">
        <w:rPr>
          <w:rFonts w:ascii="Arial" w:hAnsi="Arial" w:cs="Arial"/>
          <w:bCs/>
          <w:sz w:val="20"/>
          <w:szCs w:val="20"/>
        </w:rPr>
        <w:t>:</w:t>
      </w:r>
    </w:p>
    <w:p w14:paraId="2851EB1B" w14:textId="6FF79815" w:rsidR="00CE6288" w:rsidRPr="009D1AD4" w:rsidRDefault="00CE6288" w:rsidP="001204C3">
      <w:pPr>
        <w:spacing w:after="200"/>
        <w:ind w:left="360"/>
        <w:rPr>
          <w:rFonts w:ascii="Arial" w:hAnsi="Arial" w:cs="Arial"/>
          <w:bCs/>
          <w:sz w:val="20"/>
          <w:szCs w:val="20"/>
        </w:rPr>
      </w:pPr>
      <w:r w:rsidRPr="009D1AD4">
        <w:rPr>
          <w:rFonts w:ascii="Arial" w:hAnsi="Arial" w:cs="Arial"/>
          <w:b/>
          <w:bCs/>
          <w:sz w:val="20"/>
          <w:szCs w:val="20"/>
        </w:rPr>
        <w:t>Q</w:t>
      </w:r>
      <w:r w:rsidR="00055049">
        <w:rPr>
          <w:rFonts w:ascii="Arial" w:hAnsi="Arial" w:cs="Arial"/>
          <w:b/>
          <w:bCs/>
          <w:sz w:val="20"/>
          <w:szCs w:val="20"/>
        </w:rPr>
        <w:t xml:space="preserve"> </w:t>
      </w:r>
      <w:r w:rsidRPr="009D1AD4">
        <w:rPr>
          <w:rFonts w:ascii="Arial" w:hAnsi="Arial" w:cs="Arial"/>
          <w:b/>
          <w:bCs/>
          <w:sz w:val="20"/>
          <w:szCs w:val="20"/>
        </w:rPr>
        <w:t>6:42</w:t>
      </w:r>
      <w:r w:rsidR="00055049">
        <w:rPr>
          <w:rFonts w:ascii="Arial" w:hAnsi="Arial" w:cs="Arial"/>
          <w:b/>
          <w:bCs/>
          <w:sz w:val="20"/>
          <w:szCs w:val="20"/>
        </w:rPr>
        <w:t xml:space="preserve"> </w:t>
      </w:r>
      <w:r w:rsidRPr="009D1AD4">
        <w:rPr>
          <w:rFonts w:ascii="Arial" w:hAnsi="Arial" w:cs="Arial"/>
          <w:b/>
          <w:bCs/>
          <w:sz w:val="20"/>
          <w:szCs w:val="20"/>
        </w:rPr>
        <w:t>What is a</w:t>
      </w:r>
      <w:r w:rsidR="00055049">
        <w:rPr>
          <w:rFonts w:ascii="Arial" w:hAnsi="Arial" w:cs="Arial"/>
          <w:b/>
          <w:bCs/>
          <w:sz w:val="20"/>
          <w:szCs w:val="20"/>
        </w:rPr>
        <w:t xml:space="preserve"> </w:t>
      </w:r>
      <w:r w:rsidRPr="009D1AD4">
        <w:rPr>
          <w:rFonts w:ascii="Arial" w:hAnsi="Arial" w:cs="Arial"/>
          <w:b/>
          <w:bCs/>
          <w:sz w:val="20"/>
          <w:szCs w:val="20"/>
        </w:rPr>
        <w:t>qualifying</w:t>
      </w:r>
      <w:r w:rsidR="00055049">
        <w:rPr>
          <w:rFonts w:ascii="Arial" w:hAnsi="Arial" w:cs="Arial"/>
          <w:b/>
          <w:bCs/>
          <w:sz w:val="20"/>
          <w:szCs w:val="20"/>
        </w:rPr>
        <w:t xml:space="preserve"> </w:t>
      </w:r>
      <w:r w:rsidRPr="009D1AD4">
        <w:rPr>
          <w:rFonts w:ascii="Arial" w:hAnsi="Arial" w:cs="Arial"/>
          <w:b/>
          <w:bCs/>
          <w:sz w:val="20"/>
          <w:szCs w:val="20"/>
        </w:rPr>
        <w:t>event?</w:t>
      </w:r>
    </w:p>
    <w:p w14:paraId="69B52CF8" w14:textId="3295430B" w:rsidR="00CE6288" w:rsidRPr="009D1AD4" w:rsidRDefault="00CE6288" w:rsidP="001204C3">
      <w:pPr>
        <w:spacing w:after="200"/>
        <w:ind w:left="360"/>
        <w:rPr>
          <w:rFonts w:ascii="Arial" w:hAnsi="Arial" w:cs="Arial"/>
          <w:bCs/>
          <w:sz w:val="20"/>
          <w:szCs w:val="20"/>
        </w:rPr>
      </w:pPr>
      <w:r w:rsidRPr="009D1AD4">
        <w:rPr>
          <w:rFonts w:ascii="Arial" w:hAnsi="Arial" w:cs="Arial"/>
          <w:bCs/>
          <w:sz w:val="20"/>
          <w:szCs w:val="20"/>
        </w:rPr>
        <w:t>A</w:t>
      </w:r>
      <w:r w:rsidR="00055049">
        <w:rPr>
          <w:rFonts w:ascii="Arial" w:hAnsi="Arial" w:cs="Arial"/>
          <w:bCs/>
          <w:sz w:val="20"/>
          <w:szCs w:val="20"/>
        </w:rPr>
        <w:t xml:space="preserve"> </w:t>
      </w:r>
      <w:r w:rsidRPr="009D1AD4">
        <w:rPr>
          <w:rFonts w:ascii="Arial" w:hAnsi="Arial" w:cs="Arial"/>
          <w:bCs/>
          <w:sz w:val="20"/>
          <w:szCs w:val="20"/>
        </w:rPr>
        <w:t>qualifying</w:t>
      </w:r>
      <w:r w:rsidR="00055049">
        <w:rPr>
          <w:rFonts w:ascii="Arial" w:hAnsi="Arial" w:cs="Arial"/>
          <w:bCs/>
          <w:sz w:val="20"/>
          <w:szCs w:val="20"/>
        </w:rPr>
        <w:t xml:space="preserve"> </w:t>
      </w:r>
      <w:r w:rsidRPr="009D1AD4">
        <w:rPr>
          <w:rFonts w:ascii="Arial" w:hAnsi="Arial" w:cs="Arial"/>
          <w:bCs/>
          <w:sz w:val="20"/>
          <w:szCs w:val="20"/>
        </w:rPr>
        <w:t>event</w:t>
      </w:r>
      <w:r w:rsidR="00055049">
        <w:rPr>
          <w:rFonts w:ascii="Arial" w:hAnsi="Arial" w:cs="Arial"/>
          <w:bCs/>
          <w:sz w:val="20"/>
          <w:szCs w:val="20"/>
        </w:rPr>
        <w:t xml:space="preserve"> </w:t>
      </w:r>
      <w:r w:rsidRPr="009D1AD4">
        <w:rPr>
          <w:rFonts w:ascii="Arial" w:hAnsi="Arial" w:cs="Arial"/>
          <w:bCs/>
          <w:sz w:val="20"/>
          <w:szCs w:val="20"/>
        </w:rPr>
        <w:t>is any one of the following</w:t>
      </w:r>
      <w:r w:rsidR="00055049">
        <w:rPr>
          <w:rFonts w:ascii="Arial" w:hAnsi="Arial" w:cs="Arial"/>
          <w:bCs/>
          <w:sz w:val="20"/>
          <w:szCs w:val="20"/>
        </w:rPr>
        <w:t xml:space="preserve"> </w:t>
      </w:r>
      <w:r w:rsidRPr="009D1AD4">
        <w:rPr>
          <w:rFonts w:ascii="Arial" w:hAnsi="Arial" w:cs="Arial"/>
          <w:bCs/>
          <w:sz w:val="20"/>
          <w:szCs w:val="20"/>
        </w:rPr>
        <w:t>events</w:t>
      </w:r>
      <w:r w:rsidR="00055049">
        <w:rPr>
          <w:rFonts w:ascii="Arial" w:hAnsi="Arial" w:cs="Arial"/>
          <w:bCs/>
          <w:sz w:val="20"/>
          <w:szCs w:val="20"/>
        </w:rPr>
        <w:t xml:space="preserve"> </w:t>
      </w:r>
      <w:r w:rsidRPr="009D1AD4">
        <w:rPr>
          <w:rFonts w:ascii="Arial" w:hAnsi="Arial" w:cs="Arial"/>
          <w:bCs/>
          <w:sz w:val="20"/>
          <w:szCs w:val="20"/>
        </w:rPr>
        <w:t>(but only if the</w:t>
      </w:r>
      <w:r w:rsidR="00055049">
        <w:rPr>
          <w:rFonts w:ascii="Arial" w:hAnsi="Arial" w:cs="Arial"/>
          <w:bCs/>
          <w:sz w:val="20"/>
          <w:szCs w:val="20"/>
        </w:rPr>
        <w:t xml:space="preserve"> </w:t>
      </w:r>
      <w:r w:rsidRPr="009D1AD4">
        <w:rPr>
          <w:rFonts w:ascii="Arial" w:hAnsi="Arial" w:cs="Arial"/>
          <w:bCs/>
          <w:sz w:val="20"/>
          <w:szCs w:val="20"/>
        </w:rPr>
        <w:t>event</w:t>
      </w:r>
      <w:r w:rsidR="00055049">
        <w:rPr>
          <w:rFonts w:ascii="Arial" w:hAnsi="Arial" w:cs="Arial"/>
          <w:bCs/>
          <w:sz w:val="20"/>
          <w:szCs w:val="20"/>
        </w:rPr>
        <w:t xml:space="preserve"> </w:t>
      </w:r>
      <w:r w:rsidRPr="009D1AD4">
        <w:rPr>
          <w:rFonts w:ascii="Arial" w:hAnsi="Arial" w:cs="Arial"/>
          <w:bCs/>
          <w:sz w:val="20"/>
          <w:szCs w:val="20"/>
        </w:rPr>
        <w:t>results in a loss of group health plan coverage):</w:t>
      </w:r>
    </w:p>
    <w:p w14:paraId="668B0ED7" w14:textId="77777777" w:rsidR="00CE6288" w:rsidRPr="00727034" w:rsidRDefault="00CE6288" w:rsidP="001204C3">
      <w:pPr>
        <w:pStyle w:val="ListParagraph"/>
        <w:numPr>
          <w:ilvl w:val="0"/>
          <w:numId w:val="27"/>
        </w:numPr>
        <w:spacing w:after="200"/>
        <w:ind w:left="900"/>
        <w:rPr>
          <w:rFonts w:ascii="Arial" w:hAnsi="Arial" w:cs="Arial"/>
          <w:bCs/>
          <w:sz w:val="20"/>
          <w:szCs w:val="20"/>
        </w:rPr>
      </w:pPr>
      <w:r w:rsidRPr="00727034">
        <w:rPr>
          <w:rFonts w:ascii="Arial" w:hAnsi="Arial" w:cs="Arial"/>
          <w:bCs/>
          <w:sz w:val="20"/>
          <w:szCs w:val="20"/>
        </w:rPr>
        <w:t>The death of a covered employee;</w:t>
      </w:r>
    </w:p>
    <w:p w14:paraId="7FC54BC2" w14:textId="77777777" w:rsidR="00CE6288" w:rsidRPr="00727034" w:rsidRDefault="00CE6288" w:rsidP="001204C3">
      <w:pPr>
        <w:pStyle w:val="ListParagraph"/>
        <w:numPr>
          <w:ilvl w:val="0"/>
          <w:numId w:val="27"/>
        </w:numPr>
        <w:spacing w:after="200"/>
        <w:ind w:left="900"/>
        <w:rPr>
          <w:rFonts w:ascii="Arial" w:hAnsi="Arial" w:cs="Arial"/>
          <w:bCs/>
          <w:sz w:val="20"/>
          <w:szCs w:val="20"/>
        </w:rPr>
      </w:pPr>
      <w:r w:rsidRPr="00727034">
        <w:rPr>
          <w:rFonts w:ascii="Arial" w:hAnsi="Arial" w:cs="Arial"/>
          <w:bCs/>
          <w:sz w:val="20"/>
          <w:szCs w:val="20"/>
        </w:rPr>
        <w:t>Termination of a covered employee’s employment for any reason other than gross misconduct;</w:t>
      </w:r>
    </w:p>
    <w:p w14:paraId="4EF842C4" w14:textId="77777777" w:rsidR="00CE6288" w:rsidRPr="00727034" w:rsidRDefault="00CE6288" w:rsidP="001204C3">
      <w:pPr>
        <w:pStyle w:val="ListParagraph"/>
        <w:numPr>
          <w:ilvl w:val="0"/>
          <w:numId w:val="27"/>
        </w:numPr>
        <w:spacing w:after="200"/>
        <w:ind w:left="900"/>
        <w:rPr>
          <w:rFonts w:ascii="Arial" w:hAnsi="Arial" w:cs="Arial"/>
          <w:bCs/>
          <w:sz w:val="20"/>
          <w:szCs w:val="20"/>
        </w:rPr>
      </w:pPr>
      <w:r w:rsidRPr="00727034">
        <w:rPr>
          <w:rFonts w:ascii="Arial" w:hAnsi="Arial" w:cs="Arial"/>
          <w:bCs/>
          <w:sz w:val="20"/>
          <w:szCs w:val="20"/>
        </w:rPr>
        <w:t>Reduction in the number of hours a covered employee is employed;</w:t>
      </w:r>
    </w:p>
    <w:p w14:paraId="25264B9F" w14:textId="77777777" w:rsidR="00CE6288" w:rsidRPr="00727034" w:rsidRDefault="00CE6288" w:rsidP="001204C3">
      <w:pPr>
        <w:pStyle w:val="ListParagraph"/>
        <w:numPr>
          <w:ilvl w:val="0"/>
          <w:numId w:val="27"/>
        </w:numPr>
        <w:spacing w:after="200"/>
        <w:ind w:left="900"/>
        <w:rPr>
          <w:rFonts w:ascii="Arial" w:hAnsi="Arial" w:cs="Arial"/>
          <w:bCs/>
          <w:sz w:val="20"/>
          <w:szCs w:val="20"/>
        </w:rPr>
      </w:pPr>
      <w:r w:rsidRPr="00727034">
        <w:rPr>
          <w:rFonts w:ascii="Arial" w:hAnsi="Arial" w:cs="Arial"/>
          <w:bCs/>
          <w:sz w:val="20"/>
          <w:szCs w:val="20"/>
        </w:rPr>
        <w:t>Divorce or separation of a covered employee and his or her spouse;</w:t>
      </w:r>
    </w:p>
    <w:p w14:paraId="492FD440" w14:textId="77777777" w:rsidR="00CE6288" w:rsidRPr="00727034" w:rsidRDefault="00CE6288" w:rsidP="001204C3">
      <w:pPr>
        <w:pStyle w:val="ListParagraph"/>
        <w:numPr>
          <w:ilvl w:val="0"/>
          <w:numId w:val="27"/>
        </w:numPr>
        <w:spacing w:after="200"/>
        <w:ind w:left="900"/>
        <w:rPr>
          <w:rFonts w:ascii="Arial" w:hAnsi="Arial" w:cs="Arial"/>
          <w:bCs/>
          <w:sz w:val="20"/>
          <w:szCs w:val="20"/>
        </w:rPr>
      </w:pPr>
      <w:r w:rsidRPr="00727034">
        <w:rPr>
          <w:rFonts w:ascii="Arial" w:hAnsi="Arial" w:cs="Arial"/>
          <w:bCs/>
          <w:sz w:val="20"/>
          <w:szCs w:val="20"/>
        </w:rPr>
        <w:t>Medicare entitlement of a covered employee;</w:t>
      </w:r>
    </w:p>
    <w:p w14:paraId="4AEE6BA6" w14:textId="77777777" w:rsidR="00CE6288" w:rsidRPr="00727034" w:rsidRDefault="00CE6288" w:rsidP="001204C3">
      <w:pPr>
        <w:pStyle w:val="ListParagraph"/>
        <w:numPr>
          <w:ilvl w:val="0"/>
          <w:numId w:val="27"/>
        </w:numPr>
        <w:spacing w:after="200"/>
        <w:ind w:left="900"/>
        <w:rPr>
          <w:rFonts w:ascii="Arial" w:hAnsi="Arial" w:cs="Arial"/>
          <w:bCs/>
          <w:sz w:val="20"/>
          <w:szCs w:val="20"/>
        </w:rPr>
      </w:pPr>
      <w:r w:rsidRPr="00727034">
        <w:rPr>
          <w:rFonts w:ascii="Arial" w:hAnsi="Arial" w:cs="Arial"/>
          <w:bCs/>
          <w:sz w:val="20"/>
          <w:szCs w:val="20"/>
        </w:rPr>
        <w:t>A child of the covered employee ceasing to meet the group health plan’s definition of a dependent child; or</w:t>
      </w:r>
    </w:p>
    <w:p w14:paraId="37A49553" w14:textId="77777777" w:rsidR="00CE6288" w:rsidRPr="00727034" w:rsidRDefault="00CE6288" w:rsidP="001204C3">
      <w:pPr>
        <w:pStyle w:val="ListParagraph"/>
        <w:numPr>
          <w:ilvl w:val="0"/>
          <w:numId w:val="27"/>
        </w:numPr>
        <w:spacing w:after="200"/>
        <w:ind w:left="900"/>
        <w:rPr>
          <w:rFonts w:ascii="Arial" w:hAnsi="Arial" w:cs="Arial"/>
          <w:bCs/>
          <w:sz w:val="20"/>
          <w:szCs w:val="20"/>
        </w:rPr>
      </w:pPr>
      <w:r w:rsidRPr="00727034">
        <w:rPr>
          <w:rFonts w:ascii="Arial" w:hAnsi="Arial" w:cs="Arial"/>
          <w:bCs/>
          <w:sz w:val="20"/>
          <w:szCs w:val="20"/>
        </w:rPr>
        <w:t>Commencement of a bankruptcy proceeding concerning an employer from whose employment the covered employee retired.</w:t>
      </w:r>
    </w:p>
    <w:p w14:paraId="400158B6" w14:textId="13667945" w:rsidR="00CE6288" w:rsidRPr="009D1AD4" w:rsidRDefault="00CE6288" w:rsidP="00CE6288">
      <w:pPr>
        <w:spacing w:after="200"/>
        <w:rPr>
          <w:rFonts w:ascii="Arial" w:hAnsi="Arial" w:cs="Arial"/>
          <w:bCs/>
          <w:sz w:val="20"/>
          <w:szCs w:val="20"/>
        </w:rPr>
      </w:pPr>
      <w:r w:rsidRPr="009D1AD4">
        <w:rPr>
          <w:rFonts w:ascii="Arial" w:hAnsi="Arial" w:cs="Arial"/>
          <w:bCs/>
          <w:sz w:val="20"/>
          <w:szCs w:val="20"/>
        </w:rPr>
        <w:lastRenderedPageBreak/>
        <w:t xml:space="preserve">Also, </w:t>
      </w:r>
      <w:r>
        <w:rPr>
          <w:rFonts w:ascii="Arial" w:hAnsi="Arial" w:cs="Arial"/>
          <w:bCs/>
          <w:sz w:val="20"/>
          <w:szCs w:val="20"/>
        </w:rPr>
        <w:t>see</w:t>
      </w:r>
      <w:r w:rsidRPr="009D1AD4">
        <w:rPr>
          <w:rFonts w:ascii="Arial" w:hAnsi="Arial" w:cs="Arial"/>
          <w:bCs/>
          <w:sz w:val="20"/>
          <w:szCs w:val="20"/>
        </w:rPr>
        <w:t xml:space="preserve"> our UBA Advisor “</w:t>
      </w:r>
      <w:hyperlink r:id="rId38" w:history="1">
        <w:r w:rsidRPr="00727034">
          <w:rPr>
            <w:rStyle w:val="Hyperlink"/>
            <w:bCs/>
          </w:rPr>
          <w:t>What</w:t>
        </w:r>
        <w:r w:rsidR="00055049">
          <w:rPr>
            <w:rStyle w:val="Hyperlink"/>
            <w:bCs/>
          </w:rPr>
          <w:t xml:space="preserve"> </w:t>
        </w:r>
        <w:r w:rsidRPr="00727034">
          <w:rPr>
            <w:rStyle w:val="Hyperlink"/>
            <w:bCs/>
          </w:rPr>
          <w:t>Qualifying</w:t>
        </w:r>
        <w:r w:rsidR="00055049">
          <w:rPr>
            <w:rStyle w:val="Hyperlink"/>
            <w:bCs/>
          </w:rPr>
          <w:t xml:space="preserve"> </w:t>
        </w:r>
        <w:r w:rsidRPr="00727034">
          <w:rPr>
            <w:rStyle w:val="Hyperlink"/>
            <w:bCs/>
          </w:rPr>
          <w:t>Events</w:t>
        </w:r>
        <w:r w:rsidR="00055049">
          <w:rPr>
            <w:rStyle w:val="Hyperlink"/>
            <w:bCs/>
          </w:rPr>
          <w:t xml:space="preserve"> </w:t>
        </w:r>
        <w:r w:rsidRPr="00727034">
          <w:rPr>
            <w:rStyle w:val="Hyperlink"/>
            <w:bCs/>
          </w:rPr>
          <w:t>Trigger</w:t>
        </w:r>
        <w:r w:rsidR="00055049">
          <w:rPr>
            <w:rStyle w:val="Hyperlink"/>
            <w:bCs/>
          </w:rPr>
          <w:t xml:space="preserve"> </w:t>
        </w:r>
        <w:r w:rsidRPr="00727034">
          <w:rPr>
            <w:rStyle w:val="Hyperlink"/>
            <w:bCs/>
          </w:rPr>
          <w:t>COBRA?</w:t>
        </w:r>
      </w:hyperlink>
      <w:r w:rsidRPr="009D1AD4">
        <w:rPr>
          <w:rFonts w:ascii="Arial" w:hAnsi="Arial" w:cs="Arial"/>
          <w:bCs/>
          <w:sz w:val="20"/>
          <w:szCs w:val="20"/>
        </w:rPr>
        <w:t>” that describes</w:t>
      </w:r>
      <w:r w:rsidR="00055049">
        <w:rPr>
          <w:rFonts w:ascii="Arial" w:hAnsi="Arial" w:cs="Arial"/>
          <w:bCs/>
          <w:sz w:val="20"/>
          <w:szCs w:val="20"/>
        </w:rPr>
        <w:t xml:space="preserve"> </w:t>
      </w:r>
      <w:r w:rsidRPr="009D1AD4">
        <w:rPr>
          <w:rFonts w:ascii="Arial" w:hAnsi="Arial" w:cs="Arial"/>
          <w:bCs/>
          <w:sz w:val="20"/>
          <w:szCs w:val="20"/>
        </w:rPr>
        <w:t>qualifying</w:t>
      </w:r>
      <w:r w:rsidR="00055049">
        <w:rPr>
          <w:rFonts w:ascii="Arial" w:hAnsi="Arial" w:cs="Arial"/>
          <w:bCs/>
          <w:sz w:val="20"/>
          <w:szCs w:val="20"/>
        </w:rPr>
        <w:t xml:space="preserve"> </w:t>
      </w:r>
      <w:r w:rsidRPr="009D1AD4">
        <w:rPr>
          <w:rFonts w:ascii="Arial" w:hAnsi="Arial" w:cs="Arial"/>
          <w:bCs/>
          <w:sz w:val="20"/>
          <w:szCs w:val="20"/>
        </w:rPr>
        <w:t>events.</w:t>
      </w:r>
    </w:p>
    <w:p w14:paraId="0EB50381" w14:textId="77777777" w:rsidR="00CE6288" w:rsidRDefault="00CE6288" w:rsidP="00CE6288">
      <w:pPr>
        <w:spacing w:after="200"/>
        <w:rPr>
          <w:rFonts w:ascii="Arial" w:hAnsi="Arial" w:cs="Arial"/>
          <w:bCs/>
          <w:sz w:val="20"/>
          <w:szCs w:val="20"/>
        </w:rPr>
      </w:pPr>
      <w:r w:rsidRPr="009D1AD4">
        <w:rPr>
          <w:rFonts w:ascii="Arial" w:hAnsi="Arial" w:cs="Arial"/>
          <w:bCs/>
          <w:sz w:val="20"/>
          <w:szCs w:val="20"/>
        </w:rPr>
        <w:t>From our UBA Advisor “</w:t>
      </w:r>
      <w:hyperlink r:id="rId39" w:history="1">
        <w:r w:rsidRPr="00727034">
          <w:rPr>
            <w:rStyle w:val="Hyperlink"/>
            <w:bCs/>
          </w:rPr>
          <w:t>Perfect Attendance! How to Handle Leaves of Absence under the ACA</w:t>
        </w:r>
      </w:hyperlink>
      <w:r>
        <w:rPr>
          <w:rFonts w:ascii="Arial" w:hAnsi="Arial" w:cs="Arial"/>
          <w:bCs/>
          <w:sz w:val="20"/>
          <w:szCs w:val="20"/>
        </w:rPr>
        <w:t>:</w:t>
      </w:r>
      <w:r w:rsidRPr="009D1AD4">
        <w:rPr>
          <w:rFonts w:ascii="Arial" w:hAnsi="Arial" w:cs="Arial"/>
          <w:bCs/>
          <w:sz w:val="20"/>
          <w:szCs w:val="20"/>
        </w:rPr>
        <w:t>”</w:t>
      </w:r>
    </w:p>
    <w:p w14:paraId="515426FB" w14:textId="77777777" w:rsidR="00CE6288" w:rsidRPr="009D1AD4" w:rsidRDefault="00CE6288" w:rsidP="001204C3">
      <w:pPr>
        <w:spacing w:after="200"/>
        <w:ind w:left="360"/>
        <w:rPr>
          <w:rFonts w:ascii="Arial" w:hAnsi="Arial" w:cs="Arial"/>
          <w:bCs/>
          <w:sz w:val="20"/>
          <w:szCs w:val="20"/>
        </w:rPr>
      </w:pPr>
      <w:r w:rsidRPr="009D1AD4">
        <w:rPr>
          <w:rFonts w:ascii="Arial" w:hAnsi="Arial" w:cs="Arial"/>
          <w:bCs/>
          <w:sz w:val="20"/>
          <w:szCs w:val="20"/>
        </w:rPr>
        <w:t>Under the ACA, any hour for which an employee is paid or entitled to payment must be counted as an hour of service.</w:t>
      </w:r>
      <w:r>
        <w:rPr>
          <w:rFonts w:ascii="Arial" w:hAnsi="Arial" w:cs="Arial"/>
          <w:bCs/>
          <w:sz w:val="20"/>
          <w:szCs w:val="20"/>
        </w:rPr>
        <w:t xml:space="preserve"> …</w:t>
      </w:r>
    </w:p>
    <w:p w14:paraId="24685117" w14:textId="77777777" w:rsidR="00CE6288" w:rsidRPr="009D1AD4" w:rsidRDefault="00CE6288" w:rsidP="001204C3">
      <w:pPr>
        <w:spacing w:after="200"/>
        <w:ind w:left="360"/>
        <w:rPr>
          <w:rFonts w:ascii="Arial" w:hAnsi="Arial" w:cs="Arial"/>
          <w:bCs/>
          <w:sz w:val="20"/>
          <w:szCs w:val="20"/>
        </w:rPr>
      </w:pPr>
      <w:r w:rsidRPr="009D1AD4">
        <w:rPr>
          <w:rFonts w:ascii="Arial" w:hAnsi="Arial" w:cs="Arial"/>
          <w:b/>
          <w:bCs/>
          <w:sz w:val="20"/>
          <w:szCs w:val="20"/>
        </w:rPr>
        <w:t>Unpaid Leave</w:t>
      </w:r>
    </w:p>
    <w:p w14:paraId="50FB9408" w14:textId="77777777" w:rsidR="00CE6288" w:rsidRPr="009D1AD4" w:rsidRDefault="00CE6288" w:rsidP="001204C3">
      <w:pPr>
        <w:spacing w:after="200"/>
        <w:ind w:left="360"/>
        <w:rPr>
          <w:rFonts w:ascii="Arial" w:hAnsi="Arial" w:cs="Arial"/>
          <w:bCs/>
          <w:sz w:val="20"/>
          <w:szCs w:val="20"/>
        </w:rPr>
      </w:pPr>
      <w:r w:rsidRPr="009D1AD4">
        <w:rPr>
          <w:rFonts w:ascii="Arial" w:hAnsi="Arial" w:cs="Arial"/>
          <w:bCs/>
          <w:sz w:val="20"/>
          <w:szCs w:val="20"/>
        </w:rPr>
        <w:t>If the employee is on an unpaid leave of absence (except unpaid FMLA) and in a stability period, the employee must be offered coverage through the stability period. When the employee’s hours are calculated during the contemporaneous measurement period, the leave of absence will count as zero hours of service.</w:t>
      </w:r>
    </w:p>
    <w:p w14:paraId="63DAB6E2" w14:textId="0A326C4F" w:rsidR="009F5C2B" w:rsidRDefault="009F5C2B" w:rsidP="004C6CEA">
      <w:pPr>
        <w:spacing w:after="200"/>
        <w:rPr>
          <w:rFonts w:ascii="Arial" w:hAnsi="Arial" w:cs="Arial"/>
          <w:sz w:val="20"/>
          <w:szCs w:val="20"/>
        </w:rPr>
      </w:pPr>
    </w:p>
    <w:p w14:paraId="0CCE6896" w14:textId="15996E7B" w:rsidR="009F5C2B" w:rsidRDefault="009F5C2B" w:rsidP="004C6CEA">
      <w:pPr>
        <w:spacing w:after="200"/>
        <w:rPr>
          <w:rFonts w:ascii="Arial" w:hAnsi="Arial" w:cs="Arial"/>
          <w:bCs/>
          <w:sz w:val="20"/>
          <w:szCs w:val="20"/>
        </w:rPr>
      </w:pPr>
      <w:r w:rsidRPr="00C5063D">
        <w:rPr>
          <w:rFonts w:ascii="Arial" w:hAnsi="Arial" w:cs="Arial"/>
          <w:b/>
          <w:bCs/>
          <w:color w:val="001BBA"/>
          <w:sz w:val="22"/>
          <w:szCs w:val="22"/>
        </w:rPr>
        <w:t xml:space="preserve">Question: </w:t>
      </w:r>
      <w:r w:rsidRPr="009D1AD4">
        <w:rPr>
          <w:rFonts w:ascii="Arial" w:hAnsi="Arial" w:cs="Arial"/>
          <w:sz w:val="20"/>
          <w:szCs w:val="20"/>
        </w:rPr>
        <w:t xml:space="preserve">On December 14, </w:t>
      </w:r>
      <w:r w:rsidR="00CE6288">
        <w:rPr>
          <w:rFonts w:ascii="Arial" w:hAnsi="Arial" w:cs="Arial"/>
          <w:sz w:val="20"/>
          <w:szCs w:val="20"/>
        </w:rPr>
        <w:t xml:space="preserve">2018, </w:t>
      </w:r>
      <w:r w:rsidRPr="009D1AD4">
        <w:rPr>
          <w:rFonts w:ascii="Arial" w:hAnsi="Arial" w:cs="Arial"/>
          <w:bCs/>
          <w:sz w:val="20"/>
          <w:szCs w:val="20"/>
        </w:rPr>
        <w:t>the U.S. District Court for the Northern District of Texas (Court)</w:t>
      </w:r>
      <w:r w:rsidR="00055049">
        <w:rPr>
          <w:rFonts w:ascii="Arial" w:hAnsi="Arial" w:cs="Arial"/>
          <w:bCs/>
          <w:sz w:val="20"/>
          <w:szCs w:val="20"/>
        </w:rPr>
        <w:t xml:space="preserve"> </w:t>
      </w:r>
      <w:hyperlink r:id="rId40" w:tooltip="https://www.courtlistener.com/recap/gov.uscourts.txnd.299449/gov.uscourts.txnd.299449.211.0.pdf" w:history="1">
        <w:r w:rsidRPr="009D1AD4">
          <w:rPr>
            <w:rStyle w:val="Hyperlink"/>
            <w:bCs/>
          </w:rPr>
          <w:t>issued</w:t>
        </w:r>
      </w:hyperlink>
      <w:r w:rsidR="00055049">
        <w:rPr>
          <w:rFonts w:ascii="Arial" w:hAnsi="Arial" w:cs="Arial"/>
          <w:bCs/>
          <w:sz w:val="20"/>
          <w:szCs w:val="20"/>
        </w:rPr>
        <w:t xml:space="preserve"> </w:t>
      </w:r>
      <w:r w:rsidRPr="009D1AD4">
        <w:rPr>
          <w:rFonts w:ascii="Arial" w:hAnsi="Arial" w:cs="Arial"/>
          <w:bCs/>
          <w:sz w:val="20"/>
          <w:szCs w:val="20"/>
        </w:rPr>
        <w:t>a declaratory order in ongoing litigation regarding the individual mandate and the Patient Protection and Affordable Care Act (ACA). The Court declared that the individual mandate is unconstitutional and declared that the rest of the ACA – including its guaranteed issue and community rating provisions – is unconstitutional. The Court did not grant the plaintiffs' request for a nationwide injunction to prohibit the ACA's continued implementation and enforcement.</w:t>
      </w:r>
    </w:p>
    <w:p w14:paraId="3659F578" w14:textId="77777777" w:rsidR="009F5C2B" w:rsidRPr="009D1AD4" w:rsidRDefault="009F5C2B" w:rsidP="004C6CEA">
      <w:pPr>
        <w:spacing w:after="200"/>
        <w:rPr>
          <w:rFonts w:ascii="Arial" w:hAnsi="Arial" w:cs="Arial"/>
          <w:sz w:val="20"/>
          <w:szCs w:val="20"/>
        </w:rPr>
      </w:pPr>
      <w:r w:rsidRPr="009D1AD4">
        <w:rPr>
          <w:rFonts w:ascii="Arial" w:hAnsi="Arial" w:cs="Arial"/>
          <w:bCs/>
          <w:sz w:val="20"/>
          <w:szCs w:val="20"/>
        </w:rPr>
        <w:t>What has happened recently in the court case?</w:t>
      </w:r>
    </w:p>
    <w:p w14:paraId="6799F2B7" w14:textId="77777777" w:rsidR="009F5C2B" w:rsidRPr="009D1AD4" w:rsidRDefault="009F5C2B" w:rsidP="004C6CEA">
      <w:pPr>
        <w:spacing w:after="200"/>
        <w:rPr>
          <w:rFonts w:ascii="Arial" w:hAnsi="Arial" w:cs="Arial"/>
          <w:bCs/>
          <w:sz w:val="20"/>
          <w:szCs w:val="20"/>
        </w:rPr>
      </w:pPr>
      <w:r w:rsidRPr="009D1AD4">
        <w:rPr>
          <w:rFonts w:ascii="Arial" w:hAnsi="Arial" w:cs="Arial"/>
          <w:b/>
          <w:sz w:val="20"/>
          <w:szCs w:val="20"/>
        </w:rPr>
        <w:t>Answer</w:t>
      </w:r>
      <w:r w:rsidRPr="009D1AD4">
        <w:rPr>
          <w:rFonts w:ascii="Arial" w:hAnsi="Arial" w:cs="Arial"/>
          <w:sz w:val="20"/>
          <w:szCs w:val="20"/>
        </w:rPr>
        <w:t xml:space="preserve">: </w:t>
      </w:r>
      <w:r w:rsidRPr="009D1AD4">
        <w:rPr>
          <w:rFonts w:ascii="Arial" w:hAnsi="Arial" w:cs="Arial"/>
          <w:bCs/>
          <w:sz w:val="20"/>
          <w:szCs w:val="20"/>
        </w:rPr>
        <w:t xml:space="preserve">On December 30, 2018, the Court issued two orders. The first </w:t>
      </w:r>
      <w:hyperlink r:id="rId41" w:history="1">
        <w:r w:rsidRPr="009D1AD4">
          <w:rPr>
            <w:rStyle w:val="Hyperlink"/>
            <w:bCs/>
          </w:rPr>
          <w:t>order</w:t>
        </w:r>
      </w:hyperlink>
      <w:r w:rsidRPr="009D1AD4">
        <w:rPr>
          <w:rFonts w:ascii="Arial" w:hAnsi="Arial" w:cs="Arial"/>
          <w:bCs/>
          <w:sz w:val="20"/>
          <w:szCs w:val="20"/>
        </w:rPr>
        <w:t xml:space="preserve"> grants a stay of its December 14 order. This means that the court’s order regarding the ACA’s unconstitutionality will not take effect while it is being appealed. The second </w:t>
      </w:r>
      <w:hyperlink r:id="rId42" w:history="1">
        <w:r w:rsidRPr="009D1AD4">
          <w:rPr>
            <w:rStyle w:val="Hyperlink"/>
            <w:bCs/>
          </w:rPr>
          <w:t>order</w:t>
        </w:r>
      </w:hyperlink>
      <w:r w:rsidRPr="009D1AD4">
        <w:rPr>
          <w:rFonts w:ascii="Arial" w:hAnsi="Arial" w:cs="Arial"/>
          <w:bCs/>
          <w:sz w:val="20"/>
          <w:szCs w:val="20"/>
        </w:rPr>
        <w:t xml:space="preserve"> enters the December 14 order as a final judgment so the parties may immediately appeal the order.</w:t>
      </w:r>
    </w:p>
    <w:p w14:paraId="019BE079" w14:textId="77777777" w:rsidR="009F5C2B" w:rsidRPr="009D1AD4" w:rsidRDefault="009F5C2B" w:rsidP="004C6CEA">
      <w:pPr>
        <w:spacing w:after="200"/>
        <w:rPr>
          <w:rFonts w:ascii="Arial" w:hAnsi="Arial" w:cs="Arial"/>
          <w:bCs/>
          <w:sz w:val="20"/>
          <w:szCs w:val="20"/>
        </w:rPr>
      </w:pPr>
      <w:r w:rsidRPr="009D1AD4">
        <w:rPr>
          <w:rFonts w:ascii="Arial" w:hAnsi="Arial" w:cs="Arial"/>
          <w:bCs/>
          <w:sz w:val="20"/>
          <w:szCs w:val="20"/>
        </w:rPr>
        <w:t>On December 31, 2018, the Court issued an order that stays the remainder of the case. This means that the Court will not be proceeding with the remaining claims in the case while its December 14 order is being appealed. After the appeal process is complete, the parties are to alert the Court and submit additional court documents if they want to continue with any remaining claims in the case.</w:t>
      </w:r>
    </w:p>
    <w:p w14:paraId="7FDFDE6F" w14:textId="77777777" w:rsidR="009F5C2B" w:rsidRPr="009D1AD4" w:rsidRDefault="009F5C2B" w:rsidP="004C6CEA">
      <w:pPr>
        <w:spacing w:after="200"/>
        <w:rPr>
          <w:rFonts w:ascii="Arial" w:hAnsi="Arial" w:cs="Arial"/>
          <w:bCs/>
          <w:sz w:val="20"/>
          <w:szCs w:val="20"/>
        </w:rPr>
      </w:pPr>
      <w:r w:rsidRPr="009D1AD4">
        <w:rPr>
          <w:rFonts w:ascii="Arial" w:hAnsi="Arial" w:cs="Arial"/>
          <w:bCs/>
          <w:sz w:val="20"/>
          <w:szCs w:val="20"/>
        </w:rPr>
        <w:t>At this time, the case's status does not impact employers' group health plans. However, employers should stay informed for the final decision in this case.</w:t>
      </w:r>
    </w:p>
    <w:p w14:paraId="4B71CE57" w14:textId="0E5065E8" w:rsidR="009F5C2B" w:rsidRDefault="009F5C2B" w:rsidP="004C6CEA">
      <w:pPr>
        <w:spacing w:after="200"/>
        <w:rPr>
          <w:rFonts w:ascii="Arial" w:hAnsi="Arial" w:cs="Arial"/>
          <w:sz w:val="20"/>
          <w:szCs w:val="20"/>
        </w:rPr>
      </w:pPr>
    </w:p>
    <w:p w14:paraId="6ECDFFE2" w14:textId="77777777" w:rsidR="00354D6A" w:rsidRPr="009D1AD4" w:rsidRDefault="00354D6A" w:rsidP="004C6CEA">
      <w:pPr>
        <w:spacing w:after="200"/>
        <w:rPr>
          <w:rFonts w:ascii="Arial" w:hAnsi="Arial" w:cs="Arial"/>
          <w:sz w:val="20"/>
          <w:szCs w:val="20"/>
        </w:rPr>
      </w:pPr>
      <w:r w:rsidRPr="00C5063D">
        <w:rPr>
          <w:rFonts w:ascii="Arial" w:hAnsi="Arial" w:cs="Arial"/>
          <w:b/>
          <w:bCs/>
          <w:color w:val="001BBA"/>
          <w:sz w:val="22"/>
          <w:szCs w:val="22"/>
        </w:rPr>
        <w:t>Question:</w:t>
      </w:r>
      <w:r w:rsidRPr="009D1AD4">
        <w:rPr>
          <w:rFonts w:ascii="Arial" w:hAnsi="Arial" w:cs="Arial"/>
          <w:sz w:val="20"/>
          <w:szCs w:val="20"/>
        </w:rPr>
        <w:t xml:space="preserve"> What is the current status of the court case that is challenging the ACA’s constitutionality?</w:t>
      </w:r>
    </w:p>
    <w:p w14:paraId="463E7D38" w14:textId="77777777" w:rsidR="00354D6A" w:rsidRPr="009D1AD4" w:rsidRDefault="00354D6A" w:rsidP="004C6CEA">
      <w:pPr>
        <w:spacing w:after="200"/>
        <w:rPr>
          <w:rFonts w:ascii="Arial" w:hAnsi="Arial" w:cs="Arial"/>
          <w:b/>
          <w:sz w:val="20"/>
          <w:szCs w:val="20"/>
        </w:rPr>
      </w:pPr>
      <w:r w:rsidRPr="009D1AD4">
        <w:rPr>
          <w:rFonts w:ascii="Arial" w:hAnsi="Arial" w:cs="Arial"/>
          <w:b/>
          <w:sz w:val="20"/>
          <w:szCs w:val="20"/>
        </w:rPr>
        <w:t xml:space="preserve">Answer: </w:t>
      </w:r>
      <w:r w:rsidRPr="009D1AD4">
        <w:rPr>
          <w:rFonts w:ascii="Arial" w:hAnsi="Arial" w:cs="Arial"/>
          <w:sz w:val="20"/>
          <w:szCs w:val="20"/>
        </w:rPr>
        <w:t xml:space="preserve">On December 14, 2018, the U.S. District Court for the Northern District of Texas (Court) </w:t>
      </w:r>
      <w:hyperlink r:id="rId43" w:history="1">
        <w:r w:rsidRPr="009D1AD4">
          <w:rPr>
            <w:rStyle w:val="Hyperlink"/>
          </w:rPr>
          <w:t>issued</w:t>
        </w:r>
      </w:hyperlink>
      <w:r w:rsidRPr="009D1AD4">
        <w:rPr>
          <w:rFonts w:ascii="Arial" w:hAnsi="Arial" w:cs="Arial"/>
          <w:sz w:val="20"/>
          <w:szCs w:val="20"/>
        </w:rPr>
        <w:t xml:space="preserve"> a declaratory order in ongoing litigation regarding the individual mandate and the Patient Protection and Affordable Care Act (ACA). The Court declared that the individual mandate is unconstitutional and declared that the rest of the ACA is unconstitutional.</w:t>
      </w:r>
    </w:p>
    <w:p w14:paraId="23DD18D2" w14:textId="77777777" w:rsidR="00354D6A" w:rsidRPr="009D1AD4" w:rsidRDefault="00354D6A" w:rsidP="004C6CEA">
      <w:pPr>
        <w:spacing w:after="200"/>
        <w:rPr>
          <w:rFonts w:ascii="Arial" w:hAnsi="Arial" w:cs="Arial"/>
          <w:sz w:val="20"/>
          <w:szCs w:val="20"/>
        </w:rPr>
      </w:pPr>
      <w:r w:rsidRPr="009D1AD4">
        <w:rPr>
          <w:rFonts w:ascii="Arial" w:hAnsi="Arial" w:cs="Arial"/>
          <w:sz w:val="20"/>
          <w:szCs w:val="20"/>
        </w:rPr>
        <w:t xml:space="preserve">As background, earlier this year, twenty states filed a </w:t>
      </w:r>
      <w:hyperlink r:id="rId44" w:history="1">
        <w:r w:rsidRPr="009D1AD4">
          <w:rPr>
            <w:rStyle w:val="Hyperlink"/>
          </w:rPr>
          <w:t>lawsuit</w:t>
        </w:r>
      </w:hyperlink>
      <w:r w:rsidRPr="009D1AD4">
        <w:rPr>
          <w:rFonts w:ascii="Arial" w:hAnsi="Arial" w:cs="Arial"/>
          <w:sz w:val="20"/>
          <w:szCs w:val="20"/>
        </w:rPr>
        <w:t xml:space="preserve"> asking the Court to strike down the ACA entirely. The lawsuit came after the U.S. Congress passed the Tax Cuts and Jobs Act in December 2017 that reduced the individual mandate penalty to $0, starting in 2019.</w:t>
      </w:r>
    </w:p>
    <w:p w14:paraId="54DEDCC1" w14:textId="77777777" w:rsidR="00354D6A" w:rsidRPr="001204C3" w:rsidRDefault="00354D6A" w:rsidP="004C6CEA">
      <w:pPr>
        <w:spacing w:after="200"/>
        <w:rPr>
          <w:rFonts w:ascii="Arial" w:hAnsi="Arial" w:cs="Arial"/>
          <w:spacing w:val="-2"/>
          <w:sz w:val="20"/>
          <w:szCs w:val="20"/>
        </w:rPr>
      </w:pPr>
      <w:r w:rsidRPr="001204C3">
        <w:rPr>
          <w:rFonts w:ascii="Arial" w:hAnsi="Arial" w:cs="Arial"/>
          <w:spacing w:val="-2"/>
          <w:sz w:val="20"/>
          <w:szCs w:val="20"/>
        </w:rPr>
        <w:t>The plaintiffs argued that, without the penalty, the individual mandate is unconstitutional because it can no longer be considered a tax. The plaintiffs argued that the individual mandate is not severable from the rest of the ACA so if the individual mandate is unconstitutional, then the rest of the ACA is unconstitutional.</w:t>
      </w:r>
    </w:p>
    <w:p w14:paraId="7A92BFDD" w14:textId="77777777" w:rsidR="00354D6A" w:rsidRPr="009D1AD4" w:rsidRDefault="00354D6A" w:rsidP="004C6CEA">
      <w:pPr>
        <w:spacing w:after="200"/>
        <w:rPr>
          <w:rFonts w:ascii="Arial" w:hAnsi="Arial" w:cs="Arial"/>
          <w:sz w:val="20"/>
          <w:szCs w:val="20"/>
        </w:rPr>
      </w:pPr>
      <w:r w:rsidRPr="009D1AD4">
        <w:rPr>
          <w:rFonts w:ascii="Arial" w:hAnsi="Arial" w:cs="Arial"/>
          <w:sz w:val="20"/>
          <w:szCs w:val="20"/>
        </w:rPr>
        <w:t xml:space="preserve">The U.S. Department of Justice (DOJ) responded that the individual mandate is unconstitutional without the penalty. The DOJ also argued that because the guaranteed issue and community rating provisions </w:t>
      </w:r>
      <w:r w:rsidRPr="009D1AD4">
        <w:rPr>
          <w:rFonts w:ascii="Arial" w:hAnsi="Arial" w:cs="Arial"/>
          <w:sz w:val="20"/>
          <w:szCs w:val="20"/>
        </w:rPr>
        <w:lastRenderedPageBreak/>
        <w:t>are inseverable from the individual mandate, the guaranteed issue and community rating provisions are also unconstitutional.</w:t>
      </w:r>
    </w:p>
    <w:p w14:paraId="670E3B7C" w14:textId="77777777" w:rsidR="00354D6A" w:rsidRPr="009D1AD4" w:rsidRDefault="00354D6A" w:rsidP="004C6CEA">
      <w:pPr>
        <w:spacing w:after="200"/>
        <w:rPr>
          <w:rFonts w:ascii="Arial" w:hAnsi="Arial" w:cs="Arial"/>
          <w:sz w:val="20"/>
          <w:szCs w:val="20"/>
        </w:rPr>
      </w:pPr>
      <w:r w:rsidRPr="009D1AD4">
        <w:rPr>
          <w:rFonts w:ascii="Arial" w:hAnsi="Arial" w:cs="Arial"/>
          <w:sz w:val="20"/>
          <w:szCs w:val="20"/>
        </w:rPr>
        <w:t>The individual mandate requires most people to have a certain level of health insurance coverage or pay a penalty (for 2018, the penalty is $695 per adult and $347.50 per child, or 2.5 percent of household income, whichever is greater). Guaranteed issue prohibits insurers from basing coverage eligibility on an individual’s medical history and from excluding preexisting conditions on new plans. In the individual and small group markets, adjusted community rating means that premiums cannot be based on medical history and can only vary based on age, tobacco use, and geographic area.</w:t>
      </w:r>
    </w:p>
    <w:p w14:paraId="13EAB9A3" w14:textId="44E9EC4B" w:rsidR="00354D6A" w:rsidRDefault="00354D6A" w:rsidP="004C6CEA">
      <w:pPr>
        <w:spacing w:after="200"/>
        <w:rPr>
          <w:rFonts w:ascii="Arial" w:hAnsi="Arial" w:cs="Arial"/>
          <w:sz w:val="20"/>
          <w:szCs w:val="20"/>
        </w:rPr>
      </w:pPr>
      <w:r w:rsidRPr="009D1AD4">
        <w:rPr>
          <w:rFonts w:ascii="Arial" w:hAnsi="Arial" w:cs="Arial"/>
          <w:sz w:val="20"/>
          <w:szCs w:val="20"/>
        </w:rPr>
        <w:t>Although the DOJ asked the Court to declare the individual mandate, guaranteed issue, and community</w:t>
      </w:r>
      <w:r w:rsidR="001204C3">
        <w:rPr>
          <w:rFonts w:ascii="Arial" w:hAnsi="Arial" w:cs="Arial"/>
          <w:sz w:val="20"/>
          <w:szCs w:val="20"/>
        </w:rPr>
        <w:t> </w:t>
      </w:r>
      <w:r w:rsidRPr="009D1AD4">
        <w:rPr>
          <w:rFonts w:ascii="Arial" w:hAnsi="Arial" w:cs="Arial"/>
          <w:sz w:val="20"/>
          <w:szCs w:val="20"/>
        </w:rPr>
        <w:t>rating provisions to be unconstitutional as of January 1, 2019, the Court went further than the DOJ’s request.</w:t>
      </w:r>
    </w:p>
    <w:p w14:paraId="6E52C3D5" w14:textId="77777777" w:rsidR="00354D6A" w:rsidRPr="009D1AD4" w:rsidRDefault="00354D6A" w:rsidP="004C6CEA">
      <w:pPr>
        <w:spacing w:after="200"/>
        <w:rPr>
          <w:rFonts w:ascii="Arial" w:hAnsi="Arial" w:cs="Arial"/>
          <w:sz w:val="20"/>
          <w:szCs w:val="20"/>
        </w:rPr>
      </w:pPr>
      <w:r w:rsidRPr="009D1AD4">
        <w:rPr>
          <w:rFonts w:ascii="Arial" w:hAnsi="Arial" w:cs="Arial"/>
          <w:sz w:val="20"/>
          <w:szCs w:val="20"/>
        </w:rPr>
        <w:t xml:space="preserve">The Court found that the individual mandate is unconstitutional without the penalty and that the individual mandate is inseverable from the rest of the ACA. Because of its findings, the Court declared that the individual mandate and the entire ACA – including its guaranteed issue and community rating </w:t>
      </w:r>
      <w:r w:rsidRPr="001204C3">
        <w:rPr>
          <w:rFonts w:ascii="Arial" w:hAnsi="Arial" w:cs="Arial"/>
          <w:spacing w:val="-2"/>
          <w:sz w:val="20"/>
          <w:szCs w:val="20"/>
        </w:rPr>
        <w:t xml:space="preserve">provisions – </w:t>
      </w:r>
      <w:r w:rsidRPr="009D1AD4">
        <w:rPr>
          <w:rFonts w:ascii="Arial" w:hAnsi="Arial" w:cs="Arial"/>
          <w:sz w:val="20"/>
          <w:szCs w:val="20"/>
        </w:rPr>
        <w:t>are unconstitutional.</w:t>
      </w:r>
    </w:p>
    <w:p w14:paraId="5B59DF19" w14:textId="77777777" w:rsidR="00354D6A" w:rsidRDefault="00354D6A" w:rsidP="004C6CEA">
      <w:pPr>
        <w:spacing w:after="200"/>
        <w:rPr>
          <w:rFonts w:ascii="Arial" w:hAnsi="Arial" w:cs="Arial"/>
          <w:sz w:val="20"/>
          <w:szCs w:val="20"/>
        </w:rPr>
      </w:pPr>
      <w:r w:rsidRPr="009D1AD4">
        <w:rPr>
          <w:rFonts w:ascii="Arial" w:hAnsi="Arial" w:cs="Arial"/>
          <w:sz w:val="20"/>
          <w:szCs w:val="20"/>
        </w:rPr>
        <w:t>The Court did not grant the plaintiffs’ request for a nationwide injunction to prohibit the ACA’s continued implementation and enforcement. The Court’s declaratory judgment simply defines the parties’ legal relationship and rights under the case (for example, that the individual mandate is unconstitutional as applied to the individual plaintiffs) at this relatively early stage in the case.</w:t>
      </w:r>
    </w:p>
    <w:p w14:paraId="5E029B7D" w14:textId="77777777" w:rsidR="00354D6A" w:rsidRPr="009D1AD4" w:rsidRDefault="00354D6A" w:rsidP="004C6CEA">
      <w:pPr>
        <w:spacing w:after="200"/>
        <w:rPr>
          <w:rFonts w:ascii="Arial" w:hAnsi="Arial" w:cs="Arial"/>
          <w:sz w:val="20"/>
          <w:szCs w:val="20"/>
        </w:rPr>
      </w:pPr>
      <w:r w:rsidRPr="009D1AD4">
        <w:rPr>
          <w:rFonts w:ascii="Arial" w:hAnsi="Arial" w:cs="Arial"/>
          <w:sz w:val="20"/>
          <w:szCs w:val="20"/>
        </w:rPr>
        <w:t xml:space="preserve">On December 16, 2018, the Court issued an </w:t>
      </w:r>
      <w:hyperlink r:id="rId45" w:history="1">
        <w:r w:rsidRPr="009D1AD4">
          <w:rPr>
            <w:rStyle w:val="Hyperlink"/>
          </w:rPr>
          <w:t>order</w:t>
        </w:r>
      </w:hyperlink>
      <w:r w:rsidRPr="009D1AD4">
        <w:rPr>
          <w:rFonts w:ascii="Arial" w:hAnsi="Arial" w:cs="Arial"/>
          <w:sz w:val="20"/>
          <w:szCs w:val="20"/>
        </w:rPr>
        <w:t xml:space="preserve"> that requires the parties to meet and discuss the case by December 21, 2018, and to jointly submit a proposed schedule for resolving the plaintiffs’ remaining claims. The parties’ proposed schedule for resolving these remaining claims is due to the Court by January 4, 2019.</w:t>
      </w:r>
    </w:p>
    <w:p w14:paraId="07113DF6" w14:textId="77777777" w:rsidR="00354D6A" w:rsidRPr="009D1AD4" w:rsidRDefault="00354D6A" w:rsidP="004C6CEA">
      <w:pPr>
        <w:spacing w:after="200"/>
        <w:rPr>
          <w:rFonts w:ascii="Arial" w:hAnsi="Arial" w:cs="Arial"/>
          <w:sz w:val="20"/>
          <w:szCs w:val="20"/>
        </w:rPr>
      </w:pPr>
      <w:r w:rsidRPr="009D1AD4">
        <w:rPr>
          <w:rFonts w:ascii="Arial" w:hAnsi="Arial" w:cs="Arial"/>
          <w:sz w:val="20"/>
          <w:szCs w:val="20"/>
        </w:rPr>
        <w:t>At this time, the case’s status does not impact employers’ group health plans. However, employers should stay informed for the final decision in this case.</w:t>
      </w:r>
    </w:p>
    <w:p w14:paraId="20402F3B" w14:textId="67BC54B3" w:rsidR="00354D6A" w:rsidRPr="009D1AD4" w:rsidRDefault="00354D6A" w:rsidP="004C6CEA">
      <w:pPr>
        <w:spacing w:after="200"/>
        <w:rPr>
          <w:rFonts w:ascii="Arial" w:hAnsi="Arial" w:cs="Arial"/>
          <w:sz w:val="20"/>
          <w:szCs w:val="20"/>
        </w:rPr>
      </w:pPr>
      <w:r w:rsidRPr="009D1AD4">
        <w:rPr>
          <w:rFonts w:ascii="Arial" w:hAnsi="Arial" w:cs="Arial"/>
          <w:sz w:val="20"/>
          <w:szCs w:val="20"/>
        </w:rPr>
        <w:t>UBA</w:t>
      </w:r>
      <w:r w:rsidR="00935174">
        <w:rPr>
          <w:rFonts w:ascii="Arial" w:hAnsi="Arial" w:cs="Arial"/>
          <w:sz w:val="20"/>
          <w:szCs w:val="20"/>
        </w:rPr>
        <w:t>’s</w:t>
      </w:r>
      <w:r w:rsidRPr="009D1AD4">
        <w:rPr>
          <w:rFonts w:ascii="Arial" w:hAnsi="Arial" w:cs="Arial"/>
          <w:sz w:val="20"/>
          <w:szCs w:val="20"/>
        </w:rPr>
        <w:t xml:space="preserve"> revis</w:t>
      </w:r>
      <w:r w:rsidR="00935174">
        <w:rPr>
          <w:rFonts w:ascii="Arial" w:hAnsi="Arial" w:cs="Arial"/>
          <w:sz w:val="20"/>
          <w:szCs w:val="20"/>
        </w:rPr>
        <w:t>ed</w:t>
      </w:r>
      <w:r w:rsidRPr="009D1AD4">
        <w:rPr>
          <w:rFonts w:ascii="Arial" w:hAnsi="Arial" w:cs="Arial"/>
          <w:sz w:val="20"/>
          <w:szCs w:val="20"/>
        </w:rPr>
        <w:t xml:space="preserve"> Advisor “</w:t>
      </w:r>
      <w:hyperlink r:id="rId46" w:history="1">
        <w:r w:rsidRPr="00935174">
          <w:rPr>
            <w:rStyle w:val="Hyperlink"/>
          </w:rPr>
          <w:t>Status of Court Case Challenging ACA Constitutionality</w:t>
        </w:r>
      </w:hyperlink>
      <w:r w:rsidRPr="009D1AD4">
        <w:rPr>
          <w:rFonts w:ascii="Arial" w:hAnsi="Arial" w:cs="Arial"/>
          <w:sz w:val="20"/>
          <w:szCs w:val="20"/>
        </w:rPr>
        <w:t xml:space="preserve">” </w:t>
      </w:r>
      <w:r w:rsidR="00935174">
        <w:rPr>
          <w:rFonts w:ascii="Arial" w:hAnsi="Arial" w:cs="Arial"/>
          <w:sz w:val="20"/>
          <w:szCs w:val="20"/>
        </w:rPr>
        <w:t>reviews the status of the</w:t>
      </w:r>
      <w:r w:rsidR="001204C3">
        <w:rPr>
          <w:rFonts w:ascii="Arial" w:hAnsi="Arial" w:cs="Arial"/>
          <w:sz w:val="20"/>
          <w:szCs w:val="20"/>
        </w:rPr>
        <w:t> </w:t>
      </w:r>
      <w:r w:rsidR="00935174">
        <w:rPr>
          <w:rFonts w:ascii="Arial" w:hAnsi="Arial" w:cs="Arial"/>
          <w:sz w:val="20"/>
          <w:szCs w:val="20"/>
        </w:rPr>
        <w:t>case</w:t>
      </w:r>
      <w:r w:rsidRPr="009D1AD4">
        <w:rPr>
          <w:rFonts w:ascii="Arial" w:hAnsi="Arial" w:cs="Arial"/>
          <w:sz w:val="20"/>
          <w:szCs w:val="20"/>
        </w:rPr>
        <w:t>.</w:t>
      </w:r>
    </w:p>
    <w:p w14:paraId="3D6225FC" w14:textId="2220975D" w:rsidR="00354D6A" w:rsidRDefault="00354D6A" w:rsidP="004C6CEA">
      <w:pPr>
        <w:spacing w:after="200"/>
        <w:rPr>
          <w:rFonts w:ascii="Arial" w:hAnsi="Arial" w:cs="Arial"/>
          <w:sz w:val="20"/>
          <w:szCs w:val="20"/>
        </w:rPr>
      </w:pPr>
    </w:p>
    <w:p w14:paraId="1340488E" w14:textId="77777777" w:rsidR="00354D6A" w:rsidRPr="009D1AD4" w:rsidRDefault="00354D6A" w:rsidP="004C6CEA">
      <w:pPr>
        <w:spacing w:after="200"/>
        <w:rPr>
          <w:rFonts w:ascii="Arial" w:hAnsi="Arial" w:cs="Arial"/>
          <w:sz w:val="20"/>
          <w:szCs w:val="20"/>
        </w:rPr>
      </w:pPr>
      <w:r w:rsidRPr="00C5063D">
        <w:rPr>
          <w:rFonts w:ascii="Arial" w:hAnsi="Arial" w:cs="Arial"/>
          <w:b/>
          <w:bCs/>
          <w:color w:val="001BBA"/>
          <w:sz w:val="22"/>
          <w:szCs w:val="22"/>
        </w:rPr>
        <w:t>Question:</w:t>
      </w:r>
      <w:r w:rsidRPr="009D1AD4">
        <w:rPr>
          <w:rFonts w:ascii="Arial" w:hAnsi="Arial" w:cs="Arial"/>
          <w:b/>
          <w:sz w:val="20"/>
          <w:szCs w:val="20"/>
        </w:rPr>
        <w:t xml:space="preserve"> </w:t>
      </w:r>
      <w:r w:rsidRPr="009D1AD4">
        <w:rPr>
          <w:rFonts w:ascii="Arial" w:hAnsi="Arial" w:cs="Arial"/>
          <w:sz w:val="20"/>
          <w:szCs w:val="20"/>
        </w:rPr>
        <w:t>The IRS proposed a rule to expand mandatory electronic filing for employers who are required to file at least 250 returns during the calendar year. If this proposed rule is adopted as a final rule, then will employers continue to have transition relief from the W-2 reporting requirement?</w:t>
      </w:r>
    </w:p>
    <w:p w14:paraId="4BCE540C" w14:textId="36031B00" w:rsidR="00354D6A" w:rsidRPr="009D1AD4" w:rsidRDefault="00354D6A" w:rsidP="004C6CEA">
      <w:pPr>
        <w:spacing w:after="200"/>
        <w:rPr>
          <w:rFonts w:ascii="Arial" w:hAnsi="Arial" w:cs="Arial"/>
          <w:color w:val="000000"/>
          <w:sz w:val="20"/>
          <w:szCs w:val="20"/>
        </w:rPr>
      </w:pPr>
      <w:r w:rsidRPr="009D1AD4">
        <w:rPr>
          <w:rFonts w:ascii="Arial" w:hAnsi="Arial" w:cs="Arial"/>
          <w:b/>
          <w:sz w:val="20"/>
          <w:szCs w:val="20"/>
        </w:rPr>
        <w:t xml:space="preserve">Answer: </w:t>
      </w:r>
      <w:r w:rsidRPr="009D1AD4">
        <w:rPr>
          <w:rFonts w:ascii="Arial" w:hAnsi="Arial" w:cs="Arial"/>
          <w:color w:val="000000"/>
          <w:sz w:val="20"/>
          <w:szCs w:val="20"/>
        </w:rPr>
        <w:t xml:space="preserve">Yes, transition relief from the W-2 reporting requirement would still be available for an employer that was required to file fewer than 250 Forms W-2 for the preceding calendar year, without application of any aggregation rules. </w:t>
      </w:r>
      <w:r w:rsidR="00935174">
        <w:rPr>
          <w:rFonts w:ascii="Arial" w:hAnsi="Arial" w:cs="Arial"/>
          <w:color w:val="000000"/>
          <w:sz w:val="20"/>
          <w:szCs w:val="20"/>
        </w:rPr>
        <w:t>O</w:t>
      </w:r>
      <w:r w:rsidRPr="009D1AD4">
        <w:rPr>
          <w:rFonts w:ascii="Arial" w:hAnsi="Arial" w:cs="Arial"/>
          <w:color w:val="000000"/>
          <w:sz w:val="20"/>
          <w:szCs w:val="20"/>
        </w:rPr>
        <w:t>ur UBA Advisor “</w:t>
      </w:r>
      <w:hyperlink r:id="rId47" w:history="1">
        <w:r w:rsidRPr="00935174">
          <w:rPr>
            <w:rStyle w:val="Hyperlink"/>
          </w:rPr>
          <w:t>Frequently Asked Questions about the W-2 Reporting Requirement</w:t>
        </w:r>
      </w:hyperlink>
      <w:r w:rsidRPr="009D1AD4">
        <w:rPr>
          <w:rFonts w:ascii="Arial" w:hAnsi="Arial" w:cs="Arial"/>
          <w:color w:val="000000"/>
          <w:sz w:val="20"/>
          <w:szCs w:val="20"/>
        </w:rPr>
        <w:t>” describes this transition rule at Q&amp;As 1 and 2.</w:t>
      </w:r>
    </w:p>
    <w:p w14:paraId="3CEA4DC4" w14:textId="77777777" w:rsidR="002152AC" w:rsidRDefault="00354D6A" w:rsidP="004C6CEA">
      <w:pPr>
        <w:spacing w:after="200"/>
        <w:rPr>
          <w:rFonts w:ascii="Arial" w:hAnsi="Arial" w:cs="Arial"/>
          <w:color w:val="000000"/>
          <w:sz w:val="20"/>
          <w:szCs w:val="20"/>
        </w:rPr>
      </w:pPr>
      <w:r w:rsidRPr="009D1AD4">
        <w:rPr>
          <w:rFonts w:ascii="Arial" w:hAnsi="Arial" w:cs="Arial"/>
          <w:color w:val="000000"/>
          <w:sz w:val="20"/>
          <w:szCs w:val="20"/>
        </w:rPr>
        <w:t xml:space="preserve">Under the proposed rule, the IRS would aggregate an employer’s information returns to determine whether an employer would meet the 250-return threshold for mandatory electronic filing. </w:t>
      </w:r>
      <w:r w:rsidR="00935174">
        <w:rPr>
          <w:rFonts w:ascii="Arial" w:hAnsi="Arial" w:cs="Arial"/>
          <w:color w:val="000000"/>
          <w:sz w:val="20"/>
          <w:szCs w:val="20"/>
        </w:rPr>
        <w:t>Ou</w:t>
      </w:r>
      <w:r w:rsidRPr="009D1AD4">
        <w:rPr>
          <w:rFonts w:ascii="Arial" w:hAnsi="Arial" w:cs="Arial"/>
          <w:color w:val="000000"/>
          <w:sz w:val="20"/>
          <w:szCs w:val="20"/>
        </w:rPr>
        <w:t>r UBA Advisor “</w:t>
      </w:r>
      <w:hyperlink r:id="rId48" w:history="1">
        <w:r w:rsidRPr="00935174">
          <w:rPr>
            <w:rStyle w:val="Hyperlink"/>
          </w:rPr>
          <w:t>IRS Issues Proposed Rule to Expand Mandatory Electronic Filing</w:t>
        </w:r>
      </w:hyperlink>
      <w:r w:rsidRPr="009D1AD4">
        <w:rPr>
          <w:rFonts w:ascii="Arial" w:hAnsi="Arial" w:cs="Arial"/>
          <w:color w:val="000000"/>
          <w:sz w:val="20"/>
          <w:szCs w:val="20"/>
        </w:rPr>
        <w:t>” describes this proposed rule.</w:t>
      </w:r>
    </w:p>
    <w:p w14:paraId="4FFF0E69" w14:textId="61A2F3FF" w:rsidR="00354D6A" w:rsidRDefault="002152AC" w:rsidP="004C6CEA">
      <w:pPr>
        <w:spacing w:after="200"/>
        <w:rPr>
          <w:rFonts w:ascii="Arial" w:hAnsi="Arial" w:cs="Arial"/>
          <w:color w:val="000000"/>
          <w:sz w:val="20"/>
          <w:szCs w:val="20"/>
        </w:rPr>
      </w:pPr>
      <w:r>
        <w:rPr>
          <w:rFonts w:ascii="Arial" w:hAnsi="Arial" w:cs="Arial"/>
          <w:color w:val="000000"/>
          <w:sz w:val="20"/>
          <w:szCs w:val="20"/>
        </w:rPr>
        <w:t>That Advisor also discusses t</w:t>
      </w:r>
      <w:r w:rsidR="00354D6A" w:rsidRPr="009D1AD4">
        <w:rPr>
          <w:rFonts w:ascii="Arial" w:hAnsi="Arial" w:cs="Arial"/>
          <w:color w:val="000000"/>
          <w:sz w:val="20"/>
          <w:szCs w:val="20"/>
        </w:rPr>
        <w:t xml:space="preserve">he IRS </w:t>
      </w:r>
      <w:hyperlink r:id="rId49" w:history="1">
        <w:r w:rsidR="00354D6A" w:rsidRPr="009D1AD4">
          <w:rPr>
            <w:rStyle w:val="Hyperlink"/>
          </w:rPr>
          <w:t>proposed rule</w:t>
        </w:r>
      </w:hyperlink>
      <w:r w:rsidR="00055049">
        <w:rPr>
          <w:rFonts w:ascii="Arial" w:hAnsi="Arial" w:cs="Arial"/>
          <w:color w:val="000000"/>
          <w:sz w:val="20"/>
          <w:szCs w:val="20"/>
        </w:rPr>
        <w:t xml:space="preserve"> </w:t>
      </w:r>
      <w:r w:rsidR="00354D6A" w:rsidRPr="009D1AD4">
        <w:rPr>
          <w:rFonts w:ascii="Arial" w:hAnsi="Arial" w:cs="Arial"/>
          <w:color w:val="000000"/>
          <w:sz w:val="20"/>
          <w:szCs w:val="20"/>
        </w:rPr>
        <w:t>that would affect most employers who are required to file information returns, such as Forms W-2, Forms 1095-B, Forms 1095-C, and forms in the 1099 series</w:t>
      </w:r>
      <w:r>
        <w:rPr>
          <w:rFonts w:ascii="Arial" w:hAnsi="Arial" w:cs="Arial"/>
          <w:color w:val="000000"/>
          <w:sz w:val="20"/>
          <w:szCs w:val="20"/>
        </w:rPr>
        <w:t>:</w:t>
      </w:r>
    </w:p>
    <w:p w14:paraId="41FCEC33" w14:textId="77777777" w:rsidR="00354D6A" w:rsidRDefault="00354D6A" w:rsidP="002152AC">
      <w:pPr>
        <w:spacing w:after="200"/>
        <w:ind w:left="360"/>
        <w:rPr>
          <w:rFonts w:ascii="Arial" w:hAnsi="Arial" w:cs="Arial"/>
          <w:b/>
          <w:bCs/>
          <w:color w:val="000000"/>
          <w:sz w:val="20"/>
          <w:szCs w:val="20"/>
        </w:rPr>
      </w:pPr>
      <w:r w:rsidRPr="009D1AD4">
        <w:rPr>
          <w:rFonts w:ascii="Arial" w:hAnsi="Arial" w:cs="Arial"/>
          <w:b/>
          <w:bCs/>
          <w:color w:val="000000"/>
          <w:sz w:val="20"/>
          <w:szCs w:val="20"/>
        </w:rPr>
        <w:t>Current Non-Aggregation Rule</w:t>
      </w:r>
    </w:p>
    <w:p w14:paraId="1BF4E419" w14:textId="77777777" w:rsidR="00354D6A" w:rsidRDefault="00354D6A" w:rsidP="002152AC">
      <w:pPr>
        <w:spacing w:after="200"/>
        <w:ind w:left="360"/>
        <w:rPr>
          <w:rFonts w:ascii="Arial" w:hAnsi="Arial" w:cs="Arial"/>
          <w:color w:val="000000"/>
          <w:sz w:val="20"/>
          <w:szCs w:val="20"/>
        </w:rPr>
      </w:pPr>
      <w:r w:rsidRPr="009D1AD4">
        <w:rPr>
          <w:rFonts w:ascii="Arial" w:hAnsi="Arial" w:cs="Arial"/>
          <w:color w:val="000000"/>
          <w:sz w:val="20"/>
          <w:szCs w:val="20"/>
        </w:rPr>
        <w:t xml:space="preserve">Employers are not required to electronically file their returns with the IRS unless they are required to file at least 250 returns during the calendar year. The IRS uses a non-aggregation rule in applying this 250-return threshold. Essentially, it uses a separate total for each type of information return filed </w:t>
      </w:r>
      <w:r w:rsidRPr="009D1AD4">
        <w:rPr>
          <w:rFonts w:ascii="Arial" w:hAnsi="Arial" w:cs="Arial"/>
          <w:color w:val="000000"/>
          <w:sz w:val="20"/>
          <w:szCs w:val="20"/>
        </w:rPr>
        <w:lastRenderedPageBreak/>
        <w:t>and each type of corrected information return filed. This means that if an employer files 150 Forms W-2 and 100 Forms 1095-C this year, then the employer is not required to file electronically.</w:t>
      </w:r>
    </w:p>
    <w:p w14:paraId="3C4C7180" w14:textId="77777777" w:rsidR="00354D6A" w:rsidRDefault="00354D6A" w:rsidP="002152AC">
      <w:pPr>
        <w:spacing w:after="200"/>
        <w:ind w:left="360"/>
        <w:rPr>
          <w:rFonts w:ascii="Arial" w:hAnsi="Arial" w:cs="Arial"/>
          <w:color w:val="000000"/>
          <w:sz w:val="20"/>
          <w:szCs w:val="20"/>
        </w:rPr>
      </w:pPr>
      <w:r w:rsidRPr="009D1AD4">
        <w:rPr>
          <w:rFonts w:ascii="Arial" w:hAnsi="Arial" w:cs="Arial"/>
          <w:color w:val="000000"/>
          <w:sz w:val="20"/>
          <w:szCs w:val="20"/>
        </w:rPr>
        <w:t>Under current regulations, the IRS can waive the electronic filing requirement if an employer requests a waiver and demonstrates hardship related to the cost of electronic filing.</w:t>
      </w:r>
    </w:p>
    <w:p w14:paraId="4E94EE4F" w14:textId="77777777" w:rsidR="00354D6A" w:rsidRDefault="00354D6A" w:rsidP="002152AC">
      <w:pPr>
        <w:spacing w:after="200"/>
        <w:ind w:left="360"/>
        <w:rPr>
          <w:rFonts w:ascii="Arial" w:hAnsi="Arial" w:cs="Arial"/>
          <w:b/>
          <w:bCs/>
          <w:color w:val="000000"/>
          <w:sz w:val="20"/>
          <w:szCs w:val="20"/>
        </w:rPr>
      </w:pPr>
      <w:r w:rsidRPr="009D1AD4">
        <w:rPr>
          <w:rFonts w:ascii="Arial" w:hAnsi="Arial" w:cs="Arial"/>
          <w:b/>
          <w:bCs/>
          <w:color w:val="000000"/>
          <w:sz w:val="20"/>
          <w:szCs w:val="20"/>
        </w:rPr>
        <w:t>Proposed Aggregation Rule</w:t>
      </w:r>
    </w:p>
    <w:p w14:paraId="58177432" w14:textId="77777777" w:rsidR="00354D6A" w:rsidRDefault="00354D6A" w:rsidP="002152AC">
      <w:pPr>
        <w:spacing w:after="200"/>
        <w:ind w:left="360"/>
        <w:rPr>
          <w:rFonts w:ascii="Arial" w:hAnsi="Arial" w:cs="Arial"/>
          <w:color w:val="000000"/>
          <w:sz w:val="20"/>
          <w:szCs w:val="20"/>
        </w:rPr>
      </w:pPr>
      <w:r w:rsidRPr="009D1AD4">
        <w:rPr>
          <w:rFonts w:ascii="Arial" w:hAnsi="Arial" w:cs="Arial"/>
          <w:color w:val="000000"/>
          <w:sz w:val="20"/>
          <w:szCs w:val="20"/>
        </w:rPr>
        <w:t>Under the proposed rule, the IRS would determine whether an employer meets the 250-return threshold by aggregating its information returns. Using the example above, under the proposed rule, the employer would meet the 250-return threshold and would be required to electronically file its information returns.</w:t>
      </w:r>
    </w:p>
    <w:p w14:paraId="01B0D473" w14:textId="77777777" w:rsidR="00354D6A" w:rsidRPr="009D1AD4" w:rsidRDefault="00354D6A" w:rsidP="002152AC">
      <w:pPr>
        <w:spacing w:after="200"/>
        <w:ind w:left="360"/>
        <w:rPr>
          <w:rFonts w:ascii="Arial" w:hAnsi="Arial" w:cs="Arial"/>
          <w:color w:val="000000"/>
          <w:sz w:val="20"/>
          <w:szCs w:val="20"/>
        </w:rPr>
      </w:pPr>
      <w:r w:rsidRPr="009D1AD4">
        <w:rPr>
          <w:rFonts w:ascii="Arial" w:hAnsi="Arial" w:cs="Arial"/>
          <w:color w:val="000000"/>
          <w:sz w:val="20"/>
          <w:szCs w:val="20"/>
        </w:rPr>
        <w:t>Corrected returns would not be included in the calculation of whether an employer meets the 250-return threshold. However, the proposed rule would require an employer to electronically file its corrected returns if the original returns were electronically filed.</w:t>
      </w:r>
    </w:p>
    <w:p w14:paraId="575B7D5C" w14:textId="6C4BFCF7" w:rsidR="00354D6A" w:rsidRDefault="00354D6A" w:rsidP="004C6CEA">
      <w:pPr>
        <w:spacing w:after="200"/>
        <w:rPr>
          <w:rFonts w:ascii="Arial" w:hAnsi="Arial" w:cs="Arial"/>
          <w:sz w:val="20"/>
          <w:szCs w:val="20"/>
        </w:rPr>
      </w:pPr>
    </w:p>
    <w:p w14:paraId="2154AB77" w14:textId="77777777" w:rsidR="00354D6A" w:rsidRPr="009D1AD4" w:rsidRDefault="00354D6A" w:rsidP="004C6CEA">
      <w:pPr>
        <w:spacing w:after="200"/>
        <w:rPr>
          <w:rFonts w:ascii="Arial" w:hAnsi="Arial" w:cs="Arial"/>
          <w:bCs/>
          <w:sz w:val="20"/>
          <w:szCs w:val="20"/>
        </w:rPr>
      </w:pPr>
      <w:r w:rsidRPr="00C5063D">
        <w:rPr>
          <w:rFonts w:ascii="Arial" w:hAnsi="Arial" w:cs="Arial"/>
          <w:b/>
          <w:bCs/>
          <w:color w:val="001BBA"/>
          <w:sz w:val="22"/>
          <w:szCs w:val="22"/>
        </w:rPr>
        <w:t>Question:</w:t>
      </w:r>
      <w:r w:rsidRPr="009D1AD4">
        <w:rPr>
          <w:rFonts w:ascii="Arial" w:hAnsi="Arial" w:cs="Arial"/>
          <w:b/>
          <w:bCs/>
          <w:sz w:val="20"/>
          <w:szCs w:val="20"/>
        </w:rPr>
        <w:t xml:space="preserve"> </w:t>
      </w:r>
      <w:r w:rsidRPr="009D1AD4">
        <w:rPr>
          <w:rFonts w:ascii="Arial" w:hAnsi="Arial" w:cs="Arial"/>
          <w:bCs/>
          <w:sz w:val="20"/>
          <w:szCs w:val="20"/>
        </w:rPr>
        <w:t>Can an employer exclude children from coverage based on a child’s access to other coverage, employment status, or marital status?</w:t>
      </w:r>
    </w:p>
    <w:p w14:paraId="425EE2F3" w14:textId="77777777" w:rsidR="00354D6A" w:rsidRPr="009D1AD4" w:rsidRDefault="00354D6A" w:rsidP="004C6CEA">
      <w:pPr>
        <w:spacing w:after="200"/>
        <w:rPr>
          <w:rFonts w:ascii="Arial" w:hAnsi="Arial" w:cs="Arial"/>
          <w:bCs/>
          <w:sz w:val="20"/>
          <w:szCs w:val="20"/>
        </w:rPr>
      </w:pPr>
      <w:r w:rsidRPr="009D1AD4">
        <w:rPr>
          <w:rFonts w:ascii="Arial" w:hAnsi="Arial" w:cs="Arial"/>
          <w:b/>
          <w:bCs/>
          <w:sz w:val="20"/>
          <w:szCs w:val="20"/>
        </w:rPr>
        <w:t>Answer:</w:t>
      </w:r>
      <w:r w:rsidRPr="009D1AD4">
        <w:rPr>
          <w:rFonts w:ascii="Arial" w:hAnsi="Arial" w:cs="Arial"/>
          <w:bCs/>
          <w:sz w:val="20"/>
          <w:szCs w:val="20"/>
        </w:rPr>
        <w:t xml:space="preserve"> No, if a group health plan provides dependent coverage, then the plan must generally make coverage available for children until age 26. These group health plans must not define dependent, for purposes of dependent coverage, in terms other than the relationship between the child and the plan participant.</w:t>
      </w:r>
    </w:p>
    <w:p w14:paraId="1268A215" w14:textId="77777777" w:rsidR="00354D6A" w:rsidRPr="009D1AD4" w:rsidRDefault="00354D6A" w:rsidP="004C6CEA">
      <w:pPr>
        <w:spacing w:after="200"/>
        <w:rPr>
          <w:rFonts w:ascii="Arial" w:hAnsi="Arial" w:cs="Arial"/>
          <w:bCs/>
          <w:sz w:val="20"/>
          <w:szCs w:val="20"/>
        </w:rPr>
      </w:pPr>
      <w:r w:rsidRPr="009D1AD4">
        <w:rPr>
          <w:rFonts w:ascii="Arial" w:hAnsi="Arial" w:cs="Arial"/>
          <w:bCs/>
          <w:sz w:val="20"/>
          <w:szCs w:val="20"/>
        </w:rPr>
        <w:t>This means that a plan cannot use items such as a child’s access to other coverage, employment status, marital status, tax dependent status, residency, or student status to define dependent.</w:t>
      </w:r>
    </w:p>
    <w:p w14:paraId="531EC829" w14:textId="77777777" w:rsidR="00354D6A" w:rsidRPr="009D1AD4" w:rsidRDefault="00354D6A" w:rsidP="004C6CEA">
      <w:pPr>
        <w:spacing w:after="200"/>
        <w:rPr>
          <w:rFonts w:ascii="Arial" w:hAnsi="Arial" w:cs="Arial"/>
          <w:sz w:val="20"/>
          <w:szCs w:val="20"/>
        </w:rPr>
      </w:pPr>
      <w:r w:rsidRPr="009D1AD4">
        <w:rPr>
          <w:rFonts w:ascii="Arial" w:hAnsi="Arial" w:cs="Arial"/>
          <w:bCs/>
          <w:sz w:val="20"/>
          <w:szCs w:val="20"/>
        </w:rPr>
        <w:t xml:space="preserve">Also, </w:t>
      </w:r>
      <w:r w:rsidRPr="009D1AD4">
        <w:rPr>
          <w:rFonts w:ascii="Arial" w:hAnsi="Arial" w:cs="Arial"/>
          <w:sz w:val="20"/>
          <w:szCs w:val="20"/>
        </w:rPr>
        <w:t>if the employer is an applicable large employer, then it must offer coverage to its full-time employees’ dependent children to avoid penalties under the employer shared responsibility provisions.</w:t>
      </w:r>
    </w:p>
    <w:p w14:paraId="3A3477A8" w14:textId="42E449BA" w:rsidR="00354D6A" w:rsidRDefault="00354D6A" w:rsidP="004C6CEA">
      <w:pPr>
        <w:spacing w:after="200"/>
        <w:rPr>
          <w:rFonts w:ascii="Arial" w:hAnsi="Arial" w:cs="Arial"/>
          <w:sz w:val="20"/>
          <w:szCs w:val="20"/>
        </w:rPr>
      </w:pPr>
    </w:p>
    <w:p w14:paraId="57DCA0EC" w14:textId="69A3F82A" w:rsidR="00354D6A" w:rsidRPr="009D1AD4" w:rsidRDefault="00354D6A" w:rsidP="004C6CEA">
      <w:pPr>
        <w:spacing w:after="200"/>
        <w:rPr>
          <w:rFonts w:ascii="Arial" w:hAnsi="Arial" w:cs="Arial"/>
          <w:sz w:val="20"/>
          <w:szCs w:val="20"/>
        </w:rPr>
      </w:pPr>
      <w:r w:rsidRPr="00C5063D">
        <w:rPr>
          <w:rFonts w:ascii="Arial" w:hAnsi="Arial" w:cs="Arial"/>
          <w:b/>
          <w:bCs/>
          <w:color w:val="001BBA"/>
          <w:sz w:val="22"/>
          <w:szCs w:val="22"/>
        </w:rPr>
        <w:t>Question:</w:t>
      </w:r>
      <w:r w:rsidRPr="009D1AD4">
        <w:rPr>
          <w:rFonts w:ascii="Arial" w:hAnsi="Arial" w:cs="Arial"/>
          <w:b/>
          <w:sz w:val="20"/>
          <w:szCs w:val="20"/>
        </w:rPr>
        <w:t xml:space="preserve"> </w:t>
      </w:r>
      <w:r w:rsidRPr="009D1AD4">
        <w:rPr>
          <w:rFonts w:ascii="Arial" w:hAnsi="Arial" w:cs="Arial"/>
          <w:sz w:val="20"/>
          <w:szCs w:val="20"/>
        </w:rPr>
        <w:t xml:space="preserve">Under the </w:t>
      </w:r>
      <w:r w:rsidR="00CE0AA6">
        <w:rPr>
          <w:rFonts w:ascii="Arial" w:hAnsi="Arial" w:cs="Arial"/>
          <w:sz w:val="20"/>
          <w:szCs w:val="20"/>
        </w:rPr>
        <w:t xml:space="preserve">Patient Protection and </w:t>
      </w:r>
      <w:r w:rsidRPr="009D1AD4">
        <w:rPr>
          <w:rFonts w:ascii="Arial" w:hAnsi="Arial" w:cs="Arial"/>
          <w:sz w:val="20"/>
          <w:szCs w:val="20"/>
        </w:rPr>
        <w:t>Affordable Care Act (ACA), if an employer grows during the year, when must the employer offer coverage and report on coverage offered?</w:t>
      </w:r>
    </w:p>
    <w:p w14:paraId="6394A3C7" w14:textId="77777777" w:rsidR="00354D6A" w:rsidRPr="009D1AD4" w:rsidRDefault="00354D6A" w:rsidP="004C6CEA">
      <w:pPr>
        <w:spacing w:after="200"/>
        <w:rPr>
          <w:rFonts w:ascii="Arial" w:hAnsi="Arial" w:cs="Arial"/>
          <w:sz w:val="20"/>
          <w:szCs w:val="20"/>
        </w:rPr>
      </w:pPr>
      <w:r w:rsidRPr="009D1AD4">
        <w:rPr>
          <w:rFonts w:ascii="Arial" w:hAnsi="Arial" w:cs="Arial"/>
          <w:b/>
          <w:sz w:val="20"/>
          <w:szCs w:val="20"/>
        </w:rPr>
        <w:t>Answer:</w:t>
      </w:r>
      <w:r w:rsidRPr="009D1AD4">
        <w:rPr>
          <w:rFonts w:ascii="Arial" w:hAnsi="Arial" w:cs="Arial"/>
          <w:sz w:val="20"/>
          <w:szCs w:val="20"/>
        </w:rPr>
        <w:t xml:space="preserve"> The employer will need to determine its average number of full-time / full-time equivalent employees for the calendar year. Under the ACA, an employer is an applicable large employer (ALE) for a calendar year if it employed an average of at least 50 full-time or full-time equivalent employees during the prior calendar year.</w:t>
      </w:r>
    </w:p>
    <w:p w14:paraId="5AC04305" w14:textId="01B774E5" w:rsidR="00354D6A" w:rsidRPr="009D1AD4" w:rsidRDefault="00354D6A" w:rsidP="004C6CEA">
      <w:pPr>
        <w:spacing w:after="200"/>
        <w:rPr>
          <w:rFonts w:ascii="Arial" w:hAnsi="Arial" w:cs="Arial"/>
          <w:sz w:val="20"/>
          <w:szCs w:val="20"/>
        </w:rPr>
      </w:pPr>
      <w:r w:rsidRPr="009D1AD4">
        <w:rPr>
          <w:rFonts w:ascii="Arial" w:hAnsi="Arial" w:cs="Arial"/>
          <w:sz w:val="20"/>
          <w:szCs w:val="20"/>
        </w:rPr>
        <w:t>The ALE</w:t>
      </w:r>
      <w:r w:rsidR="00055049">
        <w:rPr>
          <w:rFonts w:ascii="Arial" w:hAnsi="Arial" w:cs="Arial"/>
          <w:sz w:val="20"/>
          <w:szCs w:val="20"/>
        </w:rPr>
        <w:t xml:space="preserve"> </w:t>
      </w:r>
      <w:r w:rsidRPr="009D1AD4">
        <w:rPr>
          <w:rFonts w:ascii="Arial" w:hAnsi="Arial" w:cs="Arial"/>
          <w:sz w:val="20"/>
          <w:szCs w:val="20"/>
        </w:rPr>
        <w:t xml:space="preserve">determination is a </w:t>
      </w:r>
      <w:r w:rsidR="002152AC">
        <w:rPr>
          <w:rFonts w:ascii="Arial" w:hAnsi="Arial" w:cs="Arial"/>
          <w:sz w:val="20"/>
          <w:szCs w:val="20"/>
        </w:rPr>
        <w:t>three</w:t>
      </w:r>
      <w:r w:rsidRPr="009D1AD4">
        <w:rPr>
          <w:rFonts w:ascii="Arial" w:hAnsi="Arial" w:cs="Arial"/>
          <w:sz w:val="20"/>
          <w:szCs w:val="20"/>
        </w:rPr>
        <w:t>-year cycle. For example, an employer's size, calculated at the conclusion of 2018 determines its obligations for 2019, which it</w:t>
      </w:r>
      <w:r w:rsidR="00055049">
        <w:rPr>
          <w:rFonts w:ascii="Arial" w:hAnsi="Arial" w:cs="Arial"/>
          <w:sz w:val="20"/>
          <w:szCs w:val="20"/>
        </w:rPr>
        <w:t xml:space="preserve"> </w:t>
      </w:r>
      <w:r w:rsidRPr="009D1AD4">
        <w:rPr>
          <w:rFonts w:ascii="Arial" w:hAnsi="Arial" w:cs="Arial"/>
          <w:sz w:val="20"/>
          <w:szCs w:val="20"/>
        </w:rPr>
        <w:t>reports on in 2020.</w:t>
      </w:r>
    </w:p>
    <w:p w14:paraId="2399EA4F" w14:textId="6BE95110" w:rsidR="00354D6A" w:rsidRPr="001204C3" w:rsidRDefault="00354D6A" w:rsidP="004C6CEA">
      <w:pPr>
        <w:spacing w:after="200"/>
        <w:rPr>
          <w:rFonts w:ascii="Arial" w:hAnsi="Arial" w:cs="Arial"/>
          <w:spacing w:val="-2"/>
          <w:sz w:val="20"/>
          <w:szCs w:val="20"/>
        </w:rPr>
      </w:pPr>
      <w:r w:rsidRPr="001204C3">
        <w:rPr>
          <w:rFonts w:ascii="Arial" w:hAnsi="Arial" w:cs="Arial"/>
          <w:spacing w:val="-2"/>
          <w:sz w:val="20"/>
          <w:szCs w:val="20"/>
        </w:rPr>
        <w:t xml:space="preserve">If 2018 is the first time that a company is an ALE, then the company will have until </w:t>
      </w:r>
      <w:r w:rsidR="002152AC" w:rsidRPr="001204C3">
        <w:rPr>
          <w:rFonts w:ascii="Arial" w:hAnsi="Arial" w:cs="Arial"/>
          <w:spacing w:val="-2"/>
          <w:sz w:val="20"/>
          <w:szCs w:val="20"/>
        </w:rPr>
        <w:t>April 1, 2019,</w:t>
      </w:r>
      <w:r w:rsidRPr="001204C3">
        <w:rPr>
          <w:rFonts w:ascii="Arial" w:hAnsi="Arial" w:cs="Arial"/>
          <w:spacing w:val="-2"/>
          <w:sz w:val="20"/>
          <w:szCs w:val="20"/>
        </w:rPr>
        <w:t xml:space="preserve"> to</w:t>
      </w:r>
      <w:r w:rsidR="00055049" w:rsidRPr="001204C3">
        <w:rPr>
          <w:rFonts w:ascii="Arial" w:hAnsi="Arial" w:cs="Arial"/>
          <w:spacing w:val="-2"/>
          <w:sz w:val="20"/>
          <w:szCs w:val="20"/>
        </w:rPr>
        <w:t xml:space="preserve"> </w:t>
      </w:r>
      <w:r w:rsidRPr="001204C3">
        <w:rPr>
          <w:rFonts w:ascii="Arial" w:hAnsi="Arial" w:cs="Arial"/>
          <w:spacing w:val="-2"/>
          <w:sz w:val="20"/>
          <w:szCs w:val="20"/>
        </w:rPr>
        <w:t>offer</w:t>
      </w:r>
      <w:r w:rsidR="00055049" w:rsidRPr="001204C3">
        <w:rPr>
          <w:rFonts w:ascii="Arial" w:hAnsi="Arial" w:cs="Arial"/>
          <w:spacing w:val="-2"/>
          <w:sz w:val="20"/>
          <w:szCs w:val="20"/>
        </w:rPr>
        <w:t xml:space="preserve"> </w:t>
      </w:r>
      <w:r w:rsidRPr="001204C3">
        <w:rPr>
          <w:rFonts w:ascii="Arial" w:hAnsi="Arial" w:cs="Arial"/>
          <w:spacing w:val="-2"/>
          <w:sz w:val="20"/>
          <w:szCs w:val="20"/>
        </w:rPr>
        <w:t>coverage. If the company has individuals who are currently full-time employees and the company</w:t>
      </w:r>
      <w:r w:rsidR="00055049" w:rsidRPr="001204C3">
        <w:rPr>
          <w:rFonts w:ascii="Arial" w:hAnsi="Arial" w:cs="Arial"/>
          <w:spacing w:val="-2"/>
          <w:sz w:val="20"/>
          <w:szCs w:val="20"/>
        </w:rPr>
        <w:t xml:space="preserve"> </w:t>
      </w:r>
      <w:r w:rsidRPr="001204C3">
        <w:rPr>
          <w:rFonts w:ascii="Arial" w:hAnsi="Arial" w:cs="Arial"/>
          <w:spacing w:val="-2"/>
          <w:sz w:val="20"/>
          <w:szCs w:val="20"/>
        </w:rPr>
        <w:t>offers a group health plan, then the company must</w:t>
      </w:r>
      <w:r w:rsidR="00055049" w:rsidRPr="001204C3">
        <w:rPr>
          <w:rFonts w:ascii="Arial" w:hAnsi="Arial" w:cs="Arial"/>
          <w:spacing w:val="-2"/>
          <w:sz w:val="20"/>
          <w:szCs w:val="20"/>
        </w:rPr>
        <w:t xml:space="preserve"> </w:t>
      </w:r>
      <w:r w:rsidRPr="001204C3">
        <w:rPr>
          <w:rFonts w:ascii="Arial" w:hAnsi="Arial" w:cs="Arial"/>
          <w:spacing w:val="-2"/>
          <w:sz w:val="20"/>
          <w:szCs w:val="20"/>
        </w:rPr>
        <w:t>offer</w:t>
      </w:r>
      <w:r w:rsidR="00055049" w:rsidRPr="001204C3">
        <w:rPr>
          <w:rFonts w:ascii="Arial" w:hAnsi="Arial" w:cs="Arial"/>
          <w:spacing w:val="-2"/>
          <w:sz w:val="20"/>
          <w:szCs w:val="20"/>
        </w:rPr>
        <w:t xml:space="preserve"> </w:t>
      </w:r>
      <w:r w:rsidRPr="001204C3">
        <w:rPr>
          <w:rFonts w:ascii="Arial" w:hAnsi="Arial" w:cs="Arial"/>
          <w:spacing w:val="-2"/>
          <w:sz w:val="20"/>
          <w:szCs w:val="20"/>
        </w:rPr>
        <w:t>coverage to those full-time employees on</w:t>
      </w:r>
      <w:r w:rsidR="00055049" w:rsidRPr="001204C3">
        <w:rPr>
          <w:rFonts w:ascii="Arial" w:hAnsi="Arial" w:cs="Arial"/>
          <w:spacing w:val="-2"/>
          <w:sz w:val="20"/>
          <w:szCs w:val="20"/>
        </w:rPr>
        <w:t xml:space="preserve"> </w:t>
      </w:r>
      <w:r w:rsidR="002152AC" w:rsidRPr="001204C3">
        <w:rPr>
          <w:rFonts w:ascii="Arial" w:hAnsi="Arial" w:cs="Arial"/>
          <w:spacing w:val="-2"/>
          <w:sz w:val="20"/>
          <w:szCs w:val="20"/>
        </w:rPr>
        <w:t>January 1, 2019</w:t>
      </w:r>
      <w:r w:rsidRPr="001204C3">
        <w:rPr>
          <w:rFonts w:ascii="Arial" w:hAnsi="Arial" w:cs="Arial"/>
          <w:spacing w:val="-2"/>
          <w:sz w:val="20"/>
          <w:szCs w:val="20"/>
        </w:rPr>
        <w:t>.</w:t>
      </w:r>
    </w:p>
    <w:p w14:paraId="4502D5C7" w14:textId="107C7A55" w:rsidR="00354D6A" w:rsidRPr="009D1AD4" w:rsidRDefault="00354D6A" w:rsidP="004C6CEA">
      <w:pPr>
        <w:spacing w:after="200"/>
        <w:rPr>
          <w:rFonts w:ascii="Arial" w:hAnsi="Arial" w:cs="Arial"/>
          <w:sz w:val="20"/>
          <w:szCs w:val="20"/>
        </w:rPr>
      </w:pPr>
      <w:r w:rsidRPr="009D1AD4">
        <w:rPr>
          <w:rFonts w:ascii="Arial" w:hAnsi="Arial" w:cs="Arial"/>
          <w:sz w:val="20"/>
          <w:szCs w:val="20"/>
        </w:rPr>
        <w:t>From our UBA Advisor “</w:t>
      </w:r>
      <w:hyperlink r:id="rId50" w:history="1">
        <w:r w:rsidRPr="002152AC">
          <w:rPr>
            <w:rStyle w:val="Hyperlink"/>
          </w:rPr>
          <w:t>The Play-or-Pay Penalty and Counting Employees Under the ACA</w:t>
        </w:r>
      </w:hyperlink>
      <w:r w:rsidRPr="009D1AD4">
        <w:rPr>
          <w:rFonts w:ascii="Arial" w:hAnsi="Arial" w:cs="Arial"/>
          <w:sz w:val="20"/>
          <w:szCs w:val="20"/>
        </w:rPr>
        <w:t>”:</w:t>
      </w:r>
    </w:p>
    <w:p w14:paraId="7DC6035A" w14:textId="77777777" w:rsidR="00354D6A" w:rsidRPr="009D1AD4" w:rsidRDefault="00354D6A" w:rsidP="002152AC">
      <w:pPr>
        <w:spacing w:after="200"/>
        <w:ind w:left="360"/>
        <w:rPr>
          <w:rFonts w:ascii="Arial" w:hAnsi="Arial" w:cs="Arial"/>
          <w:sz w:val="20"/>
          <w:szCs w:val="20"/>
        </w:rPr>
      </w:pPr>
      <w:r w:rsidRPr="009D1AD4">
        <w:rPr>
          <w:rFonts w:ascii="Arial" w:hAnsi="Arial" w:cs="Arial"/>
          <w:b/>
          <w:bCs/>
          <w:sz w:val="20"/>
          <w:szCs w:val="20"/>
        </w:rPr>
        <w:t>Q33: What happens if an employer grows during the year?</w:t>
      </w:r>
    </w:p>
    <w:p w14:paraId="0EFFBAA7" w14:textId="77777777" w:rsidR="00354D6A" w:rsidRPr="009D1AD4" w:rsidRDefault="00354D6A" w:rsidP="002152AC">
      <w:pPr>
        <w:spacing w:after="200"/>
        <w:ind w:left="360"/>
        <w:rPr>
          <w:rFonts w:ascii="Arial" w:hAnsi="Arial" w:cs="Arial"/>
          <w:sz w:val="20"/>
          <w:szCs w:val="20"/>
        </w:rPr>
      </w:pPr>
      <w:r w:rsidRPr="009D1AD4">
        <w:rPr>
          <w:rFonts w:ascii="Arial" w:hAnsi="Arial" w:cs="Arial"/>
          <w:sz w:val="20"/>
          <w:szCs w:val="20"/>
        </w:rPr>
        <w:t>A33: Large-employer status is on a calendar-year basis, based on the average number of employees during the prior calendar year. If an existing employer that was below the 50 (or 100) employee threshold grows during a calendar year, it will not have to offer coverage until the next calendar year.</w:t>
      </w:r>
    </w:p>
    <w:p w14:paraId="692228C2" w14:textId="77777777" w:rsidR="00354D6A" w:rsidRPr="009D1AD4" w:rsidRDefault="00354D6A" w:rsidP="002152AC">
      <w:pPr>
        <w:spacing w:after="200"/>
        <w:ind w:left="360"/>
        <w:rPr>
          <w:rFonts w:ascii="Arial" w:hAnsi="Arial" w:cs="Arial"/>
          <w:sz w:val="20"/>
          <w:szCs w:val="20"/>
        </w:rPr>
      </w:pPr>
      <w:r w:rsidRPr="009D1AD4">
        <w:rPr>
          <w:rFonts w:ascii="Arial" w:hAnsi="Arial" w:cs="Arial"/>
          <w:sz w:val="20"/>
          <w:szCs w:val="20"/>
        </w:rPr>
        <w:lastRenderedPageBreak/>
        <w:t>In addition, if an employer first becomes “large,” it will have until April 1 following the year in which it becomes large to offer coverage. This special rule is only available once, even if the employer moves back and forth between large and small status.</w:t>
      </w:r>
    </w:p>
    <w:p w14:paraId="4AED405B" w14:textId="2C425BF8" w:rsidR="00354D6A" w:rsidRDefault="00354D6A" w:rsidP="004C6CEA">
      <w:pPr>
        <w:spacing w:after="200"/>
        <w:rPr>
          <w:rFonts w:ascii="Arial" w:hAnsi="Arial" w:cs="Arial"/>
          <w:sz w:val="20"/>
          <w:szCs w:val="20"/>
        </w:rPr>
      </w:pPr>
    </w:p>
    <w:p w14:paraId="4D1BC6D7" w14:textId="77777777" w:rsidR="006E7881" w:rsidRPr="009D1AD4" w:rsidRDefault="006E7881" w:rsidP="004C6CEA">
      <w:pPr>
        <w:spacing w:after="200"/>
        <w:rPr>
          <w:rFonts w:ascii="Arial" w:hAnsi="Arial" w:cs="Arial"/>
          <w:sz w:val="20"/>
          <w:szCs w:val="20"/>
        </w:rPr>
      </w:pPr>
      <w:r w:rsidRPr="00C5063D">
        <w:rPr>
          <w:rFonts w:ascii="Arial" w:hAnsi="Arial" w:cs="Arial"/>
          <w:b/>
          <w:bCs/>
          <w:color w:val="001BBA"/>
          <w:sz w:val="22"/>
          <w:szCs w:val="22"/>
        </w:rPr>
        <w:t>Question:</w:t>
      </w:r>
      <w:r w:rsidRPr="009D1AD4">
        <w:rPr>
          <w:rFonts w:ascii="Arial" w:hAnsi="Arial" w:cs="Arial"/>
          <w:sz w:val="20"/>
          <w:szCs w:val="20"/>
        </w:rPr>
        <w:t xml:space="preserve"> If a group offers dependent coverage of children, then how must the coverage be structured?</w:t>
      </w:r>
    </w:p>
    <w:p w14:paraId="6FD0C711" w14:textId="77777777" w:rsidR="006E7881" w:rsidRPr="009D1AD4" w:rsidRDefault="006E7881" w:rsidP="004C6CEA">
      <w:pPr>
        <w:spacing w:after="200"/>
        <w:rPr>
          <w:rFonts w:ascii="Arial" w:hAnsi="Arial" w:cs="Arial"/>
          <w:sz w:val="20"/>
          <w:szCs w:val="20"/>
        </w:rPr>
      </w:pPr>
      <w:r w:rsidRPr="009D1AD4">
        <w:rPr>
          <w:rFonts w:ascii="Arial" w:hAnsi="Arial" w:cs="Arial"/>
          <w:b/>
          <w:sz w:val="20"/>
          <w:szCs w:val="20"/>
        </w:rPr>
        <w:t>Answer:</w:t>
      </w:r>
      <w:r w:rsidRPr="009D1AD4">
        <w:rPr>
          <w:rFonts w:ascii="Arial" w:hAnsi="Arial" w:cs="Arial"/>
          <w:sz w:val="20"/>
          <w:szCs w:val="20"/>
        </w:rPr>
        <w:t xml:space="preserve"> If a group offers dependent coverage of children, then the plan must cover children until they reach age 26.</w:t>
      </w:r>
    </w:p>
    <w:p w14:paraId="257D34B2" w14:textId="77777777" w:rsidR="006E7881" w:rsidRPr="009D1AD4" w:rsidRDefault="006E7881" w:rsidP="004C6CEA">
      <w:pPr>
        <w:spacing w:after="200"/>
        <w:rPr>
          <w:rFonts w:ascii="Arial" w:hAnsi="Arial" w:cs="Arial"/>
          <w:sz w:val="20"/>
          <w:szCs w:val="20"/>
        </w:rPr>
      </w:pPr>
      <w:r w:rsidRPr="009D1AD4">
        <w:rPr>
          <w:rFonts w:ascii="Arial" w:hAnsi="Arial" w:cs="Arial"/>
          <w:sz w:val="20"/>
          <w:szCs w:val="20"/>
        </w:rPr>
        <w:t>Also, the plan cannot define dependent (for purposes of eligibility for dependent coverage of children) in terms other than the relationship between a child and the participant. This means, for example, that a plan may not deny or restrict dependent coverage for a child who is under age 26 based on:</w:t>
      </w:r>
    </w:p>
    <w:p w14:paraId="4F5B47D0" w14:textId="77777777" w:rsidR="006E7881" w:rsidRPr="009D1AD4" w:rsidRDefault="006E7881" w:rsidP="002152AC">
      <w:pPr>
        <w:pStyle w:val="ListParagraph"/>
        <w:numPr>
          <w:ilvl w:val="0"/>
          <w:numId w:val="5"/>
        </w:numPr>
        <w:spacing w:after="120"/>
        <w:contextualSpacing w:val="0"/>
        <w:rPr>
          <w:rFonts w:ascii="Arial" w:hAnsi="Arial" w:cs="Arial"/>
          <w:sz w:val="20"/>
          <w:szCs w:val="20"/>
        </w:rPr>
      </w:pPr>
      <w:r w:rsidRPr="009D1AD4">
        <w:rPr>
          <w:rFonts w:ascii="Arial" w:hAnsi="Arial" w:cs="Arial"/>
          <w:sz w:val="20"/>
          <w:szCs w:val="20"/>
        </w:rPr>
        <w:t>the presence or absence of the child's financial dependency upon the participant or any other person;</w:t>
      </w:r>
    </w:p>
    <w:p w14:paraId="7BDEC469" w14:textId="77777777" w:rsidR="006E7881" w:rsidRPr="009D1AD4" w:rsidRDefault="006E7881" w:rsidP="002152AC">
      <w:pPr>
        <w:pStyle w:val="ListParagraph"/>
        <w:numPr>
          <w:ilvl w:val="0"/>
          <w:numId w:val="5"/>
        </w:numPr>
        <w:spacing w:after="120"/>
        <w:contextualSpacing w:val="0"/>
        <w:rPr>
          <w:rFonts w:ascii="Arial" w:hAnsi="Arial" w:cs="Arial"/>
          <w:sz w:val="20"/>
          <w:szCs w:val="20"/>
        </w:rPr>
      </w:pPr>
      <w:r w:rsidRPr="009D1AD4">
        <w:rPr>
          <w:rFonts w:ascii="Arial" w:hAnsi="Arial" w:cs="Arial"/>
          <w:sz w:val="20"/>
          <w:szCs w:val="20"/>
        </w:rPr>
        <w:t>residency with the participant or with any other person;</w:t>
      </w:r>
    </w:p>
    <w:p w14:paraId="2C21E5C9" w14:textId="77777777" w:rsidR="006E7881" w:rsidRPr="009D1AD4" w:rsidRDefault="006E7881" w:rsidP="002152AC">
      <w:pPr>
        <w:pStyle w:val="ListParagraph"/>
        <w:numPr>
          <w:ilvl w:val="0"/>
          <w:numId w:val="5"/>
        </w:numPr>
        <w:spacing w:after="120"/>
        <w:contextualSpacing w:val="0"/>
        <w:rPr>
          <w:rFonts w:ascii="Arial" w:hAnsi="Arial" w:cs="Arial"/>
          <w:sz w:val="20"/>
          <w:szCs w:val="20"/>
        </w:rPr>
      </w:pPr>
      <w:r w:rsidRPr="009D1AD4">
        <w:rPr>
          <w:rFonts w:ascii="Arial" w:hAnsi="Arial" w:cs="Arial"/>
          <w:sz w:val="20"/>
          <w:szCs w:val="20"/>
        </w:rPr>
        <w:t>whether the child lives or works in a network service area;</w:t>
      </w:r>
    </w:p>
    <w:p w14:paraId="2B790A64" w14:textId="77777777" w:rsidR="006E7881" w:rsidRPr="009D1AD4" w:rsidRDefault="006E7881" w:rsidP="002152AC">
      <w:pPr>
        <w:pStyle w:val="ListParagraph"/>
        <w:numPr>
          <w:ilvl w:val="0"/>
          <w:numId w:val="5"/>
        </w:numPr>
        <w:spacing w:after="120"/>
        <w:contextualSpacing w:val="0"/>
        <w:rPr>
          <w:rFonts w:ascii="Arial" w:hAnsi="Arial" w:cs="Arial"/>
          <w:sz w:val="20"/>
          <w:szCs w:val="20"/>
        </w:rPr>
      </w:pPr>
      <w:r w:rsidRPr="009D1AD4">
        <w:rPr>
          <w:rFonts w:ascii="Arial" w:hAnsi="Arial" w:cs="Arial"/>
          <w:sz w:val="20"/>
          <w:szCs w:val="20"/>
        </w:rPr>
        <w:t>marital status;</w:t>
      </w:r>
    </w:p>
    <w:p w14:paraId="5D9064E9" w14:textId="77777777" w:rsidR="006E7881" w:rsidRPr="009D1AD4" w:rsidRDefault="006E7881" w:rsidP="002152AC">
      <w:pPr>
        <w:pStyle w:val="ListParagraph"/>
        <w:numPr>
          <w:ilvl w:val="0"/>
          <w:numId w:val="5"/>
        </w:numPr>
        <w:spacing w:after="120"/>
        <w:contextualSpacing w:val="0"/>
        <w:rPr>
          <w:rFonts w:ascii="Arial" w:hAnsi="Arial" w:cs="Arial"/>
          <w:sz w:val="20"/>
          <w:szCs w:val="20"/>
        </w:rPr>
      </w:pPr>
      <w:r w:rsidRPr="009D1AD4">
        <w:rPr>
          <w:rFonts w:ascii="Arial" w:hAnsi="Arial" w:cs="Arial"/>
          <w:sz w:val="20"/>
          <w:szCs w:val="20"/>
        </w:rPr>
        <w:t>student status;</w:t>
      </w:r>
    </w:p>
    <w:p w14:paraId="077C1C89" w14:textId="77777777" w:rsidR="006E7881" w:rsidRPr="009D1AD4" w:rsidRDefault="006E7881" w:rsidP="002152AC">
      <w:pPr>
        <w:pStyle w:val="ListParagraph"/>
        <w:numPr>
          <w:ilvl w:val="0"/>
          <w:numId w:val="5"/>
        </w:numPr>
        <w:spacing w:after="120"/>
        <w:contextualSpacing w:val="0"/>
        <w:rPr>
          <w:rFonts w:ascii="Arial" w:hAnsi="Arial" w:cs="Arial"/>
          <w:sz w:val="20"/>
          <w:szCs w:val="20"/>
        </w:rPr>
      </w:pPr>
      <w:r w:rsidRPr="009D1AD4">
        <w:rPr>
          <w:rFonts w:ascii="Arial" w:hAnsi="Arial" w:cs="Arial"/>
          <w:sz w:val="20"/>
          <w:szCs w:val="20"/>
        </w:rPr>
        <w:t>employment;</w:t>
      </w:r>
    </w:p>
    <w:p w14:paraId="3F5F57BC" w14:textId="77777777" w:rsidR="006E7881" w:rsidRPr="009D1AD4" w:rsidRDefault="006E7881" w:rsidP="002152AC">
      <w:pPr>
        <w:pStyle w:val="ListParagraph"/>
        <w:numPr>
          <w:ilvl w:val="0"/>
          <w:numId w:val="5"/>
        </w:numPr>
        <w:spacing w:after="120"/>
        <w:contextualSpacing w:val="0"/>
        <w:rPr>
          <w:rFonts w:ascii="Arial" w:hAnsi="Arial" w:cs="Arial"/>
          <w:sz w:val="20"/>
          <w:szCs w:val="20"/>
        </w:rPr>
      </w:pPr>
      <w:r w:rsidRPr="009D1AD4">
        <w:rPr>
          <w:rFonts w:ascii="Arial" w:hAnsi="Arial" w:cs="Arial"/>
          <w:sz w:val="20"/>
          <w:szCs w:val="20"/>
        </w:rPr>
        <w:t>eligibility for other coverage; or</w:t>
      </w:r>
    </w:p>
    <w:p w14:paraId="47B5A854" w14:textId="77777777" w:rsidR="006E7881" w:rsidRPr="009D1AD4" w:rsidRDefault="006E7881" w:rsidP="004C6CEA">
      <w:pPr>
        <w:pStyle w:val="ListParagraph"/>
        <w:numPr>
          <w:ilvl w:val="0"/>
          <w:numId w:val="5"/>
        </w:numPr>
        <w:spacing w:after="200"/>
        <w:contextualSpacing w:val="0"/>
        <w:rPr>
          <w:rFonts w:ascii="Arial" w:hAnsi="Arial" w:cs="Arial"/>
          <w:sz w:val="20"/>
          <w:szCs w:val="20"/>
        </w:rPr>
      </w:pPr>
      <w:r w:rsidRPr="009D1AD4">
        <w:rPr>
          <w:rFonts w:ascii="Arial" w:hAnsi="Arial" w:cs="Arial"/>
          <w:sz w:val="20"/>
          <w:szCs w:val="20"/>
        </w:rPr>
        <w:t>any combination of those factors.</w:t>
      </w:r>
    </w:p>
    <w:p w14:paraId="7DEB9DDB" w14:textId="208549CF" w:rsidR="006E7881" w:rsidRDefault="006E7881" w:rsidP="004C6CEA">
      <w:pPr>
        <w:spacing w:after="200"/>
        <w:rPr>
          <w:rFonts w:ascii="Arial" w:hAnsi="Arial" w:cs="Arial"/>
          <w:sz w:val="20"/>
          <w:szCs w:val="20"/>
        </w:rPr>
      </w:pPr>
      <w:r w:rsidRPr="009D1AD4">
        <w:rPr>
          <w:rFonts w:ascii="Arial" w:hAnsi="Arial" w:cs="Arial"/>
          <w:sz w:val="20"/>
          <w:szCs w:val="20"/>
        </w:rPr>
        <w:t>Last, the coverage cannot vary based on age. For example, a plan cannot have a premium surcharge for children who are age 18 through 25.</w:t>
      </w:r>
    </w:p>
    <w:p w14:paraId="346D5DE5" w14:textId="77777777" w:rsidR="004C6CEA" w:rsidRPr="009D1AD4" w:rsidRDefault="004C6CEA" w:rsidP="004C6CEA">
      <w:pPr>
        <w:spacing w:after="200"/>
        <w:rPr>
          <w:rFonts w:ascii="Arial" w:hAnsi="Arial" w:cs="Arial"/>
          <w:sz w:val="20"/>
          <w:szCs w:val="20"/>
        </w:rPr>
      </w:pPr>
    </w:p>
    <w:p w14:paraId="7B239C98" w14:textId="77777777" w:rsidR="004C6CEA" w:rsidRPr="009D1AD4" w:rsidRDefault="004C6CEA" w:rsidP="004C6CEA">
      <w:pPr>
        <w:spacing w:after="200"/>
        <w:rPr>
          <w:rFonts w:ascii="Arial" w:hAnsi="Arial" w:cs="Arial"/>
          <w:sz w:val="20"/>
          <w:szCs w:val="20"/>
        </w:rPr>
      </w:pPr>
      <w:r w:rsidRPr="00C5063D">
        <w:rPr>
          <w:rFonts w:ascii="Arial" w:hAnsi="Arial" w:cs="Arial"/>
          <w:b/>
          <w:bCs/>
          <w:color w:val="001BBA"/>
          <w:sz w:val="22"/>
          <w:szCs w:val="22"/>
        </w:rPr>
        <w:t>Question:</w:t>
      </w:r>
      <w:r w:rsidRPr="009D1AD4">
        <w:rPr>
          <w:rFonts w:ascii="Arial" w:hAnsi="Arial" w:cs="Arial"/>
          <w:b/>
          <w:sz w:val="20"/>
          <w:szCs w:val="20"/>
        </w:rPr>
        <w:t xml:space="preserve"> </w:t>
      </w:r>
      <w:r w:rsidRPr="009D1AD4">
        <w:rPr>
          <w:rFonts w:ascii="Arial" w:hAnsi="Arial" w:cs="Arial"/>
          <w:sz w:val="20"/>
          <w:szCs w:val="20"/>
        </w:rPr>
        <w:t>When the plan changes, when should I give notice to participants?</w:t>
      </w:r>
    </w:p>
    <w:p w14:paraId="2351ED5C" w14:textId="77777777" w:rsidR="004C6CEA" w:rsidRPr="009D1AD4" w:rsidRDefault="004C6CEA" w:rsidP="004C6CEA">
      <w:pPr>
        <w:spacing w:after="200"/>
        <w:rPr>
          <w:rFonts w:ascii="Arial" w:hAnsi="Arial" w:cs="Arial"/>
          <w:sz w:val="20"/>
          <w:szCs w:val="20"/>
        </w:rPr>
      </w:pPr>
      <w:r w:rsidRPr="009D1AD4">
        <w:rPr>
          <w:rFonts w:ascii="Arial" w:hAnsi="Arial" w:cs="Arial"/>
          <w:b/>
          <w:sz w:val="20"/>
          <w:szCs w:val="20"/>
        </w:rPr>
        <w:t>Answer:</w:t>
      </w:r>
      <w:r w:rsidRPr="009D1AD4">
        <w:rPr>
          <w:rFonts w:ascii="Arial" w:hAnsi="Arial" w:cs="Arial"/>
          <w:sz w:val="20"/>
          <w:szCs w:val="20"/>
        </w:rPr>
        <w:t xml:space="preserve"> Depending on the change that is made, an employer must provide notice within </w:t>
      </w:r>
      <w:proofErr w:type="gramStart"/>
      <w:r w:rsidRPr="009D1AD4">
        <w:rPr>
          <w:rFonts w:ascii="Arial" w:hAnsi="Arial" w:cs="Arial"/>
          <w:sz w:val="20"/>
          <w:szCs w:val="20"/>
        </w:rPr>
        <w:t>one of three time</w:t>
      </w:r>
      <w:proofErr w:type="gramEnd"/>
      <w:r w:rsidRPr="009D1AD4">
        <w:rPr>
          <w:rFonts w:ascii="Arial" w:hAnsi="Arial" w:cs="Arial"/>
          <w:sz w:val="20"/>
          <w:szCs w:val="20"/>
        </w:rPr>
        <w:t xml:space="preserve"> frames:</w:t>
      </w:r>
    </w:p>
    <w:p w14:paraId="70DAD82D" w14:textId="77777777" w:rsidR="004C6CEA" w:rsidRPr="009D1AD4" w:rsidRDefault="004C6CEA" w:rsidP="004C6CEA">
      <w:pPr>
        <w:numPr>
          <w:ilvl w:val="0"/>
          <w:numId w:val="9"/>
        </w:numPr>
        <w:spacing w:after="200"/>
        <w:rPr>
          <w:rFonts w:ascii="Arial" w:hAnsi="Arial" w:cs="Arial"/>
          <w:sz w:val="20"/>
          <w:szCs w:val="20"/>
        </w:rPr>
      </w:pPr>
      <w:r w:rsidRPr="009D1AD4">
        <w:rPr>
          <w:rFonts w:ascii="Arial" w:hAnsi="Arial" w:cs="Arial"/>
          <w:sz w:val="20"/>
          <w:szCs w:val="20"/>
        </w:rPr>
        <w:t>60 days prior to the change</w:t>
      </w:r>
    </w:p>
    <w:p w14:paraId="16A42026" w14:textId="77777777" w:rsidR="004C6CEA" w:rsidRPr="009D1AD4" w:rsidRDefault="004C6CEA" w:rsidP="004C6CEA">
      <w:pPr>
        <w:numPr>
          <w:ilvl w:val="0"/>
          <w:numId w:val="9"/>
        </w:numPr>
        <w:spacing w:after="200"/>
        <w:rPr>
          <w:rFonts w:ascii="Arial" w:hAnsi="Arial" w:cs="Arial"/>
          <w:sz w:val="20"/>
          <w:szCs w:val="20"/>
        </w:rPr>
      </w:pPr>
      <w:r w:rsidRPr="009D1AD4">
        <w:rPr>
          <w:rFonts w:ascii="Arial" w:hAnsi="Arial" w:cs="Arial"/>
          <w:sz w:val="20"/>
          <w:szCs w:val="20"/>
        </w:rPr>
        <w:t>No later than 60 days after the change (or, within 60 days of the change)</w:t>
      </w:r>
    </w:p>
    <w:p w14:paraId="31721790" w14:textId="77777777" w:rsidR="004C6CEA" w:rsidRPr="009D1AD4" w:rsidRDefault="004C6CEA" w:rsidP="004C6CEA">
      <w:pPr>
        <w:numPr>
          <w:ilvl w:val="0"/>
          <w:numId w:val="9"/>
        </w:numPr>
        <w:spacing w:after="200"/>
        <w:rPr>
          <w:rFonts w:ascii="Arial" w:hAnsi="Arial" w:cs="Arial"/>
          <w:sz w:val="20"/>
          <w:szCs w:val="20"/>
        </w:rPr>
      </w:pPr>
      <w:r w:rsidRPr="009D1AD4">
        <w:rPr>
          <w:rFonts w:ascii="Arial" w:hAnsi="Arial" w:cs="Arial"/>
          <w:sz w:val="20"/>
          <w:szCs w:val="20"/>
        </w:rPr>
        <w:t>Within 210 days after the end of the plan year</w:t>
      </w:r>
    </w:p>
    <w:p w14:paraId="4A15C7BA" w14:textId="6986D1F2" w:rsidR="004C6CEA" w:rsidRPr="009D1AD4" w:rsidRDefault="004C6CEA" w:rsidP="004C6CEA">
      <w:pPr>
        <w:spacing w:after="200"/>
        <w:rPr>
          <w:rFonts w:ascii="Arial" w:hAnsi="Arial" w:cs="Arial"/>
          <w:sz w:val="20"/>
          <w:szCs w:val="20"/>
        </w:rPr>
      </w:pPr>
      <w:r w:rsidRPr="009D1AD4">
        <w:rPr>
          <w:rFonts w:ascii="Arial" w:hAnsi="Arial" w:cs="Arial"/>
          <w:sz w:val="20"/>
          <w:szCs w:val="20"/>
        </w:rPr>
        <w:t>For changes to the summary plan description (SPD) that are a material reduction in covered services or benefits, notice is</w:t>
      </w:r>
      <w:r w:rsidR="00055049">
        <w:rPr>
          <w:rFonts w:ascii="Arial" w:hAnsi="Arial" w:cs="Arial"/>
          <w:sz w:val="20"/>
          <w:szCs w:val="20"/>
        </w:rPr>
        <w:t xml:space="preserve"> </w:t>
      </w:r>
      <w:r w:rsidRPr="009D1AD4">
        <w:rPr>
          <w:rFonts w:ascii="Arial" w:hAnsi="Arial" w:cs="Arial"/>
          <w:sz w:val="20"/>
          <w:szCs w:val="20"/>
        </w:rPr>
        <w:t>required</w:t>
      </w:r>
      <w:r w:rsidR="00055049">
        <w:rPr>
          <w:rFonts w:ascii="Arial" w:hAnsi="Arial" w:cs="Arial"/>
          <w:sz w:val="20"/>
          <w:szCs w:val="20"/>
        </w:rPr>
        <w:t xml:space="preserve"> </w:t>
      </w:r>
      <w:r w:rsidRPr="009D1AD4">
        <w:rPr>
          <w:rFonts w:ascii="Arial" w:hAnsi="Arial" w:cs="Arial"/>
          <w:sz w:val="20"/>
          <w:szCs w:val="20"/>
        </w:rPr>
        <w:t>within 60 days of adoption of the material reduction in group health plan services or benefits. For example, a decrease in employer contribution would be a material reduction in covered services or benefits so notice should be provided within 60 days of the change in employer contribution. As a best practice, an employer should give advance notice of the change. For practical purposes, employees</w:t>
      </w:r>
      <w:r w:rsidR="00055049">
        <w:rPr>
          <w:rFonts w:ascii="Arial" w:hAnsi="Arial" w:cs="Arial"/>
          <w:sz w:val="20"/>
          <w:szCs w:val="20"/>
        </w:rPr>
        <w:t xml:space="preserve"> </w:t>
      </w:r>
      <w:r w:rsidRPr="009D1AD4">
        <w:rPr>
          <w:rFonts w:ascii="Arial" w:hAnsi="Arial" w:cs="Arial"/>
          <w:sz w:val="20"/>
          <w:szCs w:val="20"/>
        </w:rPr>
        <w:t>should</w:t>
      </w:r>
      <w:r w:rsidR="00055049">
        <w:rPr>
          <w:rFonts w:ascii="Arial" w:hAnsi="Arial" w:cs="Arial"/>
          <w:sz w:val="20"/>
          <w:szCs w:val="20"/>
        </w:rPr>
        <w:t xml:space="preserve"> </w:t>
      </w:r>
      <w:r w:rsidRPr="009D1AD4">
        <w:rPr>
          <w:rFonts w:ascii="Arial" w:hAnsi="Arial" w:cs="Arial"/>
          <w:sz w:val="20"/>
          <w:szCs w:val="20"/>
        </w:rPr>
        <w:t>be told prior to the first increased withholding.</w:t>
      </w:r>
    </w:p>
    <w:p w14:paraId="3CD7E7FB" w14:textId="77777777" w:rsidR="004C6CEA" w:rsidRPr="001204C3" w:rsidRDefault="004C6CEA" w:rsidP="004C6CEA">
      <w:pPr>
        <w:spacing w:after="200"/>
        <w:rPr>
          <w:rFonts w:ascii="Arial" w:hAnsi="Arial" w:cs="Arial"/>
          <w:spacing w:val="-2"/>
          <w:sz w:val="20"/>
          <w:szCs w:val="20"/>
        </w:rPr>
      </w:pPr>
      <w:r w:rsidRPr="001204C3">
        <w:rPr>
          <w:rFonts w:ascii="Arial" w:hAnsi="Arial" w:cs="Arial"/>
          <w:spacing w:val="-2"/>
          <w:sz w:val="20"/>
          <w:szCs w:val="20"/>
        </w:rPr>
        <w:t>If a plan makes a material modification in any of the plan terms that would affect the content of the Summary of Benefits and Coverage (SBC) (that is not reflected in the most recently provided SBC), then notice must be provided no later than 60 days prior to the date when the modification will become effective.</w:t>
      </w:r>
    </w:p>
    <w:p w14:paraId="7A847B3C" w14:textId="77777777" w:rsidR="004C6CEA" w:rsidRPr="009D1AD4" w:rsidRDefault="004C6CEA" w:rsidP="004C6CEA">
      <w:pPr>
        <w:spacing w:after="200"/>
        <w:rPr>
          <w:rFonts w:ascii="Arial" w:hAnsi="Arial" w:cs="Arial"/>
          <w:sz w:val="20"/>
          <w:szCs w:val="20"/>
        </w:rPr>
      </w:pPr>
      <w:r w:rsidRPr="009D1AD4">
        <w:rPr>
          <w:rFonts w:ascii="Arial" w:hAnsi="Arial" w:cs="Arial"/>
          <w:sz w:val="20"/>
          <w:szCs w:val="20"/>
        </w:rPr>
        <w:t xml:space="preserve">However, if the change is part of open enrollment, assuming you communicate the change during open enrollment, the open enrollment communication is considered acceptable notice, regardless of whether </w:t>
      </w:r>
      <w:r w:rsidRPr="009D1AD4">
        <w:rPr>
          <w:rFonts w:ascii="Arial" w:hAnsi="Arial" w:cs="Arial"/>
          <w:sz w:val="20"/>
          <w:szCs w:val="20"/>
        </w:rPr>
        <w:lastRenderedPageBreak/>
        <w:t>the SBC or the SPD, or both, are changing. Open enrollment is essentially a safe harbor for the 60-day prior/60-day post notice requirements.</w:t>
      </w:r>
    </w:p>
    <w:p w14:paraId="77E894E7" w14:textId="77777777" w:rsidR="004C6CEA" w:rsidRPr="009D1AD4" w:rsidRDefault="004C6CEA" w:rsidP="004C6CEA">
      <w:pPr>
        <w:spacing w:after="200"/>
        <w:rPr>
          <w:rFonts w:ascii="Arial" w:hAnsi="Arial" w:cs="Arial"/>
          <w:sz w:val="20"/>
          <w:szCs w:val="20"/>
        </w:rPr>
      </w:pPr>
      <w:r w:rsidRPr="009D1AD4">
        <w:rPr>
          <w:rFonts w:ascii="Arial" w:hAnsi="Arial" w:cs="Arial"/>
          <w:sz w:val="20"/>
          <w:szCs w:val="20"/>
        </w:rPr>
        <w:t>Finally, changes that do not require more immediate notifications, because they do not affect the SBC and are not a material reduction in benefits, must be communicated through a summary of material modifications or an updated summary plan description within 210 days after the end of the plan year.</w:t>
      </w:r>
    </w:p>
    <w:p w14:paraId="08CEF710" w14:textId="77777777" w:rsidR="006E7881" w:rsidRDefault="006E7881" w:rsidP="004C6CEA">
      <w:pPr>
        <w:spacing w:after="200"/>
        <w:rPr>
          <w:rFonts w:ascii="Arial" w:hAnsi="Arial" w:cs="Arial"/>
          <w:sz w:val="20"/>
          <w:szCs w:val="20"/>
        </w:rPr>
      </w:pPr>
    </w:p>
    <w:tbl>
      <w:tblPr>
        <w:tblW w:w="9360" w:type="dxa"/>
        <w:shd w:val="clear" w:color="auto" w:fill="001BBA"/>
        <w:tblCellMar>
          <w:top w:w="86" w:type="dxa"/>
          <w:left w:w="115" w:type="dxa"/>
          <w:bottom w:w="86" w:type="dxa"/>
          <w:right w:w="115" w:type="dxa"/>
        </w:tblCellMar>
        <w:tblLook w:val="01E0" w:firstRow="1" w:lastRow="1" w:firstColumn="1" w:lastColumn="1" w:noHBand="0" w:noVBand="0"/>
      </w:tblPr>
      <w:tblGrid>
        <w:gridCol w:w="9360"/>
      </w:tblGrid>
      <w:tr w:rsidR="00FE74CA" w:rsidRPr="00C04F07" w14:paraId="09E94D26" w14:textId="77777777" w:rsidTr="00A14E50">
        <w:trPr>
          <w:trHeight w:val="144"/>
        </w:trPr>
        <w:tc>
          <w:tcPr>
            <w:tcW w:w="9360" w:type="dxa"/>
            <w:shd w:val="clear" w:color="auto" w:fill="001BBA"/>
            <w:vAlign w:val="center"/>
          </w:tcPr>
          <w:p w14:paraId="3B3F63ED" w14:textId="6AAD7E00" w:rsidR="00FE74CA" w:rsidRPr="00C04F07" w:rsidRDefault="00FE74CA" w:rsidP="00A14E50">
            <w:pPr>
              <w:pStyle w:val="Heading2"/>
              <w:rPr>
                <w:i w:val="0"/>
                <w:iCs/>
                <w:color w:val="auto"/>
              </w:rPr>
            </w:pPr>
            <w:bookmarkStart w:id="18" w:name="_Toc12890040"/>
            <w:bookmarkStart w:id="19" w:name="_Toc12890156"/>
            <w:bookmarkStart w:id="20" w:name="_Toc12890537"/>
            <w:r>
              <w:rPr>
                <w:i w:val="0"/>
                <w:iCs/>
                <w:color w:val="auto"/>
                <w:szCs w:val="22"/>
              </w:rPr>
              <w:t>General Compliance</w:t>
            </w:r>
            <w:bookmarkEnd w:id="18"/>
            <w:bookmarkEnd w:id="19"/>
            <w:bookmarkEnd w:id="20"/>
          </w:p>
        </w:tc>
      </w:tr>
    </w:tbl>
    <w:p w14:paraId="3D281FF4" w14:textId="77777777" w:rsidR="00A703EE" w:rsidRPr="00535CAE" w:rsidRDefault="00A703EE" w:rsidP="001204C3">
      <w:pPr>
        <w:rPr>
          <w:rFonts w:ascii="Arial" w:hAnsi="Arial" w:cs="Arial"/>
          <w:sz w:val="20"/>
          <w:szCs w:val="20"/>
        </w:rPr>
      </w:pPr>
    </w:p>
    <w:p w14:paraId="36D7D060" w14:textId="1C58F30A" w:rsidR="009F5C2B" w:rsidRDefault="009F5C2B" w:rsidP="004C6CEA">
      <w:pPr>
        <w:pStyle w:val="ListParagraph"/>
        <w:spacing w:after="200"/>
        <w:ind w:left="0"/>
        <w:contextualSpacing w:val="0"/>
        <w:rPr>
          <w:rFonts w:ascii="Arial" w:hAnsi="Arial" w:cs="Arial"/>
          <w:bCs/>
          <w:color w:val="000000"/>
          <w:sz w:val="20"/>
          <w:szCs w:val="20"/>
        </w:rPr>
      </w:pPr>
      <w:r w:rsidRPr="00C5063D">
        <w:rPr>
          <w:rFonts w:ascii="Arial" w:eastAsia="Times New Roman" w:hAnsi="Arial" w:cs="Arial"/>
          <w:b/>
          <w:bCs/>
          <w:color w:val="001BBA"/>
          <w:sz w:val="22"/>
          <w:szCs w:val="22"/>
        </w:rPr>
        <w:t>Question:</w:t>
      </w:r>
      <w:r w:rsidR="00055049">
        <w:rPr>
          <w:rFonts w:ascii="Arial" w:hAnsi="Arial" w:cs="Arial"/>
          <w:bCs/>
          <w:color w:val="000000"/>
          <w:sz w:val="20"/>
          <w:szCs w:val="20"/>
        </w:rPr>
        <w:t xml:space="preserve"> </w:t>
      </w:r>
      <w:r w:rsidRPr="009D1AD4">
        <w:rPr>
          <w:rFonts w:ascii="Arial" w:hAnsi="Arial" w:cs="Arial"/>
          <w:bCs/>
          <w:color w:val="000000"/>
          <w:sz w:val="20"/>
          <w:szCs w:val="20"/>
        </w:rPr>
        <w:t>How should employees pay premiums if they have a domestic partner and their children on their plan? Are those premiums paid on a pre-tax or after-tax basis? In this case, the employer doesn’t contribute toward the premiums of domestic partners or their children.</w:t>
      </w:r>
    </w:p>
    <w:p w14:paraId="0F14C6E7" w14:textId="06C7B1E4" w:rsidR="009F5C2B" w:rsidRDefault="009F5C2B" w:rsidP="004C6CEA">
      <w:pPr>
        <w:pStyle w:val="ListParagraph"/>
        <w:spacing w:after="200"/>
        <w:ind w:left="0"/>
        <w:contextualSpacing w:val="0"/>
        <w:rPr>
          <w:rFonts w:ascii="Arial" w:hAnsi="Arial" w:cs="Arial"/>
          <w:bCs/>
          <w:color w:val="000000"/>
          <w:sz w:val="20"/>
          <w:szCs w:val="20"/>
        </w:rPr>
      </w:pPr>
      <w:r w:rsidRPr="009D1AD4">
        <w:rPr>
          <w:rFonts w:ascii="Arial" w:hAnsi="Arial" w:cs="Arial"/>
          <w:b/>
          <w:bCs/>
          <w:color w:val="000000"/>
          <w:sz w:val="20"/>
          <w:szCs w:val="20"/>
        </w:rPr>
        <w:t>Answer:</w:t>
      </w:r>
      <w:r w:rsidR="00055049">
        <w:rPr>
          <w:rFonts w:ascii="Arial" w:hAnsi="Arial" w:cs="Arial"/>
          <w:bCs/>
          <w:color w:val="000000"/>
          <w:sz w:val="20"/>
          <w:szCs w:val="20"/>
        </w:rPr>
        <w:t xml:space="preserve"> </w:t>
      </w:r>
      <w:r w:rsidRPr="009D1AD4">
        <w:rPr>
          <w:rFonts w:ascii="Arial" w:hAnsi="Arial" w:cs="Arial"/>
          <w:bCs/>
          <w:color w:val="000000"/>
          <w:sz w:val="20"/>
          <w:szCs w:val="20"/>
        </w:rPr>
        <w:t>An employee would pay premiums post-tax for a domestic partner and the domestic partner’s children (unless the domestic partner or the domestic partner’s children qualify as tax dependents of the</w:t>
      </w:r>
      <w:r w:rsidR="001204C3">
        <w:rPr>
          <w:rFonts w:ascii="Arial" w:hAnsi="Arial" w:cs="Arial"/>
          <w:bCs/>
          <w:color w:val="000000"/>
          <w:sz w:val="20"/>
          <w:szCs w:val="20"/>
        </w:rPr>
        <w:t> </w:t>
      </w:r>
      <w:r w:rsidRPr="009D1AD4">
        <w:rPr>
          <w:rFonts w:ascii="Arial" w:hAnsi="Arial" w:cs="Arial"/>
          <w:bCs/>
          <w:color w:val="000000"/>
          <w:sz w:val="20"/>
          <w:szCs w:val="20"/>
        </w:rPr>
        <w:t>employee).</w:t>
      </w:r>
    </w:p>
    <w:p w14:paraId="69B5CD04" w14:textId="7F908967" w:rsidR="009F5C2B" w:rsidRDefault="009F5C2B" w:rsidP="004C6CEA">
      <w:pPr>
        <w:pStyle w:val="ListParagraph"/>
        <w:spacing w:after="200"/>
        <w:ind w:left="0"/>
        <w:contextualSpacing w:val="0"/>
        <w:rPr>
          <w:rFonts w:ascii="Arial" w:hAnsi="Arial" w:cs="Arial"/>
          <w:bCs/>
          <w:color w:val="000000"/>
          <w:sz w:val="20"/>
          <w:szCs w:val="20"/>
        </w:rPr>
      </w:pPr>
      <w:r w:rsidRPr="009D1AD4">
        <w:rPr>
          <w:rFonts w:ascii="Arial" w:hAnsi="Arial" w:cs="Arial"/>
          <w:b/>
          <w:bCs/>
          <w:color w:val="000000"/>
          <w:sz w:val="20"/>
          <w:szCs w:val="20"/>
        </w:rPr>
        <w:t>Educational Information:</w:t>
      </w:r>
      <w:r w:rsidR="00055049">
        <w:rPr>
          <w:rFonts w:ascii="Arial" w:hAnsi="Arial" w:cs="Arial"/>
          <w:b/>
          <w:bCs/>
          <w:color w:val="000000"/>
          <w:sz w:val="20"/>
          <w:szCs w:val="20"/>
        </w:rPr>
        <w:t xml:space="preserve"> </w:t>
      </w:r>
      <w:r w:rsidRPr="009D1AD4">
        <w:rPr>
          <w:rFonts w:ascii="Arial" w:hAnsi="Arial" w:cs="Arial"/>
          <w:bCs/>
          <w:color w:val="000000"/>
          <w:sz w:val="20"/>
          <w:szCs w:val="20"/>
        </w:rPr>
        <w:t>An employee can only pay pre-tax under a cafeteria plan for the health coverage of a spouse, child under age 27, or</w:t>
      </w:r>
      <w:r w:rsidR="00055049">
        <w:rPr>
          <w:rFonts w:ascii="Arial" w:hAnsi="Arial" w:cs="Arial"/>
          <w:bCs/>
          <w:color w:val="000000"/>
          <w:sz w:val="20"/>
          <w:szCs w:val="20"/>
        </w:rPr>
        <w:t xml:space="preserve"> </w:t>
      </w:r>
      <w:r w:rsidRPr="009D1AD4">
        <w:rPr>
          <w:rFonts w:ascii="Arial" w:hAnsi="Arial" w:cs="Arial"/>
          <w:bCs/>
          <w:color w:val="000000"/>
          <w:sz w:val="20"/>
          <w:szCs w:val="20"/>
        </w:rPr>
        <w:t>Code §105(b)</w:t>
      </w:r>
      <w:r w:rsidR="00055049">
        <w:rPr>
          <w:rFonts w:ascii="Arial" w:hAnsi="Arial" w:cs="Arial"/>
          <w:bCs/>
          <w:color w:val="000000"/>
          <w:sz w:val="20"/>
          <w:szCs w:val="20"/>
        </w:rPr>
        <w:t xml:space="preserve"> </w:t>
      </w:r>
      <w:r w:rsidRPr="009D1AD4">
        <w:rPr>
          <w:rFonts w:ascii="Arial" w:hAnsi="Arial" w:cs="Arial"/>
          <w:bCs/>
          <w:color w:val="000000"/>
          <w:sz w:val="20"/>
          <w:szCs w:val="20"/>
        </w:rPr>
        <w:t>dependent.</w:t>
      </w:r>
    </w:p>
    <w:p w14:paraId="1B6870CC" w14:textId="490BE1BC" w:rsidR="009F5C2B" w:rsidRDefault="009F5C2B" w:rsidP="004C6CEA">
      <w:pPr>
        <w:pStyle w:val="ListParagraph"/>
        <w:spacing w:after="200"/>
        <w:ind w:left="0"/>
        <w:contextualSpacing w:val="0"/>
        <w:rPr>
          <w:rFonts w:ascii="Arial" w:hAnsi="Arial" w:cs="Arial"/>
          <w:bCs/>
          <w:color w:val="000000"/>
          <w:sz w:val="20"/>
          <w:szCs w:val="20"/>
        </w:rPr>
      </w:pPr>
      <w:r w:rsidRPr="009D1AD4">
        <w:rPr>
          <w:rFonts w:ascii="Arial" w:hAnsi="Arial" w:cs="Arial"/>
          <w:bCs/>
          <w:color w:val="000000"/>
          <w:sz w:val="20"/>
          <w:szCs w:val="20"/>
        </w:rPr>
        <w:t>A cafeteria plan could be disqualified if it permits a participant to elect coverage on a pre-tax basis for a person who falls outside these categories.</w:t>
      </w:r>
      <w:r w:rsidR="00055049">
        <w:rPr>
          <w:rFonts w:ascii="Arial" w:hAnsi="Arial" w:cs="Arial"/>
          <w:bCs/>
          <w:color w:val="000000"/>
          <w:sz w:val="20"/>
          <w:szCs w:val="20"/>
        </w:rPr>
        <w:t xml:space="preserve"> </w:t>
      </w:r>
      <w:r w:rsidRPr="009D1AD4">
        <w:rPr>
          <w:rFonts w:ascii="Arial" w:hAnsi="Arial" w:cs="Arial"/>
          <w:bCs/>
          <w:color w:val="000000"/>
          <w:sz w:val="20"/>
          <w:szCs w:val="20"/>
        </w:rPr>
        <w:t>In addition to disqualifying the</w:t>
      </w:r>
      <w:r w:rsidR="00055049">
        <w:rPr>
          <w:rFonts w:ascii="Arial" w:hAnsi="Arial" w:cs="Arial"/>
          <w:bCs/>
          <w:color w:val="000000"/>
          <w:sz w:val="20"/>
          <w:szCs w:val="20"/>
        </w:rPr>
        <w:t xml:space="preserve"> </w:t>
      </w:r>
      <w:r w:rsidRPr="009D1AD4">
        <w:rPr>
          <w:rFonts w:ascii="Arial" w:hAnsi="Arial" w:cs="Arial"/>
          <w:bCs/>
          <w:color w:val="000000"/>
          <w:sz w:val="20"/>
          <w:szCs w:val="20"/>
        </w:rPr>
        <w:t>plan, the IRS may impose on the employer employment</w:t>
      </w:r>
      <w:r w:rsidR="00055049">
        <w:rPr>
          <w:rFonts w:ascii="Arial" w:hAnsi="Arial" w:cs="Arial"/>
          <w:bCs/>
          <w:color w:val="000000"/>
          <w:sz w:val="20"/>
          <w:szCs w:val="20"/>
        </w:rPr>
        <w:t xml:space="preserve"> </w:t>
      </w:r>
      <w:r w:rsidRPr="009D1AD4">
        <w:rPr>
          <w:rFonts w:ascii="Arial" w:hAnsi="Arial" w:cs="Arial"/>
          <w:bCs/>
          <w:color w:val="000000"/>
          <w:sz w:val="20"/>
          <w:szCs w:val="20"/>
        </w:rPr>
        <w:t>tax</w:t>
      </w:r>
      <w:r w:rsidR="00055049">
        <w:rPr>
          <w:rFonts w:ascii="Arial" w:hAnsi="Arial" w:cs="Arial"/>
          <w:bCs/>
          <w:color w:val="000000"/>
          <w:sz w:val="20"/>
          <w:szCs w:val="20"/>
        </w:rPr>
        <w:t xml:space="preserve"> </w:t>
      </w:r>
      <w:r w:rsidRPr="009D1AD4">
        <w:rPr>
          <w:rFonts w:ascii="Arial" w:hAnsi="Arial" w:cs="Arial"/>
          <w:bCs/>
          <w:color w:val="000000"/>
          <w:sz w:val="20"/>
          <w:szCs w:val="20"/>
        </w:rPr>
        <w:t>withholding liability and penalties for all employee pre-tax contributions</w:t>
      </w:r>
      <w:r w:rsidR="00055049">
        <w:rPr>
          <w:rFonts w:ascii="Arial" w:hAnsi="Arial" w:cs="Arial"/>
          <w:bCs/>
          <w:color w:val="000000"/>
          <w:sz w:val="20"/>
          <w:szCs w:val="20"/>
        </w:rPr>
        <w:t xml:space="preserve"> </w:t>
      </w:r>
      <w:r w:rsidRPr="009D1AD4">
        <w:rPr>
          <w:rFonts w:ascii="Arial" w:hAnsi="Arial" w:cs="Arial"/>
          <w:bCs/>
          <w:color w:val="000000"/>
          <w:sz w:val="20"/>
          <w:szCs w:val="20"/>
        </w:rPr>
        <w:t>and elective employer contributions. Also, all employees could be required to pay employment and income</w:t>
      </w:r>
      <w:r w:rsidR="00055049">
        <w:rPr>
          <w:rFonts w:ascii="Arial" w:hAnsi="Arial" w:cs="Arial"/>
          <w:bCs/>
          <w:color w:val="000000"/>
          <w:sz w:val="20"/>
          <w:szCs w:val="20"/>
        </w:rPr>
        <w:t xml:space="preserve"> </w:t>
      </w:r>
      <w:r w:rsidRPr="009D1AD4">
        <w:rPr>
          <w:rFonts w:ascii="Arial" w:hAnsi="Arial" w:cs="Arial"/>
          <w:bCs/>
          <w:color w:val="000000"/>
          <w:sz w:val="20"/>
          <w:szCs w:val="20"/>
        </w:rPr>
        <w:t>taxes and penalties on their pre-tax</w:t>
      </w:r>
      <w:r w:rsidR="00055049">
        <w:rPr>
          <w:rFonts w:ascii="Arial" w:hAnsi="Arial" w:cs="Arial"/>
          <w:bCs/>
          <w:color w:val="000000"/>
          <w:sz w:val="20"/>
          <w:szCs w:val="20"/>
        </w:rPr>
        <w:t xml:space="preserve"> </w:t>
      </w:r>
      <w:r w:rsidRPr="009D1AD4">
        <w:rPr>
          <w:rFonts w:ascii="Arial" w:hAnsi="Arial" w:cs="Arial"/>
          <w:bCs/>
          <w:color w:val="000000"/>
          <w:sz w:val="20"/>
          <w:szCs w:val="20"/>
        </w:rPr>
        <w:t>contributions and elective employer contributions.</w:t>
      </w:r>
    </w:p>
    <w:p w14:paraId="1772BA07" w14:textId="641399A0" w:rsidR="009F5C2B" w:rsidRDefault="009F5C2B" w:rsidP="004C6CEA">
      <w:pPr>
        <w:pStyle w:val="ListParagraph"/>
        <w:spacing w:after="200"/>
        <w:ind w:left="0"/>
        <w:contextualSpacing w:val="0"/>
        <w:rPr>
          <w:rFonts w:ascii="Arial" w:hAnsi="Arial" w:cs="Arial"/>
          <w:bCs/>
          <w:color w:val="000000"/>
          <w:sz w:val="20"/>
          <w:szCs w:val="20"/>
        </w:rPr>
      </w:pPr>
      <w:r w:rsidRPr="009D1AD4">
        <w:rPr>
          <w:rFonts w:ascii="Arial" w:hAnsi="Arial" w:cs="Arial"/>
          <w:bCs/>
          <w:color w:val="000000"/>
          <w:sz w:val="20"/>
          <w:szCs w:val="20"/>
        </w:rPr>
        <w:t>When an employee pays with after-tax dollars for coverage for an individual who is neither a child under age 27 nor a</w:t>
      </w:r>
      <w:r w:rsidR="00055049">
        <w:rPr>
          <w:rFonts w:ascii="Arial" w:hAnsi="Arial" w:cs="Arial"/>
          <w:bCs/>
          <w:color w:val="000000"/>
          <w:sz w:val="20"/>
          <w:szCs w:val="20"/>
        </w:rPr>
        <w:t xml:space="preserve"> </w:t>
      </w:r>
      <w:r w:rsidRPr="009D1AD4">
        <w:rPr>
          <w:rFonts w:ascii="Arial" w:hAnsi="Arial" w:cs="Arial"/>
          <w:bCs/>
          <w:color w:val="000000"/>
          <w:sz w:val="20"/>
          <w:szCs w:val="20"/>
        </w:rPr>
        <w:t>Code §105(b)</w:t>
      </w:r>
      <w:r w:rsidR="00055049">
        <w:rPr>
          <w:rFonts w:ascii="Arial" w:hAnsi="Arial" w:cs="Arial"/>
          <w:bCs/>
          <w:color w:val="000000"/>
          <w:sz w:val="20"/>
          <w:szCs w:val="20"/>
        </w:rPr>
        <w:t xml:space="preserve"> </w:t>
      </w:r>
      <w:r w:rsidRPr="009D1AD4">
        <w:rPr>
          <w:rFonts w:ascii="Arial" w:hAnsi="Arial" w:cs="Arial"/>
          <w:bCs/>
          <w:color w:val="000000"/>
          <w:sz w:val="20"/>
          <w:szCs w:val="20"/>
        </w:rPr>
        <w:t>dependent, the coverage will not be taxable to the employee, provided that the employee pays at least the fair market value of the coverage.</w:t>
      </w:r>
      <w:r w:rsidR="00055049">
        <w:rPr>
          <w:rFonts w:ascii="Arial" w:hAnsi="Arial" w:cs="Arial"/>
          <w:bCs/>
          <w:color w:val="000000"/>
          <w:sz w:val="20"/>
          <w:szCs w:val="20"/>
        </w:rPr>
        <w:t xml:space="preserve"> </w:t>
      </w:r>
      <w:r w:rsidRPr="009D1AD4">
        <w:rPr>
          <w:rFonts w:ascii="Arial" w:hAnsi="Arial" w:cs="Arial"/>
          <w:bCs/>
          <w:color w:val="000000"/>
          <w:sz w:val="20"/>
          <w:szCs w:val="20"/>
        </w:rPr>
        <w:t>(An employee who pays less than the fair market value for the coverage is taxed on the difference.)</w:t>
      </w:r>
    </w:p>
    <w:p w14:paraId="5C76958A" w14:textId="457E0A2D" w:rsidR="009F5C2B" w:rsidRDefault="009F5C2B" w:rsidP="004C6CEA">
      <w:pPr>
        <w:pStyle w:val="ListParagraph"/>
        <w:spacing w:after="200"/>
        <w:ind w:left="0"/>
        <w:contextualSpacing w:val="0"/>
        <w:rPr>
          <w:rFonts w:ascii="Arial" w:hAnsi="Arial" w:cs="Arial"/>
          <w:bCs/>
          <w:color w:val="000000"/>
          <w:sz w:val="20"/>
          <w:szCs w:val="20"/>
        </w:rPr>
      </w:pPr>
      <w:r w:rsidRPr="009D1AD4">
        <w:rPr>
          <w:rFonts w:ascii="Arial" w:hAnsi="Arial" w:cs="Arial"/>
          <w:bCs/>
          <w:color w:val="000000"/>
          <w:sz w:val="20"/>
          <w:szCs w:val="20"/>
        </w:rPr>
        <w:t>The employee will have no</w:t>
      </w:r>
      <w:r w:rsidR="00055049">
        <w:rPr>
          <w:rFonts w:ascii="Arial" w:hAnsi="Arial" w:cs="Arial"/>
          <w:bCs/>
          <w:color w:val="000000"/>
          <w:sz w:val="20"/>
          <w:szCs w:val="20"/>
        </w:rPr>
        <w:t xml:space="preserve"> </w:t>
      </w:r>
      <w:r w:rsidRPr="009D1AD4">
        <w:rPr>
          <w:rFonts w:ascii="Arial" w:hAnsi="Arial" w:cs="Arial"/>
          <w:bCs/>
          <w:color w:val="000000"/>
          <w:sz w:val="20"/>
          <w:szCs w:val="20"/>
        </w:rPr>
        <w:t>imputed</w:t>
      </w:r>
      <w:r w:rsidR="00055049">
        <w:rPr>
          <w:rFonts w:ascii="Arial" w:hAnsi="Arial" w:cs="Arial"/>
          <w:bCs/>
          <w:color w:val="000000"/>
          <w:sz w:val="20"/>
          <w:szCs w:val="20"/>
        </w:rPr>
        <w:t xml:space="preserve"> </w:t>
      </w:r>
      <w:r w:rsidRPr="009D1AD4">
        <w:rPr>
          <w:rFonts w:ascii="Arial" w:hAnsi="Arial" w:cs="Arial"/>
          <w:bCs/>
          <w:color w:val="000000"/>
          <w:sz w:val="20"/>
          <w:szCs w:val="20"/>
        </w:rPr>
        <w:t>income, and any health benefits paid on behalf of the individual under the plan will be tax-free to both the employee and the individual.</w:t>
      </w:r>
    </w:p>
    <w:p w14:paraId="40CB2706" w14:textId="77777777" w:rsidR="009F5C2B" w:rsidRPr="009D1AD4" w:rsidRDefault="009F5C2B" w:rsidP="004C6CEA">
      <w:pPr>
        <w:pStyle w:val="ListParagraph"/>
        <w:spacing w:after="200"/>
        <w:ind w:left="0"/>
        <w:contextualSpacing w:val="0"/>
        <w:rPr>
          <w:rFonts w:ascii="Arial" w:hAnsi="Arial" w:cs="Arial"/>
          <w:bCs/>
          <w:color w:val="000000"/>
          <w:sz w:val="20"/>
          <w:szCs w:val="20"/>
        </w:rPr>
      </w:pPr>
      <w:r w:rsidRPr="009D1AD4">
        <w:rPr>
          <w:rFonts w:ascii="Arial" w:hAnsi="Arial" w:cs="Arial"/>
          <w:bCs/>
          <w:color w:val="000000"/>
          <w:sz w:val="20"/>
          <w:szCs w:val="20"/>
        </w:rPr>
        <w:t>Where health coverage is provided on an after-tax basis for the individual but on a pre-tax basis for the employee, separate payroll slots must be maintained for pre-tax and after-tax coverage, and an allocation must be made as to the amount of premiums attributable to the individual's coverage.</w:t>
      </w:r>
    </w:p>
    <w:p w14:paraId="717A8CF4" w14:textId="7AAAF1A5" w:rsidR="009F5C2B" w:rsidRDefault="009F5C2B" w:rsidP="004C6CEA">
      <w:pPr>
        <w:spacing w:after="200"/>
        <w:rPr>
          <w:rFonts w:ascii="Arial" w:hAnsi="Arial" w:cs="Arial"/>
          <w:sz w:val="20"/>
          <w:szCs w:val="20"/>
        </w:rPr>
      </w:pPr>
    </w:p>
    <w:p w14:paraId="551DD5DC" w14:textId="6CF4B6CA" w:rsidR="009F5C2B" w:rsidRDefault="009F5C2B" w:rsidP="004C6CEA">
      <w:pPr>
        <w:pStyle w:val="ListParagraph"/>
        <w:spacing w:after="200"/>
        <w:ind w:left="0"/>
        <w:contextualSpacing w:val="0"/>
        <w:rPr>
          <w:rFonts w:ascii="Arial" w:hAnsi="Arial" w:cs="Arial"/>
          <w:color w:val="000000"/>
          <w:sz w:val="20"/>
          <w:szCs w:val="20"/>
        </w:rPr>
      </w:pPr>
      <w:r w:rsidRPr="00C5063D">
        <w:rPr>
          <w:rFonts w:ascii="Arial" w:eastAsia="Times New Roman" w:hAnsi="Arial" w:cs="Arial"/>
          <w:b/>
          <w:bCs/>
          <w:color w:val="001BBA"/>
          <w:sz w:val="22"/>
          <w:szCs w:val="22"/>
        </w:rPr>
        <w:t>Question:</w:t>
      </w:r>
      <w:r w:rsidR="00055049">
        <w:rPr>
          <w:rFonts w:ascii="Arial" w:hAnsi="Arial" w:cs="Arial"/>
          <w:color w:val="000000"/>
          <w:sz w:val="20"/>
          <w:szCs w:val="20"/>
        </w:rPr>
        <w:t xml:space="preserve"> </w:t>
      </w:r>
      <w:r w:rsidRPr="009D1AD4">
        <w:rPr>
          <w:rFonts w:ascii="Arial" w:hAnsi="Arial" w:cs="Arial"/>
          <w:color w:val="000000"/>
          <w:sz w:val="20"/>
          <w:szCs w:val="20"/>
        </w:rPr>
        <w:t>If a plan participant divorced over a year ago and failed to notify the plan administrator about the divorce until today, can the plan participant change the election/contribution from employee + spouse coverage to employee-only coverage mid-year under the IRS permitted election change event of "change in marital status"? The cafeteria plan document states that plan participants must inform the plan administrator of a permitted election change event within 30 days of the event. The plan sponsor is terminating the former spouse's coverage prospectively.</w:t>
      </w:r>
    </w:p>
    <w:p w14:paraId="0F84BD5E" w14:textId="6310CBE6" w:rsidR="009F5C2B" w:rsidRDefault="009F5C2B" w:rsidP="004C6CEA">
      <w:pPr>
        <w:pStyle w:val="ListParagraph"/>
        <w:spacing w:after="200"/>
        <w:ind w:left="0"/>
        <w:contextualSpacing w:val="0"/>
        <w:rPr>
          <w:rFonts w:ascii="Arial" w:hAnsi="Arial" w:cs="Arial"/>
          <w:color w:val="000000"/>
          <w:sz w:val="20"/>
          <w:szCs w:val="20"/>
        </w:rPr>
      </w:pPr>
      <w:r w:rsidRPr="009D1AD4">
        <w:rPr>
          <w:rFonts w:ascii="Arial" w:hAnsi="Arial" w:cs="Arial"/>
          <w:b/>
          <w:bCs/>
          <w:color w:val="000000"/>
          <w:sz w:val="20"/>
          <w:szCs w:val="20"/>
        </w:rPr>
        <w:t>Answer:</w:t>
      </w:r>
      <w:r w:rsidR="00055049">
        <w:rPr>
          <w:rFonts w:ascii="Arial" w:hAnsi="Arial" w:cs="Arial"/>
          <w:b/>
          <w:bCs/>
          <w:color w:val="000000"/>
          <w:sz w:val="20"/>
          <w:szCs w:val="20"/>
        </w:rPr>
        <w:t xml:space="preserve"> </w:t>
      </w:r>
      <w:r w:rsidRPr="009D1AD4">
        <w:rPr>
          <w:rFonts w:ascii="Arial" w:hAnsi="Arial" w:cs="Arial"/>
          <w:color w:val="000000"/>
          <w:sz w:val="20"/>
          <w:szCs w:val="20"/>
        </w:rPr>
        <w:t>No, the late notice of divorce makes the employee unable to change the election/contribution under the permitted election change event of “change in marital status.”</w:t>
      </w:r>
    </w:p>
    <w:p w14:paraId="1E188594" w14:textId="3FA11FF9" w:rsidR="009F5C2B" w:rsidRDefault="009F5C2B" w:rsidP="004C6CEA">
      <w:pPr>
        <w:pStyle w:val="ListParagraph"/>
        <w:spacing w:after="200"/>
        <w:ind w:left="0"/>
        <w:contextualSpacing w:val="0"/>
        <w:rPr>
          <w:rFonts w:ascii="Arial" w:hAnsi="Arial" w:cs="Arial"/>
          <w:color w:val="000000"/>
          <w:sz w:val="20"/>
          <w:szCs w:val="20"/>
        </w:rPr>
      </w:pPr>
      <w:r w:rsidRPr="009D1AD4">
        <w:rPr>
          <w:rFonts w:ascii="Arial" w:hAnsi="Arial" w:cs="Arial"/>
          <w:color w:val="000000"/>
          <w:sz w:val="20"/>
          <w:szCs w:val="20"/>
        </w:rPr>
        <w:t xml:space="preserve">However, there’s informal guidance regarding automatic loss of coverage. If the cafeteria plan document (or plan document or SPD) provides for automatic loss of coverage when there’s a failure to satisfy plan requirements (for example, when someone becomes ineligible for coverage), then the employer may be able to terminate the employee’s contribution mid-year. If the cafeteria plan document (or plan document </w:t>
      </w:r>
      <w:r w:rsidRPr="009D1AD4">
        <w:rPr>
          <w:rFonts w:ascii="Arial" w:hAnsi="Arial" w:cs="Arial"/>
          <w:color w:val="000000"/>
          <w:sz w:val="20"/>
          <w:szCs w:val="20"/>
        </w:rPr>
        <w:lastRenderedPageBreak/>
        <w:t>or SPD) is silent on automatic loss of coverage, then the employer should consult with its attorney before</w:t>
      </w:r>
      <w:r w:rsidR="001204C3">
        <w:rPr>
          <w:rFonts w:ascii="Arial" w:hAnsi="Arial" w:cs="Arial"/>
          <w:color w:val="000000"/>
          <w:sz w:val="20"/>
          <w:szCs w:val="20"/>
        </w:rPr>
        <w:t> </w:t>
      </w:r>
      <w:r w:rsidRPr="009D1AD4">
        <w:rPr>
          <w:rFonts w:ascii="Arial" w:hAnsi="Arial" w:cs="Arial"/>
          <w:color w:val="000000"/>
          <w:sz w:val="20"/>
          <w:szCs w:val="20"/>
        </w:rPr>
        <w:t>proceeding.</w:t>
      </w:r>
    </w:p>
    <w:p w14:paraId="1B233FFD" w14:textId="77777777" w:rsidR="009F5C2B" w:rsidRDefault="009F5C2B" w:rsidP="004C6CEA">
      <w:pPr>
        <w:pStyle w:val="ListParagraph"/>
        <w:spacing w:after="200"/>
        <w:ind w:left="0"/>
        <w:contextualSpacing w:val="0"/>
        <w:rPr>
          <w:rFonts w:ascii="Arial" w:hAnsi="Arial" w:cs="Arial"/>
          <w:color w:val="000000"/>
          <w:sz w:val="20"/>
          <w:szCs w:val="20"/>
        </w:rPr>
      </w:pPr>
      <w:r w:rsidRPr="009D1AD4">
        <w:rPr>
          <w:rFonts w:ascii="Arial" w:hAnsi="Arial" w:cs="Arial"/>
          <w:color w:val="000000"/>
          <w:sz w:val="20"/>
          <w:szCs w:val="20"/>
        </w:rPr>
        <w:t>There are a couple other issues to consider. First, if the plan is subject to ERISA, the plan administrator/trustee may have a fiduciary duty to file a court action against the employee for failing to notify the plan of the divorce so that the plan can seek reimbursement for claims paid on behalf of the former spouse.</w:t>
      </w:r>
    </w:p>
    <w:p w14:paraId="59C4B08B" w14:textId="77777777" w:rsidR="009F5C2B" w:rsidRPr="009D1AD4" w:rsidRDefault="009F5C2B" w:rsidP="004C6CEA">
      <w:pPr>
        <w:pStyle w:val="ListParagraph"/>
        <w:spacing w:after="200"/>
        <w:ind w:left="0"/>
        <w:contextualSpacing w:val="0"/>
        <w:rPr>
          <w:rFonts w:ascii="Arial" w:hAnsi="Arial" w:cs="Arial"/>
          <w:color w:val="000000"/>
          <w:sz w:val="20"/>
          <w:szCs w:val="20"/>
        </w:rPr>
      </w:pPr>
      <w:r w:rsidRPr="009D1AD4">
        <w:rPr>
          <w:rFonts w:ascii="Arial" w:hAnsi="Arial" w:cs="Arial"/>
          <w:color w:val="000000"/>
          <w:sz w:val="20"/>
          <w:szCs w:val="20"/>
        </w:rPr>
        <w:t>Second, if the employer is subject to COBRA (and presuming that the initial COBRA notice or the SPD provided reasonable procedures for the covered employee to inform the plan administrator of the divorce), the plan is not required to offer the former spouse the opportunity to elect COBRA continuation coverage because the employee did not provide notice of the divorce by the deadline provided in the initial COBRA notice. However, if the plan sponsor receives a late qualifying event notice, then the plan sponsor must provide a notice of unavailability of COBRA coverage.</w:t>
      </w:r>
    </w:p>
    <w:p w14:paraId="0B05408E" w14:textId="712156AA" w:rsidR="009F5C2B" w:rsidRDefault="009F5C2B" w:rsidP="004C6CEA">
      <w:pPr>
        <w:spacing w:after="200"/>
        <w:rPr>
          <w:rFonts w:ascii="Arial" w:hAnsi="Arial" w:cs="Arial"/>
          <w:sz w:val="20"/>
          <w:szCs w:val="20"/>
        </w:rPr>
      </w:pPr>
    </w:p>
    <w:p w14:paraId="47A6E387" w14:textId="77777777" w:rsidR="009F5C2B" w:rsidRPr="009D1AD4" w:rsidRDefault="009F5C2B" w:rsidP="004C6CEA">
      <w:pPr>
        <w:spacing w:after="200"/>
        <w:rPr>
          <w:rFonts w:ascii="Arial" w:hAnsi="Arial" w:cs="Arial"/>
          <w:bCs/>
          <w:sz w:val="20"/>
          <w:szCs w:val="20"/>
        </w:rPr>
      </w:pPr>
      <w:r w:rsidRPr="00C5063D">
        <w:rPr>
          <w:rFonts w:ascii="Arial" w:hAnsi="Arial" w:cs="Arial"/>
          <w:b/>
          <w:bCs/>
          <w:color w:val="001BBA"/>
          <w:sz w:val="22"/>
          <w:szCs w:val="22"/>
        </w:rPr>
        <w:t>Question:</w:t>
      </w:r>
      <w:r w:rsidRPr="009D1AD4">
        <w:rPr>
          <w:rFonts w:ascii="Arial" w:hAnsi="Arial" w:cs="Arial"/>
          <w:bCs/>
          <w:sz w:val="20"/>
          <w:szCs w:val="20"/>
        </w:rPr>
        <w:t xml:space="preserve"> What are the recently adjusted amounts of certain federal civil monetary penalties?</w:t>
      </w:r>
    </w:p>
    <w:p w14:paraId="3137EC64" w14:textId="77777777" w:rsidR="009F5C2B" w:rsidRDefault="009F5C2B" w:rsidP="004C6CEA">
      <w:pPr>
        <w:spacing w:after="200"/>
        <w:rPr>
          <w:rFonts w:ascii="Arial" w:hAnsi="Arial" w:cs="Arial"/>
          <w:bCs/>
          <w:sz w:val="20"/>
          <w:szCs w:val="20"/>
        </w:rPr>
      </w:pPr>
      <w:r w:rsidRPr="009D1AD4">
        <w:rPr>
          <w:rFonts w:ascii="Arial" w:hAnsi="Arial" w:cs="Arial"/>
          <w:b/>
          <w:bCs/>
          <w:sz w:val="20"/>
          <w:szCs w:val="20"/>
        </w:rPr>
        <w:t>Answer:</w:t>
      </w:r>
      <w:r w:rsidRPr="009D1AD4">
        <w:rPr>
          <w:rFonts w:ascii="Arial" w:hAnsi="Arial" w:cs="Arial"/>
          <w:bCs/>
          <w:sz w:val="20"/>
          <w:szCs w:val="20"/>
        </w:rPr>
        <w:t xml:space="preserve"> On January 23, 2019, the Department of Labor (DOL) issued its </w:t>
      </w:r>
      <w:hyperlink r:id="rId51" w:history="1">
        <w:r w:rsidRPr="009D1AD4">
          <w:rPr>
            <w:rStyle w:val="Hyperlink"/>
            <w:bCs/>
          </w:rPr>
          <w:t>Federal Civil Penalties Inflation Adjustment Act Annual Adjustments for 2019</w:t>
        </w:r>
      </w:hyperlink>
      <w:r w:rsidRPr="009D1AD4">
        <w:rPr>
          <w:rFonts w:ascii="Arial" w:hAnsi="Arial" w:cs="Arial"/>
          <w:bCs/>
          <w:sz w:val="20"/>
          <w:szCs w:val="20"/>
        </w:rPr>
        <w:t xml:space="preserve"> which is the DOL’s annual adjustment of federal civil monetary penalties.</w:t>
      </w:r>
    </w:p>
    <w:p w14:paraId="15B9C895" w14:textId="77777777" w:rsidR="009F5C2B" w:rsidRPr="009D1AD4" w:rsidRDefault="009F5C2B" w:rsidP="004C6CEA">
      <w:pPr>
        <w:spacing w:after="200"/>
        <w:rPr>
          <w:rFonts w:ascii="Arial" w:hAnsi="Arial" w:cs="Arial"/>
          <w:bCs/>
          <w:sz w:val="20"/>
          <w:szCs w:val="20"/>
        </w:rPr>
      </w:pPr>
      <w:r w:rsidRPr="009D1AD4">
        <w:rPr>
          <w:rFonts w:ascii="Arial" w:hAnsi="Arial" w:cs="Arial"/>
          <w:bCs/>
          <w:sz w:val="20"/>
          <w:szCs w:val="20"/>
        </w:rPr>
        <w:t>Here are some of the adjustments:</w:t>
      </w:r>
    </w:p>
    <w:p w14:paraId="1D3093A9" w14:textId="77777777" w:rsidR="009F5C2B" w:rsidRPr="009D1AD4" w:rsidRDefault="009F5C2B" w:rsidP="001248FE">
      <w:pPr>
        <w:numPr>
          <w:ilvl w:val="0"/>
          <w:numId w:val="14"/>
        </w:numPr>
        <w:spacing w:after="200"/>
        <w:ind w:left="720"/>
        <w:rPr>
          <w:rFonts w:ascii="Arial" w:hAnsi="Arial" w:cs="Arial"/>
          <w:bCs/>
          <w:sz w:val="20"/>
          <w:szCs w:val="20"/>
        </w:rPr>
      </w:pPr>
      <w:r w:rsidRPr="009D1AD4">
        <w:rPr>
          <w:rFonts w:ascii="Arial" w:hAnsi="Arial" w:cs="Arial"/>
          <w:bCs/>
          <w:sz w:val="20"/>
          <w:szCs w:val="20"/>
        </w:rPr>
        <w:t>Form 5500: For failure to file, the maximum penalty increases from $2,140 to $2,194 daily for every day that the Form 5500 is late.</w:t>
      </w:r>
    </w:p>
    <w:p w14:paraId="6B9D6DF1" w14:textId="77777777" w:rsidR="009F5C2B" w:rsidRPr="009D1AD4" w:rsidRDefault="009F5C2B" w:rsidP="001248FE">
      <w:pPr>
        <w:numPr>
          <w:ilvl w:val="0"/>
          <w:numId w:val="14"/>
        </w:numPr>
        <w:spacing w:after="200"/>
        <w:ind w:left="720"/>
        <w:rPr>
          <w:rFonts w:ascii="Arial" w:hAnsi="Arial" w:cs="Arial"/>
          <w:bCs/>
          <w:sz w:val="20"/>
          <w:szCs w:val="20"/>
        </w:rPr>
      </w:pPr>
      <w:r w:rsidRPr="009D1AD4">
        <w:rPr>
          <w:rFonts w:ascii="Arial" w:hAnsi="Arial" w:cs="Arial"/>
          <w:bCs/>
          <w:iCs/>
          <w:sz w:val="20"/>
          <w:szCs w:val="20"/>
        </w:rPr>
        <w:t>Summary of Benefits and Coverage: For failure to provide, t</w:t>
      </w:r>
      <w:r w:rsidRPr="009D1AD4">
        <w:rPr>
          <w:rFonts w:ascii="Arial" w:hAnsi="Arial" w:cs="Arial"/>
          <w:bCs/>
          <w:sz w:val="20"/>
          <w:szCs w:val="20"/>
        </w:rPr>
        <w:t>he maximum penalty increases from $1,128 to $1,156 per failure.</w:t>
      </w:r>
    </w:p>
    <w:p w14:paraId="118FB58F" w14:textId="77777777" w:rsidR="009F5C2B" w:rsidRPr="009D1AD4" w:rsidRDefault="009F5C2B" w:rsidP="001248FE">
      <w:pPr>
        <w:numPr>
          <w:ilvl w:val="0"/>
          <w:numId w:val="14"/>
        </w:numPr>
        <w:spacing w:after="200"/>
        <w:ind w:left="720"/>
        <w:rPr>
          <w:rFonts w:ascii="Arial" w:hAnsi="Arial" w:cs="Arial"/>
          <w:bCs/>
          <w:sz w:val="20"/>
          <w:szCs w:val="20"/>
        </w:rPr>
      </w:pPr>
      <w:r w:rsidRPr="009D1AD4">
        <w:rPr>
          <w:rFonts w:ascii="Arial" w:hAnsi="Arial" w:cs="Arial"/>
          <w:bCs/>
          <w:sz w:val="20"/>
          <w:szCs w:val="20"/>
        </w:rPr>
        <w:t>Medicaid/CHIP notice: For failure to provide, the maximum penalty increases from $114 to $117 per day per employee.</w:t>
      </w:r>
    </w:p>
    <w:p w14:paraId="5134DDEE" w14:textId="77777777" w:rsidR="009F5C2B" w:rsidRPr="009D1AD4" w:rsidRDefault="009F5C2B" w:rsidP="001248FE">
      <w:pPr>
        <w:numPr>
          <w:ilvl w:val="0"/>
          <w:numId w:val="14"/>
        </w:numPr>
        <w:spacing w:after="200"/>
        <w:ind w:left="720"/>
        <w:rPr>
          <w:rFonts w:ascii="Arial" w:hAnsi="Arial" w:cs="Arial"/>
          <w:bCs/>
          <w:sz w:val="20"/>
          <w:szCs w:val="20"/>
        </w:rPr>
      </w:pPr>
      <w:r w:rsidRPr="009D1AD4">
        <w:rPr>
          <w:rFonts w:ascii="Arial" w:hAnsi="Arial" w:cs="Arial"/>
          <w:bCs/>
          <w:sz w:val="20"/>
          <w:szCs w:val="20"/>
        </w:rPr>
        <w:t>For failure to provide documents to the DOL upon its request, the maximum penalty increases to $156 per day, not to exceed $1,566 per request.</w:t>
      </w:r>
    </w:p>
    <w:p w14:paraId="47E9336B" w14:textId="10359DAC" w:rsidR="009F5C2B" w:rsidRDefault="009F5C2B" w:rsidP="004C6CEA">
      <w:pPr>
        <w:spacing w:after="200"/>
        <w:rPr>
          <w:rFonts w:ascii="Arial" w:hAnsi="Arial" w:cs="Arial"/>
          <w:sz w:val="20"/>
          <w:szCs w:val="20"/>
        </w:rPr>
      </w:pPr>
      <w:r w:rsidRPr="009D1AD4">
        <w:rPr>
          <w:rFonts w:ascii="Arial" w:hAnsi="Arial" w:cs="Arial"/>
          <w:bCs/>
          <w:sz w:val="20"/>
          <w:szCs w:val="20"/>
        </w:rPr>
        <w:t>The adjustments are effective for penalties assessed after January 23, 2019, for violations occurring after November 2, 2015.</w:t>
      </w:r>
    </w:p>
    <w:p w14:paraId="5861FCB7" w14:textId="1CC7BA12" w:rsidR="00A703EE" w:rsidRDefault="00A703EE" w:rsidP="004C6CEA">
      <w:pPr>
        <w:spacing w:after="200"/>
        <w:rPr>
          <w:rFonts w:ascii="Arial" w:hAnsi="Arial" w:cs="Arial"/>
          <w:sz w:val="20"/>
          <w:szCs w:val="20"/>
        </w:rPr>
      </w:pPr>
    </w:p>
    <w:tbl>
      <w:tblPr>
        <w:tblW w:w="9360" w:type="dxa"/>
        <w:shd w:val="clear" w:color="auto" w:fill="001BBA"/>
        <w:tblCellMar>
          <w:top w:w="86" w:type="dxa"/>
          <w:left w:w="115" w:type="dxa"/>
          <w:bottom w:w="86" w:type="dxa"/>
          <w:right w:w="115" w:type="dxa"/>
        </w:tblCellMar>
        <w:tblLook w:val="01E0" w:firstRow="1" w:lastRow="1" w:firstColumn="1" w:lastColumn="1" w:noHBand="0" w:noVBand="0"/>
      </w:tblPr>
      <w:tblGrid>
        <w:gridCol w:w="9360"/>
      </w:tblGrid>
      <w:tr w:rsidR="00FE74CA" w:rsidRPr="00C04F07" w14:paraId="6DEEF633" w14:textId="77777777" w:rsidTr="00A14E50">
        <w:trPr>
          <w:trHeight w:val="144"/>
        </w:trPr>
        <w:tc>
          <w:tcPr>
            <w:tcW w:w="9360" w:type="dxa"/>
            <w:shd w:val="clear" w:color="auto" w:fill="001BBA"/>
            <w:vAlign w:val="center"/>
          </w:tcPr>
          <w:p w14:paraId="0BB305B7" w14:textId="1EE52AFC" w:rsidR="00FE74CA" w:rsidRPr="00C04F07" w:rsidRDefault="00FE74CA" w:rsidP="00A14E50">
            <w:pPr>
              <w:pStyle w:val="Heading2"/>
              <w:rPr>
                <w:i w:val="0"/>
                <w:iCs/>
                <w:color w:val="auto"/>
              </w:rPr>
            </w:pPr>
            <w:bookmarkStart w:id="21" w:name="_Toc12890041"/>
            <w:bookmarkStart w:id="22" w:name="_Toc12890157"/>
            <w:bookmarkStart w:id="23" w:name="_Toc12890538"/>
            <w:r>
              <w:rPr>
                <w:i w:val="0"/>
                <w:iCs/>
                <w:color w:val="auto"/>
                <w:szCs w:val="22"/>
              </w:rPr>
              <w:t>HIPAA</w:t>
            </w:r>
            <w:bookmarkEnd w:id="21"/>
            <w:bookmarkEnd w:id="22"/>
            <w:bookmarkEnd w:id="23"/>
          </w:p>
        </w:tc>
      </w:tr>
    </w:tbl>
    <w:p w14:paraId="3539F684" w14:textId="77777777" w:rsidR="00FE74CA" w:rsidRPr="00535CAE" w:rsidRDefault="00FE74CA" w:rsidP="001204C3">
      <w:pPr>
        <w:rPr>
          <w:rFonts w:ascii="Arial" w:hAnsi="Arial" w:cs="Arial"/>
          <w:sz w:val="20"/>
          <w:szCs w:val="20"/>
        </w:rPr>
      </w:pPr>
    </w:p>
    <w:p w14:paraId="55C10765" w14:textId="77777777" w:rsidR="00A703EE" w:rsidRPr="009D1AD4" w:rsidRDefault="00A703EE" w:rsidP="004C6CEA">
      <w:pPr>
        <w:spacing w:after="200"/>
        <w:rPr>
          <w:rFonts w:ascii="Arial" w:hAnsi="Arial" w:cs="Arial"/>
          <w:bCs/>
          <w:color w:val="000000"/>
          <w:sz w:val="20"/>
          <w:szCs w:val="20"/>
        </w:rPr>
      </w:pPr>
      <w:r w:rsidRPr="00C5063D">
        <w:rPr>
          <w:rFonts w:ascii="Arial" w:hAnsi="Arial" w:cs="Arial"/>
          <w:b/>
          <w:bCs/>
          <w:color w:val="001BBA"/>
          <w:sz w:val="22"/>
          <w:szCs w:val="22"/>
        </w:rPr>
        <w:t>Question:</w:t>
      </w:r>
      <w:r w:rsidRPr="009D1AD4">
        <w:rPr>
          <w:rFonts w:ascii="Arial" w:hAnsi="Arial" w:cs="Arial"/>
          <w:b/>
          <w:bCs/>
          <w:color w:val="000000"/>
          <w:sz w:val="20"/>
          <w:szCs w:val="20"/>
        </w:rPr>
        <w:t xml:space="preserve"> </w:t>
      </w:r>
      <w:r w:rsidRPr="009D1AD4">
        <w:rPr>
          <w:rFonts w:ascii="Arial" w:hAnsi="Arial" w:cs="Arial"/>
          <w:bCs/>
          <w:color w:val="000000"/>
          <w:sz w:val="20"/>
          <w:szCs w:val="20"/>
        </w:rPr>
        <w:t>Under HIPAA, can a group health plan or health care provider send communications to employees’ homes by postcard, or must the communications be sent by sealed envelopes?</w:t>
      </w:r>
    </w:p>
    <w:p w14:paraId="2A704976" w14:textId="77777777" w:rsidR="00A703EE" w:rsidRPr="009D1AD4" w:rsidRDefault="00A703EE" w:rsidP="004C6CEA">
      <w:pPr>
        <w:spacing w:after="200"/>
        <w:rPr>
          <w:rFonts w:ascii="Arial" w:hAnsi="Arial" w:cs="Arial"/>
          <w:bCs/>
          <w:color w:val="000000"/>
          <w:sz w:val="20"/>
          <w:szCs w:val="20"/>
        </w:rPr>
      </w:pPr>
      <w:r w:rsidRPr="009D1AD4">
        <w:rPr>
          <w:rFonts w:ascii="Arial" w:hAnsi="Arial" w:cs="Arial"/>
          <w:b/>
          <w:bCs/>
          <w:color w:val="000000"/>
          <w:sz w:val="20"/>
          <w:szCs w:val="20"/>
        </w:rPr>
        <w:t>Short Answer:</w:t>
      </w:r>
      <w:r w:rsidRPr="009D1AD4">
        <w:rPr>
          <w:rFonts w:ascii="Arial" w:hAnsi="Arial" w:cs="Arial"/>
          <w:bCs/>
          <w:color w:val="000000"/>
          <w:sz w:val="20"/>
          <w:szCs w:val="20"/>
        </w:rPr>
        <w:t xml:space="preserve"> Generally, a covered entity (such as a group health plan or health care provider) may provide communications such as appointment reminders without a person’s HIPAA authorization. The covered entity should reasonably safeguard the person’s privacy by taking care to limit the amount of information disclosed.</w:t>
      </w:r>
    </w:p>
    <w:p w14:paraId="29478F6A" w14:textId="77777777" w:rsidR="00A703EE" w:rsidRPr="009D1AD4" w:rsidRDefault="00A703EE" w:rsidP="004C6CEA">
      <w:pPr>
        <w:spacing w:after="200"/>
        <w:rPr>
          <w:rFonts w:ascii="Arial" w:hAnsi="Arial" w:cs="Arial"/>
          <w:bCs/>
          <w:color w:val="000000"/>
          <w:sz w:val="20"/>
          <w:szCs w:val="20"/>
        </w:rPr>
      </w:pPr>
      <w:r w:rsidRPr="009D1AD4">
        <w:rPr>
          <w:rFonts w:ascii="Arial" w:hAnsi="Arial" w:cs="Arial"/>
          <w:bCs/>
          <w:color w:val="000000"/>
          <w:sz w:val="20"/>
          <w:szCs w:val="20"/>
        </w:rPr>
        <w:t>However, the covered entity may not use a postcard or send the communication to a person’s home, or both, if the person requests that communications be mailed using a sealed envelope or an alternate address such as post office box.</w:t>
      </w:r>
    </w:p>
    <w:p w14:paraId="258B4E25" w14:textId="77777777" w:rsidR="00A703EE" w:rsidRPr="009D1AD4" w:rsidRDefault="00A703EE" w:rsidP="001204C3">
      <w:pPr>
        <w:keepNext/>
        <w:spacing w:after="200"/>
        <w:rPr>
          <w:rFonts w:ascii="Arial" w:hAnsi="Arial" w:cs="Arial"/>
          <w:bCs/>
          <w:color w:val="000000"/>
          <w:sz w:val="20"/>
          <w:szCs w:val="20"/>
        </w:rPr>
      </w:pPr>
      <w:r w:rsidRPr="009D1AD4">
        <w:rPr>
          <w:rFonts w:ascii="Arial" w:hAnsi="Arial" w:cs="Arial"/>
          <w:b/>
          <w:bCs/>
          <w:color w:val="000000"/>
          <w:sz w:val="20"/>
          <w:szCs w:val="20"/>
        </w:rPr>
        <w:lastRenderedPageBreak/>
        <w:t>Educational Information</w:t>
      </w:r>
    </w:p>
    <w:p w14:paraId="3013D255" w14:textId="2920C4AA" w:rsidR="00A703EE" w:rsidRPr="009D1AD4" w:rsidRDefault="00A703EE" w:rsidP="004C6CEA">
      <w:pPr>
        <w:spacing w:after="200"/>
        <w:rPr>
          <w:rFonts w:ascii="Arial" w:hAnsi="Arial" w:cs="Arial"/>
          <w:bCs/>
          <w:color w:val="000000"/>
          <w:sz w:val="20"/>
          <w:szCs w:val="20"/>
        </w:rPr>
      </w:pPr>
      <w:r w:rsidRPr="009D1AD4">
        <w:rPr>
          <w:rFonts w:ascii="Arial" w:hAnsi="Arial" w:cs="Arial"/>
          <w:bCs/>
          <w:color w:val="000000"/>
          <w:sz w:val="20"/>
          <w:szCs w:val="20"/>
        </w:rPr>
        <w:t>From HHS’</w:t>
      </w:r>
      <w:r w:rsidR="00055049">
        <w:rPr>
          <w:rFonts w:ascii="Arial" w:hAnsi="Arial" w:cs="Arial"/>
          <w:bCs/>
          <w:color w:val="000000"/>
          <w:sz w:val="20"/>
          <w:szCs w:val="20"/>
        </w:rPr>
        <w:t xml:space="preserve"> </w:t>
      </w:r>
      <w:hyperlink r:id="rId52" w:history="1">
        <w:r w:rsidRPr="009D1AD4">
          <w:rPr>
            <w:rStyle w:val="Hyperlink"/>
            <w:bCs/>
          </w:rPr>
          <w:t>FAQs for Professionals</w:t>
        </w:r>
      </w:hyperlink>
      <w:r w:rsidRPr="009D1AD4">
        <w:rPr>
          <w:rFonts w:ascii="Arial" w:hAnsi="Arial" w:cs="Arial"/>
          <w:bCs/>
          <w:color w:val="000000"/>
          <w:sz w:val="20"/>
          <w:szCs w:val="20"/>
        </w:rPr>
        <w:t>:</w:t>
      </w:r>
    </w:p>
    <w:p w14:paraId="4AD3F83F" w14:textId="77777777" w:rsidR="00A703EE" w:rsidRPr="009D1AD4" w:rsidRDefault="00A703EE" w:rsidP="001248FE">
      <w:pPr>
        <w:spacing w:after="200"/>
        <w:ind w:left="360"/>
        <w:rPr>
          <w:rFonts w:ascii="Arial" w:hAnsi="Arial" w:cs="Arial"/>
          <w:bCs/>
          <w:color w:val="000000"/>
          <w:sz w:val="20"/>
          <w:szCs w:val="20"/>
        </w:rPr>
      </w:pPr>
      <w:r w:rsidRPr="009D1AD4">
        <w:rPr>
          <w:rFonts w:ascii="Arial" w:hAnsi="Arial" w:cs="Arial"/>
          <w:bCs/>
          <w:color w:val="000000"/>
          <w:sz w:val="20"/>
          <w:szCs w:val="20"/>
        </w:rPr>
        <w:t>Are appointment reminders allowed under the HIPAA Privacy Rule without authorizations?</w:t>
      </w:r>
    </w:p>
    <w:p w14:paraId="07840E17" w14:textId="77777777" w:rsidR="00A703EE" w:rsidRPr="009D1AD4" w:rsidRDefault="00A703EE" w:rsidP="001248FE">
      <w:pPr>
        <w:spacing w:after="200"/>
        <w:ind w:left="360"/>
        <w:rPr>
          <w:rFonts w:ascii="Arial" w:hAnsi="Arial" w:cs="Arial"/>
          <w:bCs/>
          <w:color w:val="000000"/>
          <w:sz w:val="20"/>
          <w:szCs w:val="20"/>
        </w:rPr>
      </w:pPr>
      <w:r w:rsidRPr="009D1AD4">
        <w:rPr>
          <w:rFonts w:ascii="Arial" w:hAnsi="Arial" w:cs="Arial"/>
          <w:bCs/>
          <w:color w:val="000000"/>
          <w:sz w:val="20"/>
          <w:szCs w:val="20"/>
        </w:rPr>
        <w:t>Answer: Yes, appointment reminders are considered part of treatment of an individual and, therefore, can be made without an authorization.</w:t>
      </w:r>
    </w:p>
    <w:p w14:paraId="2E9294C6" w14:textId="5BDBF7C6" w:rsidR="00A703EE" w:rsidRPr="009D1AD4" w:rsidRDefault="00A703EE" w:rsidP="004C6CEA">
      <w:pPr>
        <w:spacing w:after="200"/>
        <w:rPr>
          <w:rFonts w:ascii="Arial" w:hAnsi="Arial" w:cs="Arial"/>
          <w:bCs/>
          <w:color w:val="000000"/>
          <w:sz w:val="20"/>
          <w:szCs w:val="20"/>
        </w:rPr>
      </w:pPr>
      <w:r w:rsidRPr="009D1AD4">
        <w:rPr>
          <w:rFonts w:ascii="Arial" w:hAnsi="Arial" w:cs="Arial"/>
          <w:bCs/>
          <w:color w:val="000000"/>
          <w:sz w:val="20"/>
          <w:szCs w:val="20"/>
        </w:rPr>
        <w:t>From the OCR’s</w:t>
      </w:r>
      <w:r w:rsidR="00055049">
        <w:rPr>
          <w:rFonts w:ascii="Arial" w:hAnsi="Arial" w:cs="Arial"/>
          <w:bCs/>
          <w:color w:val="000000"/>
          <w:sz w:val="20"/>
          <w:szCs w:val="20"/>
        </w:rPr>
        <w:t xml:space="preserve"> </w:t>
      </w:r>
      <w:hyperlink r:id="rId53" w:tooltip="https://www.hhs.gov/sites/default/files/ocr/privacy/hipaa/understanding/coveredentities/incidentalu%26d.pdf" w:history="1">
        <w:r w:rsidRPr="009D1AD4">
          <w:rPr>
            <w:rStyle w:val="Hyperlink"/>
            <w:bCs/>
          </w:rPr>
          <w:t>Incidental Uses and Disclosures Frequently Asked Questions</w:t>
        </w:r>
      </w:hyperlink>
      <w:r w:rsidRPr="009D1AD4">
        <w:rPr>
          <w:rFonts w:ascii="Arial" w:hAnsi="Arial" w:cs="Arial"/>
          <w:bCs/>
          <w:color w:val="000000"/>
          <w:sz w:val="20"/>
          <w:szCs w:val="20"/>
        </w:rPr>
        <w:t>:</w:t>
      </w:r>
    </w:p>
    <w:p w14:paraId="7BBAF2FF" w14:textId="77777777" w:rsidR="00A703EE" w:rsidRPr="009D1AD4" w:rsidRDefault="00A703EE" w:rsidP="001248FE">
      <w:pPr>
        <w:spacing w:after="200"/>
        <w:ind w:left="360"/>
        <w:rPr>
          <w:rFonts w:ascii="Arial" w:hAnsi="Arial" w:cs="Arial"/>
          <w:bCs/>
          <w:color w:val="000000"/>
          <w:sz w:val="20"/>
          <w:szCs w:val="20"/>
        </w:rPr>
      </w:pPr>
      <w:r w:rsidRPr="009D1AD4">
        <w:rPr>
          <w:rFonts w:ascii="Arial" w:hAnsi="Arial" w:cs="Arial"/>
          <w:bCs/>
          <w:color w:val="000000"/>
          <w:sz w:val="20"/>
          <w:szCs w:val="20"/>
        </w:rPr>
        <w:t>Q: May physician’s offices or pharmacists leave messages for patients at their homes, either on an answering machine or with a family member, to remind them of appointments or to inform them that a prescription is ready? May providers continue to mail appointment or prescription refill reminders to patients’ homes?</w:t>
      </w:r>
    </w:p>
    <w:p w14:paraId="4EA270D6" w14:textId="3B10DA95" w:rsidR="00A703EE" w:rsidRPr="009D1AD4" w:rsidRDefault="00A703EE" w:rsidP="001248FE">
      <w:pPr>
        <w:spacing w:after="200"/>
        <w:ind w:left="360"/>
        <w:rPr>
          <w:rFonts w:ascii="Arial" w:hAnsi="Arial" w:cs="Arial"/>
          <w:bCs/>
          <w:color w:val="000000"/>
          <w:sz w:val="20"/>
          <w:szCs w:val="20"/>
        </w:rPr>
      </w:pPr>
      <w:r w:rsidRPr="009D1AD4">
        <w:rPr>
          <w:rFonts w:ascii="Arial" w:hAnsi="Arial" w:cs="Arial"/>
          <w:bCs/>
          <w:color w:val="000000"/>
          <w:sz w:val="20"/>
          <w:szCs w:val="20"/>
        </w:rPr>
        <w:t>A: Yes. The HIPAA Privacy Rule permits health care providers to communicate with patients regarding their health care. This includes communicating with patients at their homes, whether through the mail or by phone or in some other manner. In addition, the Rule does not prohibit covered entities from leaving messages for patients on their answering machines. However,</w:t>
      </w:r>
      <w:r w:rsidR="00055049">
        <w:rPr>
          <w:rFonts w:ascii="Arial" w:hAnsi="Arial" w:cs="Arial"/>
          <w:bCs/>
          <w:color w:val="000000"/>
          <w:sz w:val="20"/>
          <w:szCs w:val="20"/>
        </w:rPr>
        <w:t xml:space="preserve"> </w:t>
      </w:r>
      <w:r w:rsidRPr="009D1AD4">
        <w:rPr>
          <w:rFonts w:ascii="Arial" w:hAnsi="Arial" w:cs="Arial"/>
          <w:bCs/>
          <w:color w:val="000000"/>
          <w:sz w:val="20"/>
          <w:szCs w:val="20"/>
        </w:rPr>
        <w:t>to reasonably safeguard the individual’s privacy, covered entities should take care to limit the amount of information disclosed</w:t>
      </w:r>
      <w:r w:rsidR="00055049">
        <w:rPr>
          <w:rFonts w:ascii="Arial" w:hAnsi="Arial" w:cs="Arial"/>
          <w:bCs/>
          <w:color w:val="000000"/>
          <w:sz w:val="20"/>
          <w:szCs w:val="20"/>
        </w:rPr>
        <w:t xml:space="preserve"> </w:t>
      </w:r>
      <w:r w:rsidRPr="009D1AD4">
        <w:rPr>
          <w:rFonts w:ascii="Arial" w:hAnsi="Arial" w:cs="Arial"/>
          <w:bCs/>
          <w:color w:val="000000"/>
          <w:sz w:val="20"/>
          <w:szCs w:val="20"/>
        </w:rPr>
        <w:t xml:space="preserve">on the answering machine. For example, a covered entity might want to consider leaving only its name and number and other information necessary to confirm an </w:t>
      </w:r>
      <w:proofErr w:type="gramStart"/>
      <w:r w:rsidRPr="009D1AD4">
        <w:rPr>
          <w:rFonts w:ascii="Arial" w:hAnsi="Arial" w:cs="Arial"/>
          <w:bCs/>
          <w:color w:val="000000"/>
          <w:sz w:val="20"/>
          <w:szCs w:val="20"/>
        </w:rPr>
        <w:t>appointment, or</w:t>
      </w:r>
      <w:proofErr w:type="gramEnd"/>
      <w:r w:rsidRPr="009D1AD4">
        <w:rPr>
          <w:rFonts w:ascii="Arial" w:hAnsi="Arial" w:cs="Arial"/>
          <w:bCs/>
          <w:color w:val="000000"/>
          <w:sz w:val="20"/>
          <w:szCs w:val="20"/>
        </w:rPr>
        <w:t xml:space="preserve"> ask the individual to call back.</w:t>
      </w:r>
    </w:p>
    <w:p w14:paraId="5F6556BD" w14:textId="26CEBF07" w:rsidR="00A703EE" w:rsidRPr="009D1AD4" w:rsidRDefault="00A703EE" w:rsidP="001248FE">
      <w:pPr>
        <w:spacing w:after="200"/>
        <w:ind w:left="360"/>
        <w:rPr>
          <w:rFonts w:ascii="Arial" w:hAnsi="Arial" w:cs="Arial"/>
          <w:bCs/>
          <w:color w:val="000000"/>
          <w:sz w:val="20"/>
          <w:szCs w:val="20"/>
        </w:rPr>
      </w:pPr>
      <w:r w:rsidRPr="009D1AD4">
        <w:rPr>
          <w:rFonts w:ascii="Arial" w:hAnsi="Arial" w:cs="Arial"/>
          <w:bCs/>
          <w:color w:val="000000"/>
          <w:sz w:val="20"/>
          <w:szCs w:val="20"/>
        </w:rPr>
        <w:t>A covered entity also may leave a message with a family member or other person who answers the phone when the patient is not home. The Privacy Rule permits covered entities to disclose limited information to family members, friends, or other persons regarding an individual’s care, even when the individual is not present. However,</w:t>
      </w:r>
      <w:r w:rsidR="00055049">
        <w:rPr>
          <w:rFonts w:ascii="Arial" w:hAnsi="Arial" w:cs="Arial"/>
          <w:bCs/>
          <w:color w:val="000000"/>
          <w:sz w:val="20"/>
          <w:szCs w:val="20"/>
        </w:rPr>
        <w:t xml:space="preserve"> </w:t>
      </w:r>
      <w:r w:rsidRPr="009D1AD4">
        <w:rPr>
          <w:rFonts w:ascii="Arial" w:hAnsi="Arial" w:cs="Arial"/>
          <w:bCs/>
          <w:color w:val="000000"/>
          <w:sz w:val="20"/>
          <w:szCs w:val="20"/>
        </w:rPr>
        <w:t>covered entities should use professional judgment to assure that such disclosures are in the best interest of the individual and limit the information disclosed. See 45 CFR 164.510(b)(3).</w:t>
      </w:r>
    </w:p>
    <w:p w14:paraId="7A1DFA77" w14:textId="303867C9" w:rsidR="00A703EE" w:rsidRPr="009D1AD4" w:rsidRDefault="00A703EE" w:rsidP="001248FE">
      <w:pPr>
        <w:spacing w:after="200"/>
        <w:ind w:left="360"/>
        <w:rPr>
          <w:rFonts w:ascii="Arial" w:hAnsi="Arial" w:cs="Arial"/>
          <w:bCs/>
          <w:color w:val="000000"/>
          <w:sz w:val="20"/>
          <w:szCs w:val="20"/>
        </w:rPr>
      </w:pPr>
      <w:r w:rsidRPr="009D1AD4">
        <w:rPr>
          <w:rFonts w:ascii="Arial" w:hAnsi="Arial" w:cs="Arial"/>
          <w:bCs/>
          <w:color w:val="000000"/>
          <w:sz w:val="20"/>
          <w:szCs w:val="20"/>
        </w:rPr>
        <w:t>In situations where a patient has requested that the covered entity communicate with him in a confidential manner, such as by alternative means or at an alternative location, the covered entity must accommodate that request, if reasonable. For example,</w:t>
      </w:r>
      <w:r w:rsidR="00055049">
        <w:rPr>
          <w:rFonts w:ascii="Arial" w:hAnsi="Arial" w:cs="Arial"/>
          <w:bCs/>
          <w:color w:val="000000"/>
          <w:sz w:val="20"/>
          <w:szCs w:val="20"/>
        </w:rPr>
        <w:t xml:space="preserve"> </w:t>
      </w:r>
      <w:r w:rsidRPr="009D1AD4">
        <w:rPr>
          <w:rFonts w:ascii="Arial" w:hAnsi="Arial" w:cs="Arial"/>
          <w:bCs/>
          <w:color w:val="000000"/>
          <w:sz w:val="20"/>
          <w:szCs w:val="20"/>
        </w:rPr>
        <w:t>the Department considers a request to receive mailings from the covered entity in a closed envelope rather than by postcard to be a reasonable request that should be accommodated. Similarly,</w:t>
      </w:r>
      <w:r w:rsidR="00055049">
        <w:rPr>
          <w:rFonts w:ascii="Arial" w:hAnsi="Arial" w:cs="Arial"/>
          <w:bCs/>
          <w:color w:val="000000"/>
          <w:sz w:val="20"/>
          <w:szCs w:val="20"/>
        </w:rPr>
        <w:t xml:space="preserve"> </w:t>
      </w:r>
      <w:r w:rsidRPr="009D1AD4">
        <w:rPr>
          <w:rFonts w:ascii="Arial" w:hAnsi="Arial" w:cs="Arial"/>
          <w:bCs/>
          <w:color w:val="000000"/>
          <w:sz w:val="20"/>
          <w:szCs w:val="20"/>
        </w:rPr>
        <w:t>a request to receive mail from the covered entity at a post office box rather than at home, or to receive calls at the office rather than at home are also considered to be reasonable requests, absent extenuating circumstances. See 45 CFR 164.522(b).</w:t>
      </w:r>
    </w:p>
    <w:p w14:paraId="72652BA7" w14:textId="258DBD6A" w:rsidR="00A703EE" w:rsidRDefault="00A703EE" w:rsidP="004C6CEA">
      <w:pPr>
        <w:spacing w:after="200"/>
        <w:rPr>
          <w:rFonts w:ascii="Arial" w:hAnsi="Arial" w:cs="Arial"/>
          <w:sz w:val="20"/>
          <w:szCs w:val="20"/>
        </w:rPr>
      </w:pPr>
    </w:p>
    <w:p w14:paraId="2DA6F8AA" w14:textId="77777777" w:rsidR="009F5C2B" w:rsidRPr="009D1AD4" w:rsidRDefault="009F5C2B" w:rsidP="004C6CEA">
      <w:pPr>
        <w:spacing w:after="200"/>
        <w:rPr>
          <w:rFonts w:ascii="Arial" w:hAnsi="Arial" w:cs="Arial"/>
          <w:bCs/>
          <w:sz w:val="20"/>
          <w:szCs w:val="20"/>
        </w:rPr>
      </w:pPr>
      <w:r w:rsidRPr="00C5063D">
        <w:rPr>
          <w:rFonts w:ascii="Arial" w:hAnsi="Arial" w:cs="Arial"/>
          <w:b/>
          <w:bCs/>
          <w:color w:val="001BBA"/>
          <w:sz w:val="22"/>
          <w:szCs w:val="22"/>
        </w:rPr>
        <w:t xml:space="preserve">Question: </w:t>
      </w:r>
      <w:r w:rsidRPr="009D1AD4">
        <w:rPr>
          <w:rFonts w:ascii="Arial" w:hAnsi="Arial" w:cs="Arial"/>
          <w:bCs/>
          <w:sz w:val="20"/>
          <w:szCs w:val="20"/>
        </w:rPr>
        <w:t>What are some HIPAA resources available through UBA and through the U.S. Department of Health and Human Services (HHS)?</w:t>
      </w:r>
    </w:p>
    <w:p w14:paraId="48FDD305" w14:textId="346C3AE8" w:rsidR="009F5C2B" w:rsidRPr="009D1AD4" w:rsidRDefault="009F5C2B" w:rsidP="004C6CEA">
      <w:pPr>
        <w:spacing w:after="200"/>
        <w:rPr>
          <w:rFonts w:ascii="Arial" w:hAnsi="Arial" w:cs="Arial"/>
          <w:bCs/>
          <w:sz w:val="20"/>
          <w:szCs w:val="20"/>
        </w:rPr>
      </w:pPr>
      <w:r w:rsidRPr="009D1AD4">
        <w:rPr>
          <w:rFonts w:ascii="Arial" w:hAnsi="Arial" w:cs="Arial"/>
          <w:b/>
          <w:bCs/>
          <w:sz w:val="20"/>
          <w:szCs w:val="20"/>
        </w:rPr>
        <w:t>Answer:</w:t>
      </w:r>
      <w:r w:rsidRPr="009D1AD4">
        <w:rPr>
          <w:rFonts w:ascii="Arial" w:hAnsi="Arial" w:cs="Arial"/>
          <w:bCs/>
          <w:sz w:val="20"/>
          <w:szCs w:val="20"/>
        </w:rPr>
        <w:t xml:space="preserve"> UBA sponsored an Employer Webinar on HIPAA in April 2017. The webinar recording and </w:t>
      </w:r>
      <w:r w:rsidR="001248FE">
        <w:rPr>
          <w:rFonts w:ascii="Arial" w:hAnsi="Arial" w:cs="Arial"/>
          <w:bCs/>
          <w:sz w:val="20"/>
          <w:szCs w:val="20"/>
        </w:rPr>
        <w:t>presentation</w:t>
      </w:r>
      <w:r w:rsidRPr="009D1AD4">
        <w:rPr>
          <w:rFonts w:ascii="Arial" w:hAnsi="Arial" w:cs="Arial"/>
          <w:bCs/>
          <w:sz w:val="20"/>
          <w:szCs w:val="20"/>
        </w:rPr>
        <w:t xml:space="preserve"> are available on our Wisdom Network's Employer Webinar Series</w:t>
      </w:r>
      <w:r w:rsidR="00055049">
        <w:rPr>
          <w:rFonts w:ascii="Arial" w:hAnsi="Arial" w:cs="Arial"/>
          <w:bCs/>
          <w:sz w:val="20"/>
          <w:szCs w:val="20"/>
        </w:rPr>
        <w:t xml:space="preserve"> </w:t>
      </w:r>
      <w:hyperlink r:id="rId54" w:history="1">
        <w:r w:rsidRPr="009D1AD4">
          <w:rPr>
            <w:rStyle w:val="Hyperlink"/>
            <w:bCs/>
          </w:rPr>
          <w:t>webpage</w:t>
        </w:r>
      </w:hyperlink>
      <w:r w:rsidRPr="009D1AD4">
        <w:rPr>
          <w:rFonts w:ascii="Arial" w:hAnsi="Arial" w:cs="Arial"/>
          <w:bCs/>
          <w:sz w:val="20"/>
          <w:szCs w:val="20"/>
        </w:rPr>
        <w:t>.</w:t>
      </w:r>
    </w:p>
    <w:p w14:paraId="13D5CA9B" w14:textId="5E64978F" w:rsidR="009F5C2B" w:rsidRPr="009D1AD4" w:rsidRDefault="009F5C2B" w:rsidP="004C6CEA">
      <w:pPr>
        <w:spacing w:after="200"/>
        <w:rPr>
          <w:rFonts w:ascii="Arial" w:hAnsi="Arial" w:cs="Arial"/>
          <w:bCs/>
          <w:sz w:val="20"/>
          <w:szCs w:val="20"/>
        </w:rPr>
      </w:pPr>
      <w:r w:rsidRPr="009D1AD4">
        <w:rPr>
          <w:rFonts w:ascii="Arial" w:hAnsi="Arial" w:cs="Arial"/>
          <w:bCs/>
          <w:sz w:val="20"/>
          <w:szCs w:val="20"/>
        </w:rPr>
        <w:t xml:space="preserve">Our </w:t>
      </w:r>
      <w:r w:rsidR="001248FE">
        <w:rPr>
          <w:rFonts w:ascii="Arial" w:hAnsi="Arial" w:cs="Arial"/>
          <w:bCs/>
          <w:sz w:val="20"/>
          <w:szCs w:val="20"/>
        </w:rPr>
        <w:t>July 12, 2018,</w:t>
      </w:r>
      <w:r w:rsidRPr="009D1AD4">
        <w:rPr>
          <w:rFonts w:ascii="Arial" w:hAnsi="Arial" w:cs="Arial"/>
          <w:bCs/>
          <w:sz w:val="20"/>
          <w:szCs w:val="20"/>
        </w:rPr>
        <w:t xml:space="preserve"> UBA Quarterly Compliance Call covered HIPAA business associate agreements. Both the </w:t>
      </w:r>
      <w:r w:rsidR="001248FE">
        <w:rPr>
          <w:rFonts w:ascii="Arial" w:hAnsi="Arial" w:cs="Arial"/>
          <w:bCs/>
          <w:sz w:val="20"/>
          <w:szCs w:val="20"/>
        </w:rPr>
        <w:t>presentation</w:t>
      </w:r>
      <w:r w:rsidRPr="009D1AD4">
        <w:rPr>
          <w:rFonts w:ascii="Arial" w:hAnsi="Arial" w:cs="Arial"/>
          <w:bCs/>
          <w:sz w:val="20"/>
          <w:szCs w:val="20"/>
        </w:rPr>
        <w:t xml:space="preserve"> and recording are available on our Wisdom Network’s Quarterly Compliance Call</w:t>
      </w:r>
      <w:r w:rsidR="00055049">
        <w:rPr>
          <w:rFonts w:ascii="Arial" w:hAnsi="Arial" w:cs="Arial"/>
          <w:bCs/>
          <w:sz w:val="20"/>
          <w:szCs w:val="20"/>
        </w:rPr>
        <w:t xml:space="preserve"> </w:t>
      </w:r>
      <w:hyperlink r:id="rId55" w:history="1">
        <w:r w:rsidRPr="001248FE">
          <w:rPr>
            <w:rStyle w:val="Hyperlink"/>
            <w:bCs/>
          </w:rPr>
          <w:t>webpage</w:t>
        </w:r>
      </w:hyperlink>
      <w:r w:rsidRPr="009D1AD4">
        <w:rPr>
          <w:rFonts w:ascii="Arial" w:hAnsi="Arial" w:cs="Arial"/>
          <w:bCs/>
          <w:sz w:val="20"/>
          <w:szCs w:val="20"/>
        </w:rPr>
        <w:t>.</w:t>
      </w:r>
    </w:p>
    <w:p w14:paraId="6AA5EC39" w14:textId="297893AD" w:rsidR="009F5C2B" w:rsidRPr="009D1AD4" w:rsidRDefault="001248FE" w:rsidP="004C6CEA">
      <w:pPr>
        <w:spacing w:after="200"/>
        <w:rPr>
          <w:rFonts w:ascii="Arial" w:hAnsi="Arial" w:cs="Arial"/>
          <w:bCs/>
          <w:sz w:val="20"/>
          <w:szCs w:val="20"/>
        </w:rPr>
      </w:pPr>
      <w:r>
        <w:rPr>
          <w:rFonts w:ascii="Arial" w:hAnsi="Arial" w:cs="Arial"/>
          <w:bCs/>
          <w:sz w:val="20"/>
          <w:szCs w:val="20"/>
        </w:rPr>
        <w:t>O</w:t>
      </w:r>
      <w:r w:rsidR="009F5C2B" w:rsidRPr="009D1AD4">
        <w:rPr>
          <w:rFonts w:ascii="Arial" w:hAnsi="Arial" w:cs="Arial"/>
          <w:bCs/>
          <w:sz w:val="20"/>
          <w:szCs w:val="20"/>
        </w:rPr>
        <w:t>ur UBA Advisors “</w:t>
      </w:r>
      <w:hyperlink r:id="rId56" w:history="1">
        <w:r w:rsidR="009F5C2B" w:rsidRPr="00FD36CB">
          <w:rPr>
            <w:rStyle w:val="Hyperlink"/>
            <w:bCs/>
          </w:rPr>
          <w:t>How HIPAA Applies to Health and Welfare Benefit Brokers</w:t>
        </w:r>
      </w:hyperlink>
      <w:r w:rsidR="009F5C2B" w:rsidRPr="009D1AD4">
        <w:rPr>
          <w:rFonts w:ascii="Arial" w:hAnsi="Arial" w:cs="Arial"/>
          <w:bCs/>
          <w:sz w:val="20"/>
          <w:szCs w:val="20"/>
        </w:rPr>
        <w:t>” and “</w:t>
      </w:r>
      <w:hyperlink r:id="rId57" w:history="1">
        <w:r w:rsidR="009F5C2B" w:rsidRPr="00FD36CB">
          <w:rPr>
            <w:rStyle w:val="Hyperlink"/>
            <w:bCs/>
          </w:rPr>
          <w:t>HIPAA Best Practices Guide</w:t>
        </w:r>
      </w:hyperlink>
      <w:r w:rsidR="009F5C2B" w:rsidRPr="009D1AD4">
        <w:rPr>
          <w:rFonts w:ascii="Arial" w:hAnsi="Arial" w:cs="Arial"/>
          <w:bCs/>
          <w:sz w:val="20"/>
          <w:szCs w:val="20"/>
        </w:rPr>
        <w:t>” may be useful resources.</w:t>
      </w:r>
    </w:p>
    <w:p w14:paraId="74742524" w14:textId="18CC17F8" w:rsidR="009F5C2B" w:rsidRPr="009D1AD4" w:rsidRDefault="009F5C2B" w:rsidP="004C6CEA">
      <w:pPr>
        <w:spacing w:after="200"/>
        <w:rPr>
          <w:rFonts w:ascii="Arial" w:hAnsi="Arial" w:cs="Arial"/>
          <w:bCs/>
          <w:sz w:val="20"/>
          <w:szCs w:val="20"/>
        </w:rPr>
      </w:pPr>
      <w:r w:rsidRPr="009D1AD4">
        <w:rPr>
          <w:rFonts w:ascii="Arial" w:hAnsi="Arial" w:cs="Arial"/>
          <w:bCs/>
          <w:sz w:val="20"/>
          <w:szCs w:val="20"/>
        </w:rPr>
        <w:t>Outside of UBA, HHS has some free HIPAA training tools on its Training Materials</w:t>
      </w:r>
      <w:r w:rsidR="00055049">
        <w:rPr>
          <w:rFonts w:ascii="Arial" w:hAnsi="Arial" w:cs="Arial"/>
          <w:bCs/>
          <w:sz w:val="20"/>
          <w:szCs w:val="20"/>
        </w:rPr>
        <w:t xml:space="preserve"> </w:t>
      </w:r>
      <w:hyperlink r:id="rId58" w:history="1">
        <w:r w:rsidRPr="009D1AD4">
          <w:rPr>
            <w:rStyle w:val="Hyperlink"/>
            <w:bCs/>
          </w:rPr>
          <w:t>webpage</w:t>
        </w:r>
      </w:hyperlink>
      <w:r w:rsidRPr="009D1AD4">
        <w:rPr>
          <w:rFonts w:ascii="Arial" w:hAnsi="Arial" w:cs="Arial"/>
          <w:bCs/>
          <w:sz w:val="20"/>
          <w:szCs w:val="20"/>
        </w:rPr>
        <w:t>.</w:t>
      </w:r>
    </w:p>
    <w:p w14:paraId="58957060" w14:textId="77777777" w:rsidR="00354D6A" w:rsidRPr="009D1AD4" w:rsidRDefault="00354D6A" w:rsidP="004C6CEA">
      <w:pPr>
        <w:spacing w:after="200"/>
        <w:rPr>
          <w:rFonts w:ascii="Arial" w:hAnsi="Arial" w:cs="Arial"/>
          <w:sz w:val="20"/>
          <w:szCs w:val="20"/>
        </w:rPr>
      </w:pPr>
      <w:r w:rsidRPr="00C5063D">
        <w:rPr>
          <w:rFonts w:ascii="Arial" w:hAnsi="Arial" w:cs="Arial"/>
          <w:b/>
          <w:bCs/>
          <w:color w:val="001BBA"/>
          <w:sz w:val="22"/>
          <w:szCs w:val="22"/>
        </w:rPr>
        <w:lastRenderedPageBreak/>
        <w:t>Question:</w:t>
      </w:r>
      <w:r>
        <w:rPr>
          <w:rFonts w:ascii="Arial" w:hAnsi="Arial" w:cs="Arial"/>
          <w:b/>
          <w:sz w:val="20"/>
          <w:szCs w:val="20"/>
        </w:rPr>
        <w:t xml:space="preserve"> </w:t>
      </w:r>
      <w:r w:rsidRPr="009D1AD4">
        <w:rPr>
          <w:rFonts w:ascii="Arial" w:hAnsi="Arial" w:cs="Arial"/>
          <w:color w:val="000000"/>
          <w:sz w:val="20"/>
          <w:szCs w:val="20"/>
        </w:rPr>
        <w:t>If a parent wants to drop a child (age 23) from the parent’s plan because the parent no longer wants to pay for the child’s coverage, would this be considered a qualifying event for the child to join the child’s employer’s plan? Is the parent allowed to drop the child from coverage for this reason outside of open enrollment?</w:t>
      </w:r>
    </w:p>
    <w:p w14:paraId="6FA69DE6" w14:textId="77777777" w:rsidR="00354D6A" w:rsidRPr="009D1AD4" w:rsidRDefault="00354D6A" w:rsidP="004C6CEA">
      <w:pPr>
        <w:spacing w:after="200"/>
        <w:rPr>
          <w:rFonts w:ascii="Arial" w:hAnsi="Arial" w:cs="Arial"/>
          <w:color w:val="000000"/>
          <w:sz w:val="20"/>
          <w:szCs w:val="20"/>
        </w:rPr>
      </w:pPr>
      <w:r w:rsidRPr="009D1AD4">
        <w:rPr>
          <w:rFonts w:ascii="Arial" w:hAnsi="Arial" w:cs="Arial"/>
          <w:b/>
          <w:sz w:val="20"/>
          <w:szCs w:val="20"/>
        </w:rPr>
        <w:t>Answer:</w:t>
      </w:r>
      <w:r w:rsidRPr="009D1AD4">
        <w:rPr>
          <w:rFonts w:ascii="Arial" w:hAnsi="Arial" w:cs="Arial"/>
          <w:sz w:val="20"/>
          <w:szCs w:val="20"/>
        </w:rPr>
        <w:t xml:space="preserve"> </w:t>
      </w:r>
      <w:r w:rsidRPr="009D1AD4">
        <w:rPr>
          <w:rFonts w:ascii="Arial" w:hAnsi="Arial" w:cs="Arial"/>
          <w:color w:val="000000"/>
          <w:sz w:val="20"/>
          <w:szCs w:val="20"/>
        </w:rPr>
        <w:t>Yes, if the child loses group health plan coverage, then the child has a HIPAA special enrollment right to join his employer’s group health plan.</w:t>
      </w:r>
    </w:p>
    <w:p w14:paraId="56679D3D" w14:textId="77777777" w:rsidR="00354D6A" w:rsidRPr="009D1AD4" w:rsidRDefault="00354D6A" w:rsidP="004C6CEA">
      <w:pPr>
        <w:spacing w:after="200"/>
        <w:rPr>
          <w:rFonts w:ascii="Arial" w:hAnsi="Arial" w:cs="Arial"/>
          <w:color w:val="000000"/>
          <w:sz w:val="20"/>
          <w:szCs w:val="20"/>
        </w:rPr>
      </w:pPr>
      <w:r w:rsidRPr="009D1AD4">
        <w:rPr>
          <w:rFonts w:ascii="Arial" w:hAnsi="Arial" w:cs="Arial"/>
          <w:color w:val="000000"/>
          <w:sz w:val="20"/>
          <w:szCs w:val="20"/>
        </w:rPr>
        <w:t>However, a parent’s unwillingness to continue paying for a child’s coverage is not a permitted election change event under the Section 125 cafeteria plan rules. This means that a parent cannot drop a child’s coverage mid-year based on the reason that the parent doesn’t want to pay for the child’s coverage.</w:t>
      </w:r>
    </w:p>
    <w:p w14:paraId="789971C4" w14:textId="77777777" w:rsidR="00A90CD8" w:rsidRPr="009D1AD4" w:rsidRDefault="00A90CD8" w:rsidP="00A90CD8">
      <w:pPr>
        <w:spacing w:after="200"/>
        <w:rPr>
          <w:rFonts w:ascii="Arial" w:hAnsi="Arial" w:cs="Arial"/>
          <w:color w:val="000000"/>
          <w:sz w:val="20"/>
          <w:szCs w:val="20"/>
        </w:rPr>
      </w:pPr>
      <w:r>
        <w:rPr>
          <w:rFonts w:ascii="Arial" w:hAnsi="Arial" w:cs="Arial"/>
          <w:color w:val="000000"/>
          <w:sz w:val="20"/>
          <w:szCs w:val="20"/>
        </w:rPr>
        <w:t>O</w:t>
      </w:r>
      <w:r w:rsidRPr="009D1AD4">
        <w:rPr>
          <w:rFonts w:ascii="Arial" w:hAnsi="Arial" w:cs="Arial"/>
          <w:color w:val="000000"/>
          <w:sz w:val="20"/>
          <w:szCs w:val="20"/>
        </w:rPr>
        <w:t>ur UBA Advisor “</w:t>
      </w:r>
      <w:hyperlink r:id="rId59" w:history="1">
        <w:r w:rsidRPr="0049445B">
          <w:rPr>
            <w:rStyle w:val="Hyperlink"/>
          </w:rPr>
          <w:t>Cafeteria Plans: Qualifying Events and Changing Employee Elections</w:t>
        </w:r>
      </w:hyperlink>
      <w:r w:rsidRPr="009D1AD4">
        <w:rPr>
          <w:rFonts w:ascii="Arial" w:hAnsi="Arial" w:cs="Arial"/>
          <w:color w:val="000000"/>
          <w:sz w:val="20"/>
          <w:szCs w:val="20"/>
        </w:rPr>
        <w:t>” describes HIPAA special enrollment rights at page 9.</w:t>
      </w:r>
    </w:p>
    <w:p w14:paraId="462E2D6B" w14:textId="77777777" w:rsidR="00354D6A" w:rsidRPr="009D1AD4" w:rsidRDefault="00354D6A" w:rsidP="004C6CEA">
      <w:pPr>
        <w:spacing w:after="200"/>
        <w:rPr>
          <w:rFonts w:ascii="Arial" w:hAnsi="Arial" w:cs="Arial"/>
          <w:bCs/>
          <w:sz w:val="20"/>
          <w:szCs w:val="20"/>
        </w:rPr>
      </w:pPr>
    </w:p>
    <w:tbl>
      <w:tblPr>
        <w:tblW w:w="9360" w:type="dxa"/>
        <w:shd w:val="clear" w:color="auto" w:fill="001BBA"/>
        <w:tblCellMar>
          <w:top w:w="86" w:type="dxa"/>
          <w:left w:w="115" w:type="dxa"/>
          <w:bottom w:w="86" w:type="dxa"/>
          <w:right w:w="115" w:type="dxa"/>
        </w:tblCellMar>
        <w:tblLook w:val="01E0" w:firstRow="1" w:lastRow="1" w:firstColumn="1" w:lastColumn="1" w:noHBand="0" w:noVBand="0"/>
      </w:tblPr>
      <w:tblGrid>
        <w:gridCol w:w="9360"/>
      </w:tblGrid>
      <w:tr w:rsidR="00FE74CA" w:rsidRPr="00C04F07" w14:paraId="4632DC5B" w14:textId="77777777" w:rsidTr="00A14E50">
        <w:trPr>
          <w:trHeight w:val="144"/>
        </w:trPr>
        <w:tc>
          <w:tcPr>
            <w:tcW w:w="9360" w:type="dxa"/>
            <w:shd w:val="clear" w:color="auto" w:fill="001BBA"/>
            <w:vAlign w:val="center"/>
          </w:tcPr>
          <w:p w14:paraId="58AED51F" w14:textId="17E37AFC" w:rsidR="00FE74CA" w:rsidRPr="00C04F07" w:rsidRDefault="00FE74CA" w:rsidP="00A14E50">
            <w:pPr>
              <w:pStyle w:val="Heading2"/>
              <w:rPr>
                <w:i w:val="0"/>
                <w:iCs/>
                <w:color w:val="auto"/>
              </w:rPr>
            </w:pPr>
            <w:bookmarkStart w:id="24" w:name="_Toc12890042"/>
            <w:bookmarkStart w:id="25" w:name="_Toc12890158"/>
            <w:bookmarkStart w:id="26" w:name="_Toc12890539"/>
            <w:r>
              <w:rPr>
                <w:i w:val="0"/>
                <w:iCs/>
                <w:color w:val="auto"/>
                <w:szCs w:val="22"/>
              </w:rPr>
              <w:t>Medical Loss Ratio</w:t>
            </w:r>
            <w:bookmarkEnd w:id="24"/>
            <w:bookmarkEnd w:id="25"/>
            <w:bookmarkEnd w:id="26"/>
          </w:p>
        </w:tc>
      </w:tr>
    </w:tbl>
    <w:p w14:paraId="49A86340" w14:textId="77777777" w:rsidR="009F5C2B" w:rsidRDefault="009F5C2B" w:rsidP="001204C3">
      <w:pPr>
        <w:rPr>
          <w:rFonts w:ascii="Arial" w:hAnsi="Arial" w:cs="Arial"/>
          <w:sz w:val="20"/>
          <w:szCs w:val="20"/>
        </w:rPr>
      </w:pPr>
    </w:p>
    <w:p w14:paraId="4C1CAC37" w14:textId="0BD23DCD" w:rsidR="00354D6A" w:rsidRPr="009D1AD4" w:rsidRDefault="00354D6A" w:rsidP="004C6CEA">
      <w:pPr>
        <w:spacing w:after="200"/>
        <w:rPr>
          <w:rFonts w:ascii="Arial" w:hAnsi="Arial" w:cs="Arial"/>
          <w:sz w:val="20"/>
          <w:szCs w:val="20"/>
        </w:rPr>
      </w:pPr>
      <w:r w:rsidRPr="00C5063D">
        <w:rPr>
          <w:rFonts w:ascii="Arial" w:hAnsi="Arial" w:cs="Arial"/>
          <w:b/>
          <w:bCs/>
          <w:color w:val="001BBA"/>
          <w:sz w:val="22"/>
          <w:szCs w:val="22"/>
        </w:rPr>
        <w:t>Question:</w:t>
      </w:r>
      <w:r w:rsidRPr="009D1AD4">
        <w:rPr>
          <w:rFonts w:ascii="Arial" w:hAnsi="Arial" w:cs="Arial"/>
          <w:b/>
          <w:sz w:val="20"/>
          <w:szCs w:val="20"/>
        </w:rPr>
        <w:t xml:space="preserve"> </w:t>
      </w:r>
      <w:r w:rsidRPr="009D1AD4">
        <w:rPr>
          <w:rFonts w:ascii="Arial" w:hAnsi="Arial" w:cs="Arial"/>
          <w:sz w:val="20"/>
          <w:szCs w:val="20"/>
        </w:rPr>
        <w:t>Our client recently received a medical loss ratio (MLR) rebate. How should the money be</w:t>
      </w:r>
      <w:r w:rsidR="001204C3">
        <w:rPr>
          <w:rFonts w:ascii="Arial" w:hAnsi="Arial" w:cs="Arial"/>
          <w:sz w:val="20"/>
          <w:szCs w:val="20"/>
        </w:rPr>
        <w:t> </w:t>
      </w:r>
      <w:r w:rsidRPr="009D1AD4">
        <w:rPr>
          <w:rFonts w:ascii="Arial" w:hAnsi="Arial" w:cs="Arial"/>
          <w:sz w:val="20"/>
          <w:szCs w:val="20"/>
        </w:rPr>
        <w:t>distributed?</w:t>
      </w:r>
    </w:p>
    <w:p w14:paraId="5393BE69" w14:textId="77777777" w:rsidR="00354D6A" w:rsidRPr="009D1AD4" w:rsidRDefault="00354D6A" w:rsidP="004C6CEA">
      <w:pPr>
        <w:spacing w:after="200"/>
        <w:rPr>
          <w:rFonts w:ascii="Arial" w:hAnsi="Arial" w:cs="Arial"/>
          <w:sz w:val="20"/>
          <w:szCs w:val="20"/>
        </w:rPr>
      </w:pPr>
      <w:r w:rsidRPr="009D1AD4">
        <w:rPr>
          <w:rFonts w:ascii="Arial" w:hAnsi="Arial" w:cs="Arial"/>
          <w:b/>
          <w:sz w:val="20"/>
          <w:szCs w:val="20"/>
        </w:rPr>
        <w:t>Answer:</w:t>
      </w:r>
      <w:r w:rsidRPr="009D1AD4">
        <w:rPr>
          <w:rFonts w:ascii="Arial" w:hAnsi="Arial" w:cs="Arial"/>
          <w:sz w:val="20"/>
          <w:szCs w:val="20"/>
        </w:rPr>
        <w:t xml:space="preserve"> If the plan document states how a rebate should be used, then the plan administrator should follow the plan document’s terms.</w:t>
      </w:r>
    </w:p>
    <w:p w14:paraId="27E4B09E" w14:textId="77777777" w:rsidR="00354D6A" w:rsidRPr="009D1AD4" w:rsidRDefault="00354D6A" w:rsidP="004C6CEA">
      <w:pPr>
        <w:spacing w:after="200"/>
        <w:rPr>
          <w:rFonts w:ascii="Arial" w:hAnsi="Arial" w:cs="Arial"/>
          <w:sz w:val="20"/>
          <w:szCs w:val="20"/>
        </w:rPr>
      </w:pPr>
      <w:r w:rsidRPr="009D1AD4">
        <w:rPr>
          <w:rFonts w:ascii="Arial" w:hAnsi="Arial" w:cs="Arial"/>
          <w:sz w:val="20"/>
          <w:szCs w:val="20"/>
        </w:rPr>
        <w:t>In the absence of plan document language on how a rebate should be used, please see the educational information below for how to distribute the rebate.</w:t>
      </w:r>
    </w:p>
    <w:p w14:paraId="5B8FD495" w14:textId="77777777" w:rsidR="00354D6A" w:rsidRPr="009D1AD4" w:rsidRDefault="00354D6A" w:rsidP="004C6CEA">
      <w:pPr>
        <w:spacing w:after="200"/>
        <w:rPr>
          <w:rFonts w:ascii="Arial" w:hAnsi="Arial" w:cs="Arial"/>
          <w:sz w:val="20"/>
          <w:szCs w:val="20"/>
        </w:rPr>
      </w:pPr>
      <w:r w:rsidRPr="009D1AD4">
        <w:rPr>
          <w:rFonts w:ascii="Arial" w:hAnsi="Arial" w:cs="Arial"/>
          <w:sz w:val="20"/>
          <w:szCs w:val="20"/>
        </w:rPr>
        <w:t>Regulatory agencies’ guidance on how employers should distribute rebates has been fairly general, so employers have some discretion on calculating and distributing the employees’ share. These general principles apply:</w:t>
      </w:r>
    </w:p>
    <w:p w14:paraId="6FB121E9" w14:textId="77777777" w:rsidR="00354D6A" w:rsidRPr="009D1AD4" w:rsidRDefault="00354D6A" w:rsidP="004C6CEA">
      <w:pPr>
        <w:spacing w:after="200"/>
        <w:rPr>
          <w:rFonts w:ascii="Arial" w:hAnsi="Arial" w:cs="Arial"/>
          <w:sz w:val="20"/>
          <w:szCs w:val="20"/>
        </w:rPr>
      </w:pPr>
      <w:r w:rsidRPr="009D1AD4">
        <w:rPr>
          <w:rFonts w:ascii="Arial" w:hAnsi="Arial" w:cs="Arial"/>
          <w:b/>
          <w:bCs/>
          <w:sz w:val="20"/>
          <w:szCs w:val="20"/>
        </w:rPr>
        <w:t>How should the rebate be divided?</w:t>
      </w:r>
    </w:p>
    <w:p w14:paraId="2AB39058" w14:textId="77777777" w:rsidR="00354D6A" w:rsidRPr="009D1AD4" w:rsidRDefault="00354D6A" w:rsidP="004C6CEA">
      <w:pPr>
        <w:spacing w:after="200"/>
        <w:rPr>
          <w:rFonts w:ascii="Arial" w:hAnsi="Arial" w:cs="Arial"/>
          <w:sz w:val="20"/>
          <w:szCs w:val="20"/>
        </w:rPr>
      </w:pPr>
      <w:r w:rsidRPr="009D1AD4">
        <w:rPr>
          <w:rFonts w:ascii="Arial" w:hAnsi="Arial" w:cs="Arial"/>
          <w:sz w:val="20"/>
          <w:szCs w:val="20"/>
        </w:rPr>
        <w:t>Assuming both the employer and employees contribute to the cost of coverage, the rebate should be divided between the employer and the employees, based on the employer’s and employees’ relative share. Employers may divide the rebate in any reasonable manner – for example, the rebate could be divided evenly among the employees who receive it, or it may be divided based on the employee’s contribution for the level of coverage elected.</w:t>
      </w:r>
    </w:p>
    <w:p w14:paraId="5446E54A" w14:textId="77777777" w:rsidR="00354D6A" w:rsidRPr="009D1AD4" w:rsidRDefault="00354D6A" w:rsidP="004C6CEA">
      <w:pPr>
        <w:spacing w:after="200"/>
        <w:rPr>
          <w:rFonts w:ascii="Arial" w:hAnsi="Arial" w:cs="Arial"/>
          <w:sz w:val="20"/>
          <w:szCs w:val="20"/>
        </w:rPr>
      </w:pPr>
      <w:r w:rsidRPr="009D1AD4">
        <w:rPr>
          <w:rFonts w:ascii="Arial" w:hAnsi="Arial" w:cs="Arial"/>
          <w:sz w:val="20"/>
          <w:szCs w:val="20"/>
        </w:rPr>
        <w:t>Employers are not required to precisely determine each employee’s share of the rebate, and so do not need to perform special calculations for employees who only participated for part of the year, moved between tiers, etc.</w:t>
      </w:r>
    </w:p>
    <w:p w14:paraId="62239A9D" w14:textId="77777777" w:rsidR="00354D6A" w:rsidRPr="009D1AD4" w:rsidRDefault="00354D6A" w:rsidP="004C6CEA">
      <w:pPr>
        <w:spacing w:after="200"/>
        <w:rPr>
          <w:rFonts w:ascii="Arial" w:hAnsi="Arial" w:cs="Arial"/>
          <w:sz w:val="20"/>
          <w:szCs w:val="20"/>
        </w:rPr>
      </w:pPr>
      <w:r w:rsidRPr="009D1AD4">
        <w:rPr>
          <w:rFonts w:ascii="Arial" w:hAnsi="Arial" w:cs="Arial"/>
          <w:sz w:val="20"/>
          <w:szCs w:val="20"/>
        </w:rPr>
        <w:t>Using the example that the rebates are based on premiums paid to the carrier for calendar year 2017, the employer may pay the rebate only to employees who participated in the plan in 2017 and are still participating, only to current participants (even though the rebate relates to 2017), or to those who participated in 2017, regardless whether they are currently participating.</w:t>
      </w:r>
    </w:p>
    <w:p w14:paraId="1C8A132F" w14:textId="011E35DE" w:rsidR="00354D6A" w:rsidRPr="009D1AD4" w:rsidRDefault="00354D6A" w:rsidP="004C6CEA">
      <w:pPr>
        <w:spacing w:after="200"/>
        <w:rPr>
          <w:rFonts w:ascii="Arial" w:hAnsi="Arial" w:cs="Arial"/>
          <w:sz w:val="20"/>
          <w:szCs w:val="20"/>
        </w:rPr>
      </w:pPr>
      <w:r w:rsidRPr="009D1AD4">
        <w:rPr>
          <w:rFonts w:ascii="Arial" w:hAnsi="Arial" w:cs="Arial"/>
          <w:sz w:val="20"/>
          <w:szCs w:val="20"/>
        </w:rPr>
        <w:t>Insurers must send a notice to all employees who participated in the plan in 2017 stating that a rebate has been issued to the employer,</w:t>
      </w:r>
      <w:r w:rsidR="00055049">
        <w:rPr>
          <w:rFonts w:ascii="Arial" w:hAnsi="Arial" w:cs="Arial"/>
          <w:sz w:val="20"/>
          <w:szCs w:val="20"/>
        </w:rPr>
        <w:t xml:space="preserve"> </w:t>
      </w:r>
      <w:r w:rsidRPr="009D1AD4">
        <w:rPr>
          <w:rFonts w:ascii="Arial" w:hAnsi="Arial" w:cs="Arial"/>
          <w:sz w:val="20"/>
          <w:szCs w:val="20"/>
        </w:rPr>
        <w:t>so employers who choose to limit rebate payments to those who are currently participating should be prepared to explain why the rebate is only being paid to current participants.</w:t>
      </w:r>
      <w:r w:rsidR="00055049">
        <w:rPr>
          <w:rFonts w:ascii="Arial" w:hAnsi="Arial" w:cs="Arial"/>
          <w:sz w:val="20"/>
          <w:szCs w:val="20"/>
        </w:rPr>
        <w:t xml:space="preserve"> </w:t>
      </w:r>
      <w:r w:rsidRPr="009D1AD4">
        <w:rPr>
          <w:rFonts w:ascii="Arial" w:hAnsi="Arial" w:cs="Arial"/>
          <w:sz w:val="20"/>
          <w:szCs w:val="20"/>
        </w:rPr>
        <w:t>This might include the fact that since the rebate would be taxable income, the amount involved does not justify the administrative cost to locate former participants and issue a check.</w:t>
      </w:r>
    </w:p>
    <w:p w14:paraId="67D78287" w14:textId="77777777" w:rsidR="00354D6A" w:rsidRPr="009D1AD4" w:rsidRDefault="00354D6A" w:rsidP="001204C3">
      <w:pPr>
        <w:keepNext/>
        <w:spacing w:after="200"/>
        <w:rPr>
          <w:rFonts w:ascii="Arial" w:hAnsi="Arial" w:cs="Arial"/>
          <w:sz w:val="20"/>
          <w:szCs w:val="20"/>
        </w:rPr>
      </w:pPr>
      <w:r w:rsidRPr="009D1AD4">
        <w:rPr>
          <w:rFonts w:ascii="Arial" w:hAnsi="Arial" w:cs="Arial"/>
          <w:b/>
          <w:bCs/>
          <w:sz w:val="20"/>
          <w:szCs w:val="20"/>
        </w:rPr>
        <w:lastRenderedPageBreak/>
        <w:t>Are Former Plan Participants Entitled to Share in a Rebate?</w:t>
      </w:r>
    </w:p>
    <w:p w14:paraId="01EC73AC" w14:textId="2553C095" w:rsidR="00354D6A" w:rsidRPr="009D1AD4" w:rsidRDefault="00354D6A" w:rsidP="004C6CEA">
      <w:pPr>
        <w:spacing w:after="200"/>
        <w:rPr>
          <w:rFonts w:ascii="Arial" w:hAnsi="Arial" w:cs="Arial"/>
          <w:sz w:val="20"/>
          <w:szCs w:val="20"/>
        </w:rPr>
      </w:pPr>
      <w:r w:rsidRPr="009D1AD4">
        <w:rPr>
          <w:rFonts w:ascii="Arial" w:hAnsi="Arial" w:cs="Arial"/>
          <w:sz w:val="20"/>
          <w:szCs w:val="20"/>
        </w:rPr>
        <w:t xml:space="preserve">Whether former participants should be included in any rebate allocations depends on the type of plan involved. For ERISA plans, there is no requirement that former participants be included or excluded. However, the </w:t>
      </w:r>
      <w:r w:rsidR="00A90CD8">
        <w:rPr>
          <w:rFonts w:ascii="Arial" w:hAnsi="Arial" w:cs="Arial"/>
          <w:sz w:val="20"/>
          <w:szCs w:val="20"/>
        </w:rPr>
        <w:t>Department of Labor (</w:t>
      </w:r>
      <w:r w:rsidRPr="009D1AD4">
        <w:rPr>
          <w:rFonts w:ascii="Arial" w:hAnsi="Arial" w:cs="Arial"/>
          <w:sz w:val="20"/>
          <w:szCs w:val="20"/>
        </w:rPr>
        <w:t>DOL</w:t>
      </w:r>
      <w:r w:rsidR="00A90CD8">
        <w:rPr>
          <w:rFonts w:ascii="Arial" w:hAnsi="Arial" w:cs="Arial"/>
          <w:sz w:val="20"/>
          <w:szCs w:val="20"/>
        </w:rPr>
        <w:t>)</w:t>
      </w:r>
      <w:r w:rsidRPr="009D1AD4">
        <w:rPr>
          <w:rFonts w:ascii="Arial" w:hAnsi="Arial" w:cs="Arial"/>
          <w:sz w:val="20"/>
          <w:szCs w:val="20"/>
        </w:rPr>
        <w:t xml:space="preserve"> Technical Release, in discussing fiduciary decisions regarding distribution of rebates, states that if a fiduciary determines that the cost of including former participants in a rebate distribution approximates the amount of the rebate, the fiduciary may properly decide to allocate the rebate only to current participants. Therefore, the plan fiduciaries should consider whether to include former participants and should make a prudent decision based on all of the facts and circumstances.</w:t>
      </w:r>
    </w:p>
    <w:p w14:paraId="0E643268" w14:textId="77777777" w:rsidR="00354D6A" w:rsidRPr="009D1AD4" w:rsidRDefault="00354D6A" w:rsidP="004C6CEA">
      <w:pPr>
        <w:spacing w:after="200"/>
        <w:rPr>
          <w:rFonts w:ascii="Arial" w:hAnsi="Arial" w:cs="Arial"/>
          <w:sz w:val="20"/>
          <w:szCs w:val="20"/>
        </w:rPr>
      </w:pPr>
      <w:r w:rsidRPr="009D1AD4">
        <w:rPr>
          <w:rFonts w:ascii="Arial" w:hAnsi="Arial" w:cs="Arial"/>
          <w:sz w:val="20"/>
          <w:szCs w:val="20"/>
        </w:rPr>
        <w:t>For non-federal governmental plans, the interim final regulations specifically require any portion of a rebate that is based on former participants' contributions to be aggregated and used for the benefit of current participants.</w:t>
      </w:r>
    </w:p>
    <w:p w14:paraId="3CF9036E" w14:textId="747F9752" w:rsidR="00354D6A" w:rsidRPr="009D1AD4" w:rsidRDefault="00354D6A" w:rsidP="004C6CEA">
      <w:pPr>
        <w:spacing w:after="200"/>
        <w:rPr>
          <w:rFonts w:ascii="Arial" w:hAnsi="Arial" w:cs="Arial"/>
          <w:sz w:val="20"/>
          <w:szCs w:val="20"/>
        </w:rPr>
      </w:pPr>
      <w:r w:rsidRPr="009D1AD4">
        <w:rPr>
          <w:rFonts w:ascii="Arial" w:hAnsi="Arial" w:cs="Arial"/>
          <w:sz w:val="20"/>
          <w:szCs w:val="20"/>
        </w:rPr>
        <w:t>For nongovernmental, non-ERISA plans, the interim final regulations provide that if the rebate is paid to the policyholder (which is only permissible if the policyholder has given the insurer written assurance that meets the requirements of the regulations), the policyholder must allocate the rebate to current participants only, in the same way as a non-federal governmental plan.</w:t>
      </w:r>
      <w:r w:rsidR="00055049">
        <w:rPr>
          <w:rFonts w:ascii="Arial" w:hAnsi="Arial" w:cs="Arial"/>
          <w:sz w:val="20"/>
          <w:szCs w:val="20"/>
        </w:rPr>
        <w:t xml:space="preserve"> </w:t>
      </w:r>
      <w:r w:rsidRPr="009D1AD4">
        <w:rPr>
          <w:rFonts w:ascii="Arial" w:hAnsi="Arial" w:cs="Arial"/>
          <w:sz w:val="20"/>
          <w:szCs w:val="20"/>
        </w:rPr>
        <w:t>If the rebate is paid directly to participants by the insurer (because the policyholder has declined to provide a written assurance), the insurer must distribute the rebate equally among those who were participants during the</w:t>
      </w:r>
      <w:r w:rsidR="00055049">
        <w:rPr>
          <w:rFonts w:ascii="Arial" w:hAnsi="Arial" w:cs="Arial"/>
          <w:sz w:val="20"/>
          <w:szCs w:val="20"/>
        </w:rPr>
        <w:t xml:space="preserve"> </w:t>
      </w:r>
      <w:r w:rsidRPr="009D1AD4">
        <w:rPr>
          <w:rFonts w:ascii="Arial" w:hAnsi="Arial" w:cs="Arial"/>
          <w:sz w:val="20"/>
          <w:szCs w:val="20"/>
        </w:rPr>
        <w:t>MLR</w:t>
      </w:r>
      <w:r w:rsidR="00055049">
        <w:rPr>
          <w:rFonts w:ascii="Arial" w:hAnsi="Arial" w:cs="Arial"/>
          <w:sz w:val="20"/>
          <w:szCs w:val="20"/>
        </w:rPr>
        <w:t xml:space="preserve"> </w:t>
      </w:r>
      <w:r w:rsidRPr="009D1AD4">
        <w:rPr>
          <w:rFonts w:ascii="Arial" w:hAnsi="Arial" w:cs="Arial"/>
          <w:sz w:val="20"/>
          <w:szCs w:val="20"/>
        </w:rPr>
        <w:t>reporting year on which the rebate is based.</w:t>
      </w:r>
    </w:p>
    <w:p w14:paraId="4368236E" w14:textId="77777777" w:rsidR="00354D6A" w:rsidRPr="009D1AD4" w:rsidRDefault="00354D6A" w:rsidP="004C6CEA">
      <w:pPr>
        <w:spacing w:after="200"/>
        <w:rPr>
          <w:rFonts w:ascii="Arial" w:hAnsi="Arial" w:cs="Arial"/>
          <w:sz w:val="20"/>
          <w:szCs w:val="20"/>
        </w:rPr>
      </w:pPr>
      <w:r w:rsidRPr="009D1AD4">
        <w:rPr>
          <w:rFonts w:ascii="Arial" w:hAnsi="Arial" w:cs="Arial"/>
          <w:b/>
          <w:bCs/>
          <w:sz w:val="20"/>
          <w:szCs w:val="20"/>
        </w:rPr>
        <w:t>How may the employer use the rebate?</w:t>
      </w:r>
    </w:p>
    <w:p w14:paraId="398217DD" w14:textId="77777777" w:rsidR="00354D6A" w:rsidRPr="009D1AD4" w:rsidRDefault="00354D6A" w:rsidP="004C6CEA">
      <w:pPr>
        <w:spacing w:after="200"/>
        <w:rPr>
          <w:rFonts w:ascii="Arial" w:hAnsi="Arial" w:cs="Arial"/>
          <w:sz w:val="20"/>
          <w:szCs w:val="20"/>
        </w:rPr>
      </w:pPr>
      <w:r w:rsidRPr="009D1AD4">
        <w:rPr>
          <w:rFonts w:ascii="Arial" w:hAnsi="Arial" w:cs="Arial"/>
          <w:sz w:val="20"/>
          <w:szCs w:val="20"/>
        </w:rPr>
        <w:t>The employer may pay the rebate in cash, use it for a premium holiday, or use it for benefit enhancements. The rebate must be applied or distributed within 90 days after it is received.</w:t>
      </w:r>
    </w:p>
    <w:p w14:paraId="2701B7D4" w14:textId="77777777" w:rsidR="00354D6A" w:rsidRPr="009D1AD4" w:rsidRDefault="00354D6A" w:rsidP="004C6CEA">
      <w:pPr>
        <w:spacing w:after="200"/>
        <w:rPr>
          <w:rFonts w:ascii="Arial" w:hAnsi="Arial" w:cs="Arial"/>
          <w:sz w:val="20"/>
          <w:szCs w:val="20"/>
        </w:rPr>
      </w:pPr>
      <w:r w:rsidRPr="009D1AD4">
        <w:rPr>
          <w:rFonts w:ascii="Arial" w:hAnsi="Arial" w:cs="Arial"/>
          <w:sz w:val="20"/>
          <w:szCs w:val="20"/>
        </w:rPr>
        <w:t>A cash rebate is taxable income to the employee if it was paid with pre-tax dollars.</w:t>
      </w:r>
    </w:p>
    <w:p w14:paraId="02BE8C9D" w14:textId="77777777" w:rsidR="00354D6A" w:rsidRPr="009D1AD4" w:rsidRDefault="00354D6A" w:rsidP="004C6CEA">
      <w:pPr>
        <w:spacing w:after="200"/>
        <w:rPr>
          <w:rFonts w:ascii="Arial" w:hAnsi="Arial" w:cs="Arial"/>
          <w:sz w:val="20"/>
          <w:szCs w:val="20"/>
        </w:rPr>
      </w:pPr>
      <w:r w:rsidRPr="009D1AD4">
        <w:rPr>
          <w:rFonts w:ascii="Arial" w:hAnsi="Arial" w:cs="Arial"/>
          <w:sz w:val="20"/>
          <w:szCs w:val="20"/>
        </w:rPr>
        <w:t>A premium holiday should be completed within 90 days after the rebate is received (or the rebate needs to be deposited into a trust).</w:t>
      </w:r>
    </w:p>
    <w:p w14:paraId="1DF4F2C3" w14:textId="77777777" w:rsidR="00354D6A" w:rsidRPr="001204C3" w:rsidRDefault="00354D6A" w:rsidP="004C6CEA">
      <w:pPr>
        <w:spacing w:after="200"/>
        <w:rPr>
          <w:rFonts w:ascii="Arial" w:hAnsi="Arial" w:cs="Arial"/>
          <w:spacing w:val="-2"/>
          <w:sz w:val="20"/>
          <w:szCs w:val="20"/>
        </w:rPr>
      </w:pPr>
      <w:r w:rsidRPr="001204C3">
        <w:rPr>
          <w:rFonts w:ascii="Arial" w:hAnsi="Arial" w:cs="Arial"/>
          <w:spacing w:val="-2"/>
          <w:sz w:val="20"/>
          <w:szCs w:val="20"/>
        </w:rPr>
        <w:t>Benefit enhancements include reduced copays or deductibles (which may not be practical due to the timing requirements) or wellness-type benefits that the employer would not have offered without the rebate, such as free flu shots, a health fair, a lunch and learn on nutrition or stress reduction, or a nurse line.</w:t>
      </w:r>
    </w:p>
    <w:p w14:paraId="1EB357F1" w14:textId="77777777" w:rsidR="00354D6A" w:rsidRPr="009D1AD4" w:rsidRDefault="00354D6A" w:rsidP="004C6CEA">
      <w:pPr>
        <w:spacing w:after="200"/>
        <w:rPr>
          <w:rFonts w:ascii="Arial" w:hAnsi="Arial" w:cs="Arial"/>
          <w:sz w:val="20"/>
          <w:szCs w:val="20"/>
        </w:rPr>
      </w:pPr>
      <w:r w:rsidRPr="009D1AD4">
        <w:rPr>
          <w:rFonts w:ascii="Arial" w:hAnsi="Arial" w:cs="Arial"/>
          <w:b/>
          <w:bCs/>
          <w:sz w:val="20"/>
          <w:szCs w:val="20"/>
        </w:rPr>
        <w:t>How should the rebate be provided?</w:t>
      </w:r>
    </w:p>
    <w:p w14:paraId="28527DC4" w14:textId="77777777" w:rsidR="00354D6A" w:rsidRPr="009D1AD4" w:rsidRDefault="00354D6A" w:rsidP="004C6CEA">
      <w:pPr>
        <w:spacing w:after="200"/>
        <w:rPr>
          <w:rFonts w:ascii="Arial" w:hAnsi="Arial" w:cs="Arial"/>
          <w:sz w:val="20"/>
          <w:szCs w:val="20"/>
        </w:rPr>
      </w:pPr>
      <w:r w:rsidRPr="009D1AD4">
        <w:rPr>
          <w:rFonts w:ascii="Arial" w:hAnsi="Arial" w:cs="Arial"/>
          <w:sz w:val="20"/>
          <w:szCs w:val="20"/>
        </w:rPr>
        <w:t>The employer should consider the practical aspects of providing a rebate in a particular form.</w:t>
      </w:r>
    </w:p>
    <w:p w14:paraId="0C33BC59" w14:textId="77777777" w:rsidR="00354D6A" w:rsidRPr="009D1AD4" w:rsidRDefault="00354D6A" w:rsidP="004C6CEA">
      <w:pPr>
        <w:spacing w:after="200"/>
        <w:rPr>
          <w:rFonts w:ascii="Arial" w:hAnsi="Arial" w:cs="Arial"/>
          <w:sz w:val="20"/>
          <w:szCs w:val="20"/>
        </w:rPr>
      </w:pPr>
      <w:r w:rsidRPr="009D1AD4">
        <w:rPr>
          <w:rFonts w:ascii="Arial" w:hAnsi="Arial" w:cs="Arial"/>
          <w:sz w:val="20"/>
          <w:szCs w:val="20"/>
        </w:rPr>
        <w:t>Generally, the larger the amount that would be due to an individual, the more effort the employer should make to directly benefit the person (either through a cash rebate or premium holiday). While benefit enhancements are permissible, a large rebate should be used to provide a direct benefit enhancement, such as a reduced co-pay, and not for a general benefit, such as flu shots.</w:t>
      </w:r>
    </w:p>
    <w:p w14:paraId="5DE59AE7" w14:textId="77777777" w:rsidR="00354D6A" w:rsidRPr="009D1AD4" w:rsidRDefault="00354D6A" w:rsidP="004C6CEA">
      <w:pPr>
        <w:spacing w:after="200"/>
        <w:rPr>
          <w:rFonts w:ascii="Arial" w:hAnsi="Arial" w:cs="Arial"/>
          <w:sz w:val="20"/>
          <w:szCs w:val="20"/>
        </w:rPr>
      </w:pPr>
      <w:r w:rsidRPr="009D1AD4">
        <w:rPr>
          <w:rFonts w:ascii="Arial" w:hAnsi="Arial" w:cs="Arial"/>
          <w:sz w:val="20"/>
          <w:szCs w:val="20"/>
        </w:rPr>
        <w:t>The agencies have not provided any details as to what amount is so small that it does not need to be returned to the employee. (Insurers are not required to issue a rebate check to individuals if the amount is less than $5.00.) A cash rebate is taxable income if the premium was paid with pre-tax dollars, so issuing a check that is very small after taxes should not be necessary. If an employer knows it costs $2.00 to issue a check, issuing a rebate check for $1.00 should not be necessary. However, an employer cannot simply keep the rebate if it determines that cash refunds are not practical – it will need to use the employee share of the rebate to provide a benefit enhancement or premium reduction.</w:t>
      </w:r>
    </w:p>
    <w:p w14:paraId="75CB3B13" w14:textId="77777777" w:rsidR="00354D6A" w:rsidRDefault="00354D6A" w:rsidP="004C6CEA">
      <w:pPr>
        <w:spacing w:after="200"/>
        <w:rPr>
          <w:rFonts w:ascii="Arial" w:hAnsi="Arial" w:cs="Arial"/>
          <w:sz w:val="20"/>
          <w:szCs w:val="20"/>
        </w:rPr>
      </w:pPr>
    </w:p>
    <w:p w14:paraId="5B381B07" w14:textId="77777777" w:rsidR="001204C3" w:rsidRDefault="001204C3">
      <w:bookmarkStart w:id="27" w:name="_Toc12890043"/>
      <w:bookmarkStart w:id="28" w:name="_Toc12890159"/>
      <w:bookmarkStart w:id="29" w:name="_Toc12890540"/>
      <w:r>
        <w:rPr>
          <w:b/>
          <w:i/>
        </w:rPr>
        <w:br w:type="page"/>
      </w:r>
    </w:p>
    <w:tbl>
      <w:tblPr>
        <w:tblW w:w="9360" w:type="dxa"/>
        <w:shd w:val="clear" w:color="auto" w:fill="001BBA"/>
        <w:tblCellMar>
          <w:top w:w="86" w:type="dxa"/>
          <w:left w:w="115" w:type="dxa"/>
          <w:bottom w:w="86" w:type="dxa"/>
          <w:right w:w="115" w:type="dxa"/>
        </w:tblCellMar>
        <w:tblLook w:val="01E0" w:firstRow="1" w:lastRow="1" w:firstColumn="1" w:lastColumn="1" w:noHBand="0" w:noVBand="0"/>
      </w:tblPr>
      <w:tblGrid>
        <w:gridCol w:w="9360"/>
      </w:tblGrid>
      <w:tr w:rsidR="00FE74CA" w:rsidRPr="00C04F07" w14:paraId="1D66A512" w14:textId="77777777" w:rsidTr="00A14E50">
        <w:trPr>
          <w:trHeight w:val="144"/>
        </w:trPr>
        <w:tc>
          <w:tcPr>
            <w:tcW w:w="9360" w:type="dxa"/>
            <w:shd w:val="clear" w:color="auto" w:fill="001BBA"/>
            <w:vAlign w:val="center"/>
          </w:tcPr>
          <w:p w14:paraId="1C5FAC6D" w14:textId="49F51BCB" w:rsidR="00FE74CA" w:rsidRPr="00C04F07" w:rsidRDefault="00FE74CA" w:rsidP="00A14E50">
            <w:pPr>
              <w:pStyle w:val="Heading2"/>
              <w:rPr>
                <w:i w:val="0"/>
                <w:iCs/>
                <w:color w:val="auto"/>
              </w:rPr>
            </w:pPr>
            <w:r>
              <w:rPr>
                <w:i w:val="0"/>
                <w:iCs/>
                <w:color w:val="auto"/>
                <w:szCs w:val="22"/>
              </w:rPr>
              <w:lastRenderedPageBreak/>
              <w:t>Medicare</w:t>
            </w:r>
            <w:bookmarkEnd w:id="27"/>
            <w:bookmarkEnd w:id="28"/>
            <w:bookmarkEnd w:id="29"/>
          </w:p>
        </w:tc>
      </w:tr>
    </w:tbl>
    <w:p w14:paraId="518226AE" w14:textId="77777777" w:rsidR="00A703EE" w:rsidRPr="00535CAE" w:rsidRDefault="00A703EE" w:rsidP="001204C3">
      <w:pPr>
        <w:rPr>
          <w:rFonts w:ascii="Arial" w:hAnsi="Arial" w:cs="Arial"/>
          <w:sz w:val="20"/>
          <w:szCs w:val="20"/>
        </w:rPr>
      </w:pPr>
    </w:p>
    <w:p w14:paraId="63B04F88" w14:textId="04BC1A3C" w:rsidR="009F5C2B" w:rsidRDefault="009F5C2B" w:rsidP="004C6CEA">
      <w:pPr>
        <w:pStyle w:val="ListParagraph"/>
        <w:spacing w:after="200"/>
        <w:ind w:left="0"/>
        <w:contextualSpacing w:val="0"/>
        <w:rPr>
          <w:rFonts w:ascii="Arial" w:hAnsi="Arial" w:cs="Arial"/>
          <w:color w:val="000000"/>
          <w:sz w:val="20"/>
          <w:szCs w:val="20"/>
        </w:rPr>
      </w:pPr>
      <w:r w:rsidRPr="00C5063D">
        <w:rPr>
          <w:rFonts w:ascii="Arial" w:eastAsia="Times New Roman" w:hAnsi="Arial" w:cs="Arial"/>
          <w:b/>
          <w:bCs/>
          <w:color w:val="001BBA"/>
          <w:sz w:val="22"/>
          <w:szCs w:val="22"/>
        </w:rPr>
        <w:t>Question:</w:t>
      </w:r>
      <w:r w:rsidR="00055049">
        <w:rPr>
          <w:rFonts w:ascii="Arial" w:hAnsi="Arial" w:cs="Arial"/>
          <w:b/>
          <w:bCs/>
          <w:color w:val="000000"/>
          <w:sz w:val="20"/>
          <w:szCs w:val="20"/>
        </w:rPr>
        <w:t xml:space="preserve"> </w:t>
      </w:r>
      <w:r w:rsidRPr="009D1AD4">
        <w:rPr>
          <w:rFonts w:ascii="Arial" w:hAnsi="Arial" w:cs="Arial"/>
          <w:color w:val="000000"/>
          <w:sz w:val="20"/>
          <w:szCs w:val="20"/>
        </w:rPr>
        <w:t>What is Medicare Section 111 mandatory reporting?</w:t>
      </w:r>
    </w:p>
    <w:p w14:paraId="4A7CE114" w14:textId="288E15AE" w:rsidR="009F5C2B" w:rsidRDefault="009F5C2B" w:rsidP="004C6CEA">
      <w:pPr>
        <w:pStyle w:val="ListParagraph"/>
        <w:spacing w:after="200"/>
        <w:ind w:left="0"/>
        <w:contextualSpacing w:val="0"/>
        <w:rPr>
          <w:rFonts w:ascii="Arial" w:hAnsi="Arial" w:cs="Arial"/>
          <w:color w:val="000000"/>
          <w:sz w:val="20"/>
          <w:szCs w:val="20"/>
        </w:rPr>
      </w:pPr>
      <w:r w:rsidRPr="009D1AD4">
        <w:rPr>
          <w:rFonts w:ascii="Arial" w:hAnsi="Arial" w:cs="Arial"/>
          <w:b/>
          <w:bCs/>
          <w:color w:val="000000"/>
          <w:sz w:val="20"/>
          <w:szCs w:val="20"/>
        </w:rPr>
        <w:t>Answer:</w:t>
      </w:r>
      <w:r w:rsidR="00055049">
        <w:rPr>
          <w:rFonts w:ascii="Arial" w:hAnsi="Arial" w:cs="Arial"/>
          <w:b/>
          <w:bCs/>
          <w:color w:val="000000"/>
          <w:sz w:val="20"/>
          <w:szCs w:val="20"/>
        </w:rPr>
        <w:t xml:space="preserve"> </w:t>
      </w:r>
      <w:r w:rsidRPr="009D1AD4">
        <w:rPr>
          <w:rFonts w:ascii="Arial" w:hAnsi="Arial" w:cs="Arial"/>
          <w:color w:val="000000"/>
          <w:sz w:val="20"/>
          <w:szCs w:val="20"/>
        </w:rPr>
        <w:t>Under Section 111, group health plans are required to make disclosures to CMS. (The Section 111 disclosure is different than the Medicare creditable coverage disclosures to participants and CMS.) Both fully-insured plans and self-funded plans must complete the Medicare Section 111 online disclosure.</w:t>
      </w:r>
    </w:p>
    <w:p w14:paraId="56A861B0" w14:textId="77777777" w:rsidR="009F5C2B" w:rsidRDefault="009F5C2B" w:rsidP="004C6CEA">
      <w:pPr>
        <w:pStyle w:val="ListParagraph"/>
        <w:spacing w:after="200"/>
        <w:ind w:left="0"/>
        <w:contextualSpacing w:val="0"/>
        <w:rPr>
          <w:rFonts w:ascii="Arial" w:hAnsi="Arial" w:cs="Arial"/>
          <w:color w:val="000000"/>
          <w:sz w:val="20"/>
          <w:szCs w:val="20"/>
        </w:rPr>
      </w:pPr>
      <w:r w:rsidRPr="009D1AD4">
        <w:rPr>
          <w:rFonts w:ascii="Arial" w:hAnsi="Arial" w:cs="Arial"/>
          <w:color w:val="000000"/>
          <w:sz w:val="20"/>
          <w:szCs w:val="20"/>
        </w:rPr>
        <w:t>If it’s a fully-insured plan, the insurer should be making the online disclosure. If it’s a self-funded plan, then the plan administrator should be making the online disclosure. Hyperlinked below is CMS’ guide that provides detailed instructions on how a plan completes Section 111 mandatory reporting.</w:t>
      </w:r>
    </w:p>
    <w:p w14:paraId="04863866" w14:textId="77777777" w:rsidR="009F5C2B" w:rsidRDefault="009F5C2B" w:rsidP="004C6CEA">
      <w:pPr>
        <w:pStyle w:val="ListParagraph"/>
        <w:spacing w:after="200"/>
        <w:ind w:left="0"/>
        <w:contextualSpacing w:val="0"/>
        <w:rPr>
          <w:rFonts w:ascii="Arial" w:hAnsi="Arial" w:cs="Arial"/>
          <w:b/>
          <w:bCs/>
          <w:color w:val="000000"/>
          <w:sz w:val="20"/>
          <w:szCs w:val="20"/>
        </w:rPr>
      </w:pPr>
      <w:r w:rsidRPr="009D1AD4">
        <w:rPr>
          <w:rFonts w:ascii="Arial" w:hAnsi="Arial" w:cs="Arial"/>
          <w:b/>
          <w:bCs/>
          <w:color w:val="000000"/>
          <w:sz w:val="20"/>
          <w:szCs w:val="20"/>
        </w:rPr>
        <w:t>Educational Information</w:t>
      </w:r>
    </w:p>
    <w:p w14:paraId="08A7347F" w14:textId="77777777" w:rsidR="009F5C2B" w:rsidRDefault="009F5C2B" w:rsidP="004C6CEA">
      <w:pPr>
        <w:pStyle w:val="ListParagraph"/>
        <w:spacing w:after="200"/>
        <w:ind w:left="0"/>
        <w:contextualSpacing w:val="0"/>
        <w:rPr>
          <w:rFonts w:ascii="Arial" w:hAnsi="Arial" w:cs="Arial"/>
          <w:color w:val="000000"/>
          <w:sz w:val="20"/>
          <w:szCs w:val="20"/>
        </w:rPr>
      </w:pPr>
      <w:r w:rsidRPr="009D1AD4">
        <w:rPr>
          <w:rFonts w:ascii="Arial" w:hAnsi="Arial" w:cs="Arial"/>
          <w:color w:val="000000"/>
          <w:sz w:val="20"/>
          <w:szCs w:val="20"/>
        </w:rPr>
        <w:t>There is Medicare Secondary Payer (MSP) mandatory reporting for group health plan (GHP) responsible reporting entities (RREs). In most cases, the RRE will be the insurer or TPA. However, for self-funded plans, the RRE will usually be the plan administrator.</w:t>
      </w:r>
    </w:p>
    <w:p w14:paraId="332D6650" w14:textId="23AD65B9" w:rsidR="009F5C2B" w:rsidRDefault="009F5C2B" w:rsidP="004C6CEA">
      <w:pPr>
        <w:pStyle w:val="ListParagraph"/>
        <w:spacing w:after="200"/>
        <w:ind w:left="0"/>
        <w:contextualSpacing w:val="0"/>
        <w:rPr>
          <w:rFonts w:ascii="Arial" w:hAnsi="Arial" w:cs="Arial"/>
          <w:color w:val="000000"/>
          <w:sz w:val="20"/>
          <w:szCs w:val="20"/>
        </w:rPr>
      </w:pPr>
      <w:r w:rsidRPr="009D1AD4">
        <w:rPr>
          <w:rFonts w:ascii="Arial" w:hAnsi="Arial" w:cs="Arial"/>
          <w:color w:val="000000"/>
          <w:sz w:val="20"/>
          <w:szCs w:val="20"/>
        </w:rPr>
        <w:t>Per CMS’</w:t>
      </w:r>
      <w:r w:rsidR="00055049">
        <w:rPr>
          <w:rFonts w:ascii="Arial" w:hAnsi="Arial" w:cs="Arial"/>
          <w:color w:val="000000"/>
          <w:sz w:val="20"/>
          <w:szCs w:val="20"/>
        </w:rPr>
        <w:t xml:space="preserve"> </w:t>
      </w:r>
      <w:hyperlink r:id="rId60" w:history="1">
        <w:r w:rsidRPr="009D1AD4">
          <w:rPr>
            <w:rStyle w:val="Hyperlink"/>
          </w:rPr>
          <w:t>MMSEA Section 111 MSP Mandatory Reporting GHP User Guide</w:t>
        </w:r>
      </w:hyperlink>
      <w:r w:rsidRPr="009D1AD4">
        <w:rPr>
          <w:rFonts w:ascii="Arial" w:hAnsi="Arial" w:cs="Arial"/>
          <w:color w:val="000000"/>
          <w:sz w:val="20"/>
          <w:szCs w:val="20"/>
        </w:rPr>
        <w:t>, on a quarterly basis, an RRE must submit GHP entitlement information about employees and dependents to the CMS Benefits Coordination &amp; Recovery Center (BCRC). Then the BCRC provides the RRE with Medicare entitlement information for those GHP participants that can be identified as Medicare beneficiaries. This data exchange helps to assure that claims will be paid by the correct organization at first billing.</w:t>
      </w:r>
    </w:p>
    <w:p w14:paraId="6EC1510A" w14:textId="6C75EC4C" w:rsidR="009F5C2B" w:rsidRDefault="001204C3" w:rsidP="004C6CEA">
      <w:pPr>
        <w:pStyle w:val="ListParagraph"/>
        <w:spacing w:after="200"/>
        <w:ind w:left="0"/>
        <w:contextualSpacing w:val="0"/>
        <w:rPr>
          <w:rFonts w:ascii="Arial" w:hAnsi="Arial" w:cs="Arial"/>
          <w:color w:val="000000"/>
          <w:sz w:val="20"/>
          <w:szCs w:val="20"/>
        </w:rPr>
      </w:pPr>
      <w:r w:rsidRPr="001204C3">
        <w:rPr>
          <w:rFonts w:ascii="Arial" w:hAnsi="Arial" w:cs="Arial"/>
          <w:color w:val="000000"/>
          <w:sz w:val="20"/>
          <w:szCs w:val="20"/>
        </w:rPr>
        <w:t xml:space="preserve">The </w:t>
      </w:r>
      <w:hyperlink r:id="rId61" w:history="1">
        <w:r w:rsidRPr="001204C3">
          <w:rPr>
            <w:rStyle w:val="Hyperlink"/>
          </w:rPr>
          <w:t>presentation</w:t>
        </w:r>
      </w:hyperlink>
      <w:r w:rsidR="009F5C2B" w:rsidRPr="001204C3">
        <w:rPr>
          <w:rFonts w:ascii="Arial" w:hAnsi="Arial" w:cs="Arial"/>
          <w:color w:val="000000"/>
          <w:sz w:val="20"/>
          <w:szCs w:val="20"/>
        </w:rPr>
        <w:t xml:space="preserve"> from our UBA February Employer Webinar discusses Section 111 reporting at </w:t>
      </w:r>
      <w:r w:rsidRPr="001204C3">
        <w:rPr>
          <w:rFonts w:ascii="Arial" w:hAnsi="Arial" w:cs="Arial"/>
          <w:color w:val="000000"/>
          <w:sz w:val="20"/>
          <w:szCs w:val="20"/>
        </w:rPr>
        <w:br/>
      </w:r>
      <w:r w:rsidR="009F5C2B" w:rsidRPr="001204C3">
        <w:rPr>
          <w:rFonts w:ascii="Arial" w:hAnsi="Arial" w:cs="Arial"/>
          <w:color w:val="000000"/>
          <w:sz w:val="20"/>
          <w:szCs w:val="20"/>
        </w:rPr>
        <w:t>slides 22-24.</w:t>
      </w:r>
    </w:p>
    <w:p w14:paraId="2F1256D7" w14:textId="2DBE7DAE" w:rsidR="009F5C2B" w:rsidRDefault="009F5C2B" w:rsidP="004C6CEA">
      <w:pPr>
        <w:pStyle w:val="ListParagraph"/>
        <w:spacing w:after="200"/>
        <w:ind w:left="0"/>
        <w:contextualSpacing w:val="0"/>
        <w:rPr>
          <w:rFonts w:ascii="Arial" w:hAnsi="Arial" w:cs="Arial"/>
          <w:color w:val="000000"/>
          <w:sz w:val="20"/>
          <w:szCs w:val="20"/>
        </w:rPr>
      </w:pPr>
      <w:r w:rsidRPr="009D1AD4">
        <w:rPr>
          <w:rFonts w:ascii="Arial" w:hAnsi="Arial" w:cs="Arial"/>
          <w:color w:val="000000"/>
          <w:sz w:val="20"/>
          <w:szCs w:val="20"/>
        </w:rPr>
        <w:t>Also, from our UBA Advisor “</w:t>
      </w:r>
      <w:hyperlink r:id="rId62" w:history="1">
        <w:r w:rsidRPr="0044356C">
          <w:rPr>
            <w:rStyle w:val="Hyperlink"/>
          </w:rPr>
          <w:t>What You Need to Know About Medicare Secondary Payer Rules</w:t>
        </w:r>
      </w:hyperlink>
      <w:r w:rsidRPr="009D1AD4">
        <w:rPr>
          <w:rFonts w:ascii="Arial" w:hAnsi="Arial" w:cs="Arial"/>
          <w:color w:val="000000"/>
          <w:sz w:val="20"/>
          <w:szCs w:val="20"/>
        </w:rPr>
        <w:t>”:</w:t>
      </w:r>
    </w:p>
    <w:p w14:paraId="54D15EE3" w14:textId="77777777" w:rsidR="009F5C2B" w:rsidRDefault="009F5C2B" w:rsidP="00A56DAE">
      <w:pPr>
        <w:pStyle w:val="ListParagraph"/>
        <w:spacing w:after="200"/>
        <w:ind w:left="360"/>
        <w:contextualSpacing w:val="0"/>
        <w:rPr>
          <w:rFonts w:ascii="Arial" w:hAnsi="Arial" w:cs="Arial"/>
          <w:b/>
          <w:bCs/>
          <w:color w:val="000000"/>
          <w:sz w:val="20"/>
          <w:szCs w:val="20"/>
        </w:rPr>
      </w:pPr>
      <w:r w:rsidRPr="009D1AD4">
        <w:rPr>
          <w:rFonts w:ascii="Arial" w:hAnsi="Arial" w:cs="Arial"/>
          <w:b/>
          <w:bCs/>
          <w:color w:val="000000"/>
          <w:sz w:val="20"/>
          <w:szCs w:val="20"/>
        </w:rPr>
        <w:t>Q6. Are there any reporting requirements surrounding Medicare Secondary Payer rules?</w:t>
      </w:r>
    </w:p>
    <w:p w14:paraId="3C7A3A68" w14:textId="0C78AC0B" w:rsidR="009F5C2B" w:rsidRDefault="009F5C2B" w:rsidP="00A56DAE">
      <w:pPr>
        <w:pStyle w:val="ListParagraph"/>
        <w:spacing w:after="200"/>
        <w:ind w:left="360"/>
        <w:contextualSpacing w:val="0"/>
        <w:rPr>
          <w:rFonts w:ascii="Arial" w:hAnsi="Arial" w:cs="Arial"/>
          <w:color w:val="000000"/>
          <w:sz w:val="20"/>
          <w:szCs w:val="20"/>
        </w:rPr>
      </w:pPr>
      <w:r w:rsidRPr="009D1AD4">
        <w:rPr>
          <w:rFonts w:ascii="Arial" w:hAnsi="Arial" w:cs="Arial"/>
          <w:color w:val="000000"/>
          <w:sz w:val="20"/>
          <w:szCs w:val="20"/>
        </w:rPr>
        <w:t xml:space="preserve">A6. Yes, under Medicare Section 111. Dependent on circumstances, a responsible reporting entity (RRE) can be an insurer, a </w:t>
      </w:r>
      <w:proofErr w:type="gramStart"/>
      <w:r w:rsidRPr="009D1AD4">
        <w:rPr>
          <w:rFonts w:ascii="Arial" w:hAnsi="Arial" w:cs="Arial"/>
          <w:color w:val="000000"/>
          <w:sz w:val="20"/>
          <w:szCs w:val="20"/>
        </w:rPr>
        <w:t>third party</w:t>
      </w:r>
      <w:proofErr w:type="gramEnd"/>
      <w:r w:rsidRPr="009D1AD4">
        <w:rPr>
          <w:rFonts w:ascii="Arial" w:hAnsi="Arial" w:cs="Arial"/>
          <w:color w:val="000000"/>
          <w:sz w:val="20"/>
          <w:szCs w:val="20"/>
        </w:rPr>
        <w:t xml:space="preserve"> administrator, or a plan administrator. The RRE is responsible for collecting data from plan sponsors and participants and reports to CMS quarterly. Failure to report this information can lead to penalties of $1,181 for each day of non-compliance. (See Question 12 for</w:t>
      </w:r>
      <w:r w:rsidR="00A56DAE">
        <w:rPr>
          <w:rFonts w:ascii="Arial" w:hAnsi="Arial" w:cs="Arial"/>
          <w:color w:val="000000"/>
          <w:sz w:val="20"/>
          <w:szCs w:val="20"/>
        </w:rPr>
        <w:t> </w:t>
      </w:r>
      <w:r w:rsidRPr="009D1AD4">
        <w:rPr>
          <w:rFonts w:ascii="Arial" w:hAnsi="Arial" w:cs="Arial"/>
          <w:color w:val="000000"/>
          <w:sz w:val="20"/>
          <w:szCs w:val="20"/>
        </w:rPr>
        <w:t>more.)</w:t>
      </w:r>
      <w:r w:rsidR="0044356C">
        <w:rPr>
          <w:rFonts w:ascii="Arial" w:hAnsi="Arial" w:cs="Arial"/>
          <w:color w:val="000000"/>
          <w:sz w:val="20"/>
          <w:szCs w:val="20"/>
        </w:rPr>
        <w:t xml:space="preserve"> …</w:t>
      </w:r>
    </w:p>
    <w:p w14:paraId="77425665" w14:textId="77777777" w:rsidR="009F5C2B" w:rsidRDefault="009F5C2B" w:rsidP="00A56DAE">
      <w:pPr>
        <w:pStyle w:val="ListParagraph"/>
        <w:spacing w:after="200"/>
        <w:ind w:left="360"/>
        <w:contextualSpacing w:val="0"/>
        <w:rPr>
          <w:rFonts w:ascii="Arial" w:hAnsi="Arial" w:cs="Arial"/>
          <w:b/>
          <w:bCs/>
          <w:color w:val="000000"/>
          <w:sz w:val="20"/>
          <w:szCs w:val="20"/>
        </w:rPr>
      </w:pPr>
      <w:r w:rsidRPr="009D1AD4">
        <w:rPr>
          <w:rFonts w:ascii="Arial" w:hAnsi="Arial" w:cs="Arial"/>
          <w:b/>
          <w:bCs/>
          <w:color w:val="000000"/>
          <w:sz w:val="20"/>
          <w:szCs w:val="20"/>
        </w:rPr>
        <w:t>Q12. Generally speaking, what are the penalties for violating Medicare Secondary Payer or ACA premium reimbursement rules?</w:t>
      </w:r>
    </w:p>
    <w:p w14:paraId="6549A27E" w14:textId="77777777" w:rsidR="009F5C2B" w:rsidRDefault="009F5C2B" w:rsidP="00A56DAE">
      <w:pPr>
        <w:pStyle w:val="ListParagraph"/>
        <w:spacing w:after="200"/>
        <w:ind w:left="360"/>
        <w:contextualSpacing w:val="0"/>
        <w:rPr>
          <w:rFonts w:ascii="Arial" w:hAnsi="Arial" w:cs="Arial"/>
          <w:color w:val="000000"/>
          <w:sz w:val="20"/>
          <w:szCs w:val="20"/>
        </w:rPr>
      </w:pPr>
      <w:r w:rsidRPr="009D1AD4">
        <w:rPr>
          <w:rFonts w:ascii="Arial" w:hAnsi="Arial" w:cs="Arial"/>
          <w:color w:val="000000"/>
          <w:sz w:val="20"/>
          <w:szCs w:val="20"/>
        </w:rPr>
        <w:t>A12. There are numerous penalties that exist for violation of Medicare Secondary Payer rules.</w:t>
      </w:r>
    </w:p>
    <w:p w14:paraId="6F08007C" w14:textId="2F32136D" w:rsidR="009F5C2B" w:rsidRDefault="009F5C2B" w:rsidP="00A56DAE">
      <w:pPr>
        <w:pStyle w:val="ListParagraph"/>
        <w:spacing w:after="200"/>
        <w:ind w:left="360"/>
        <w:contextualSpacing w:val="0"/>
        <w:rPr>
          <w:rFonts w:ascii="Arial" w:hAnsi="Arial" w:cs="Arial"/>
          <w:color w:val="000000"/>
          <w:sz w:val="20"/>
          <w:szCs w:val="20"/>
        </w:rPr>
      </w:pPr>
      <w:r w:rsidRPr="009D1AD4">
        <w:rPr>
          <w:rFonts w:ascii="Arial" w:hAnsi="Arial" w:cs="Arial"/>
          <w:color w:val="000000"/>
          <w:sz w:val="20"/>
          <w:szCs w:val="20"/>
        </w:rPr>
        <w:t>Medicare Civil Monetary Penalties:</w:t>
      </w:r>
      <w:r w:rsidR="0044356C">
        <w:rPr>
          <w:rFonts w:ascii="Arial" w:hAnsi="Arial" w:cs="Arial"/>
          <w:color w:val="000000"/>
          <w:sz w:val="20"/>
          <w:szCs w:val="20"/>
        </w:rPr>
        <w:t xml:space="preserve"> …</w:t>
      </w:r>
    </w:p>
    <w:p w14:paraId="30EFBA1C" w14:textId="535B4EDF" w:rsidR="009F5C2B" w:rsidRDefault="009F5C2B" w:rsidP="00A56DAE">
      <w:pPr>
        <w:pStyle w:val="ListParagraph"/>
        <w:spacing w:after="200"/>
        <w:ind w:left="360"/>
        <w:contextualSpacing w:val="0"/>
        <w:rPr>
          <w:rFonts w:ascii="Arial" w:hAnsi="Arial" w:cs="Arial"/>
          <w:color w:val="000000"/>
          <w:sz w:val="20"/>
          <w:szCs w:val="20"/>
        </w:rPr>
      </w:pPr>
      <w:r w:rsidRPr="009D1AD4">
        <w:rPr>
          <w:rFonts w:ascii="Arial" w:hAnsi="Arial" w:cs="Arial"/>
          <w:color w:val="000000"/>
          <w:sz w:val="20"/>
          <w:szCs w:val="20"/>
        </w:rPr>
        <w:t xml:space="preserve">2. Failure on the part of a group health plan to fulfill reporting requirements under Section 111 to allow for the coordination of benefits can result in a civil monetary penalty of $1,181 a day for each day of non-compliance for each individual for which the information should have been submitted. </w:t>
      </w:r>
      <w:r w:rsidR="0044356C">
        <w:rPr>
          <w:rFonts w:ascii="Arial" w:hAnsi="Arial" w:cs="Arial"/>
          <w:color w:val="000000"/>
          <w:sz w:val="20"/>
          <w:szCs w:val="20"/>
        </w:rPr>
        <w:t>…</w:t>
      </w:r>
    </w:p>
    <w:p w14:paraId="4383706B" w14:textId="7F8F926B" w:rsidR="009F5C2B" w:rsidRDefault="009F5C2B" w:rsidP="004C6CEA">
      <w:pPr>
        <w:spacing w:after="200"/>
        <w:rPr>
          <w:rFonts w:ascii="Arial" w:hAnsi="Arial" w:cs="Arial"/>
          <w:sz w:val="20"/>
          <w:szCs w:val="20"/>
        </w:rPr>
      </w:pPr>
    </w:p>
    <w:p w14:paraId="10DAA733" w14:textId="77777777" w:rsidR="00A56DAE" w:rsidRPr="009D1AD4" w:rsidRDefault="00A56DAE" w:rsidP="00A56DAE">
      <w:pPr>
        <w:spacing w:after="200"/>
        <w:rPr>
          <w:rFonts w:ascii="Arial" w:hAnsi="Arial" w:cs="Arial"/>
          <w:sz w:val="20"/>
          <w:szCs w:val="20"/>
        </w:rPr>
      </w:pPr>
      <w:r w:rsidRPr="00C5063D">
        <w:rPr>
          <w:rFonts w:ascii="Arial" w:hAnsi="Arial" w:cs="Arial"/>
          <w:b/>
          <w:bCs/>
          <w:color w:val="001BBA"/>
          <w:sz w:val="22"/>
          <w:szCs w:val="22"/>
        </w:rPr>
        <w:t>Question:</w:t>
      </w:r>
      <w:r w:rsidRPr="009D1AD4">
        <w:rPr>
          <w:rFonts w:ascii="Arial" w:hAnsi="Arial" w:cs="Arial"/>
          <w:sz w:val="20"/>
          <w:szCs w:val="20"/>
        </w:rPr>
        <w:t xml:space="preserve"> What are the penalties if an employer hasn’t followed the Medicare Part D creditable coverage disclosure requirements?</w:t>
      </w:r>
    </w:p>
    <w:p w14:paraId="2F4CFD89" w14:textId="77777777" w:rsidR="00A56DAE" w:rsidRPr="009D1AD4" w:rsidRDefault="00A56DAE" w:rsidP="00A56DAE">
      <w:pPr>
        <w:spacing w:after="200"/>
        <w:rPr>
          <w:rFonts w:ascii="Arial" w:hAnsi="Arial" w:cs="Arial"/>
          <w:color w:val="000000"/>
          <w:sz w:val="20"/>
          <w:szCs w:val="20"/>
        </w:rPr>
      </w:pPr>
      <w:r w:rsidRPr="009D1AD4">
        <w:rPr>
          <w:rFonts w:ascii="Arial" w:hAnsi="Arial" w:cs="Arial"/>
          <w:b/>
          <w:sz w:val="20"/>
          <w:szCs w:val="20"/>
        </w:rPr>
        <w:t>Answer:</w:t>
      </w:r>
      <w:r w:rsidRPr="009D1AD4">
        <w:rPr>
          <w:rFonts w:ascii="Arial" w:hAnsi="Arial" w:cs="Arial"/>
          <w:sz w:val="20"/>
          <w:szCs w:val="20"/>
        </w:rPr>
        <w:t xml:space="preserve"> </w:t>
      </w:r>
      <w:r w:rsidRPr="009D1AD4">
        <w:rPr>
          <w:rFonts w:ascii="Arial" w:hAnsi="Arial" w:cs="Arial"/>
          <w:color w:val="000000"/>
          <w:sz w:val="20"/>
          <w:szCs w:val="20"/>
        </w:rPr>
        <w:t xml:space="preserve">The Medicare Prescription Drug, Improvement and Modernization Act of 2003 doesn’t provide a specific penalty for not providing the disclosure. Further, CMS does not describe specific civil penalties for plans that do not comply with the Medicare Part D creditable coverage disclosure requirements (either the disclosure to CMS or the disclosure to Part D-eligible individuals). The only specified penalty relates to a retiree plan attempting to receive the retiree drug subsidy; the plan would be denied the subsidy if it had </w:t>
      </w:r>
      <w:r w:rsidRPr="009D1AD4">
        <w:rPr>
          <w:rFonts w:ascii="Arial" w:hAnsi="Arial" w:cs="Arial"/>
          <w:color w:val="000000"/>
          <w:sz w:val="20"/>
          <w:szCs w:val="20"/>
        </w:rPr>
        <w:lastRenderedPageBreak/>
        <w:t xml:space="preserve">not complied with the required Medicare Part D notifications. CMS’ </w:t>
      </w:r>
      <w:hyperlink r:id="rId63" w:history="1">
        <w:r w:rsidRPr="0044356C">
          <w:rPr>
            <w:rStyle w:val="Hyperlink"/>
          </w:rPr>
          <w:t>webpage</w:t>
        </w:r>
      </w:hyperlink>
      <w:r w:rsidRPr="009D1AD4">
        <w:rPr>
          <w:rFonts w:ascii="Arial" w:hAnsi="Arial" w:cs="Arial"/>
          <w:color w:val="000000"/>
          <w:sz w:val="20"/>
          <w:szCs w:val="20"/>
        </w:rPr>
        <w:t xml:space="preserve"> </w:t>
      </w:r>
      <w:r>
        <w:rPr>
          <w:rFonts w:ascii="Arial" w:hAnsi="Arial" w:cs="Arial"/>
          <w:color w:val="000000"/>
          <w:sz w:val="20"/>
          <w:szCs w:val="20"/>
        </w:rPr>
        <w:t xml:space="preserve">provides more information </w:t>
      </w:r>
      <w:r w:rsidRPr="009D1AD4">
        <w:rPr>
          <w:rFonts w:ascii="Arial" w:hAnsi="Arial" w:cs="Arial"/>
          <w:color w:val="000000"/>
          <w:sz w:val="20"/>
          <w:szCs w:val="20"/>
        </w:rPr>
        <w:t>regarding the Employer &amp; Union Retiree Drug Subsidy.</w:t>
      </w:r>
    </w:p>
    <w:p w14:paraId="37A7387A" w14:textId="77777777" w:rsidR="00A56DAE" w:rsidRPr="009D1AD4" w:rsidRDefault="00A56DAE" w:rsidP="00A56DAE">
      <w:pPr>
        <w:spacing w:after="200"/>
        <w:rPr>
          <w:rFonts w:ascii="Arial" w:hAnsi="Arial" w:cs="Arial"/>
          <w:color w:val="000000"/>
          <w:sz w:val="20"/>
          <w:szCs w:val="20"/>
        </w:rPr>
      </w:pPr>
      <w:r w:rsidRPr="009D1AD4">
        <w:rPr>
          <w:rFonts w:ascii="Arial" w:hAnsi="Arial" w:cs="Arial"/>
          <w:color w:val="000000"/>
          <w:sz w:val="20"/>
          <w:szCs w:val="20"/>
        </w:rPr>
        <w:t>Other laws, such as ERISA’s fiduciary obligations or Medicare Secondary Payer Rules, may apply depending on the facts. Those laws may provide penalties or sanctions when violations occur.</w:t>
      </w:r>
    </w:p>
    <w:p w14:paraId="252E73A4" w14:textId="77777777" w:rsidR="00A56DAE" w:rsidRDefault="00A56DAE" w:rsidP="00A56DAE">
      <w:pPr>
        <w:spacing w:after="200"/>
        <w:rPr>
          <w:rFonts w:ascii="Arial" w:hAnsi="Arial" w:cs="Arial"/>
          <w:sz w:val="20"/>
          <w:szCs w:val="20"/>
        </w:rPr>
      </w:pPr>
    </w:p>
    <w:p w14:paraId="4F029B83" w14:textId="77777777" w:rsidR="006E7881" w:rsidRPr="009D1AD4" w:rsidRDefault="006E7881" w:rsidP="004C6CEA">
      <w:pPr>
        <w:spacing w:after="200"/>
        <w:rPr>
          <w:rFonts w:ascii="Arial" w:hAnsi="Arial" w:cs="Arial"/>
          <w:sz w:val="20"/>
          <w:szCs w:val="20"/>
        </w:rPr>
      </w:pPr>
      <w:r w:rsidRPr="00C5063D">
        <w:rPr>
          <w:rFonts w:ascii="Arial" w:hAnsi="Arial" w:cs="Arial"/>
          <w:b/>
          <w:bCs/>
          <w:color w:val="001BBA"/>
          <w:sz w:val="22"/>
          <w:szCs w:val="22"/>
        </w:rPr>
        <w:t>Question:</w:t>
      </w:r>
      <w:r w:rsidRPr="009D1AD4">
        <w:rPr>
          <w:rFonts w:ascii="Arial" w:hAnsi="Arial" w:cs="Arial"/>
          <w:sz w:val="20"/>
          <w:szCs w:val="20"/>
        </w:rPr>
        <w:t xml:space="preserve"> Can an employee be HSA-eligible if the employee’s spouse is enrolled in Medicare?</w:t>
      </w:r>
    </w:p>
    <w:p w14:paraId="60B845E0" w14:textId="77777777" w:rsidR="006E7881" w:rsidRPr="009D1AD4" w:rsidRDefault="006E7881" w:rsidP="004C6CEA">
      <w:pPr>
        <w:spacing w:after="200"/>
        <w:rPr>
          <w:rFonts w:ascii="Arial" w:hAnsi="Arial" w:cs="Arial"/>
          <w:sz w:val="20"/>
          <w:szCs w:val="20"/>
        </w:rPr>
      </w:pPr>
      <w:r w:rsidRPr="009D1AD4">
        <w:rPr>
          <w:rFonts w:ascii="Arial" w:hAnsi="Arial" w:cs="Arial"/>
          <w:b/>
          <w:sz w:val="20"/>
          <w:szCs w:val="20"/>
        </w:rPr>
        <w:t>Answer:</w:t>
      </w:r>
      <w:r w:rsidRPr="009D1AD4">
        <w:rPr>
          <w:rFonts w:ascii="Arial" w:hAnsi="Arial" w:cs="Arial"/>
          <w:sz w:val="20"/>
          <w:szCs w:val="20"/>
        </w:rPr>
        <w:t xml:space="preserve"> Yes. To be an eligible individual and qualify for an HSA, you must meet the following requirements:</w:t>
      </w:r>
    </w:p>
    <w:p w14:paraId="581F3CDF" w14:textId="77777777" w:rsidR="006E7881" w:rsidRPr="009D1AD4" w:rsidRDefault="006E7881" w:rsidP="004C6CEA">
      <w:pPr>
        <w:numPr>
          <w:ilvl w:val="0"/>
          <w:numId w:val="6"/>
        </w:numPr>
        <w:spacing w:after="200"/>
        <w:rPr>
          <w:rFonts w:ascii="Arial" w:hAnsi="Arial" w:cs="Arial"/>
          <w:sz w:val="20"/>
          <w:szCs w:val="20"/>
        </w:rPr>
      </w:pPr>
      <w:r w:rsidRPr="009D1AD4">
        <w:rPr>
          <w:rFonts w:ascii="Arial" w:hAnsi="Arial" w:cs="Arial"/>
          <w:sz w:val="20"/>
          <w:szCs w:val="20"/>
        </w:rPr>
        <w:t>You must be covered under a high deductible health plan (HDHP) on the first day of the month.</w:t>
      </w:r>
    </w:p>
    <w:p w14:paraId="416F2109" w14:textId="77777777" w:rsidR="006E7881" w:rsidRPr="009D1AD4" w:rsidRDefault="006E7881" w:rsidP="004C6CEA">
      <w:pPr>
        <w:numPr>
          <w:ilvl w:val="0"/>
          <w:numId w:val="6"/>
        </w:numPr>
        <w:spacing w:after="200"/>
        <w:rPr>
          <w:rFonts w:ascii="Arial" w:hAnsi="Arial" w:cs="Arial"/>
          <w:sz w:val="20"/>
          <w:szCs w:val="20"/>
        </w:rPr>
      </w:pPr>
      <w:r w:rsidRPr="009D1AD4">
        <w:rPr>
          <w:rFonts w:ascii="Arial" w:hAnsi="Arial" w:cs="Arial"/>
          <w:sz w:val="20"/>
          <w:szCs w:val="20"/>
        </w:rPr>
        <w:t>You are not enrolled in Medicare.</w:t>
      </w:r>
    </w:p>
    <w:p w14:paraId="5F5330EE" w14:textId="77777777" w:rsidR="006E7881" w:rsidRPr="009D1AD4" w:rsidRDefault="006E7881" w:rsidP="004C6CEA">
      <w:pPr>
        <w:numPr>
          <w:ilvl w:val="0"/>
          <w:numId w:val="6"/>
        </w:numPr>
        <w:spacing w:after="200"/>
        <w:rPr>
          <w:rFonts w:ascii="Arial" w:hAnsi="Arial" w:cs="Arial"/>
          <w:sz w:val="20"/>
          <w:szCs w:val="20"/>
        </w:rPr>
      </w:pPr>
      <w:r w:rsidRPr="009D1AD4">
        <w:rPr>
          <w:rFonts w:ascii="Arial" w:hAnsi="Arial" w:cs="Arial"/>
          <w:sz w:val="20"/>
          <w:szCs w:val="20"/>
        </w:rPr>
        <w:t>You cannot be claimed as a dependent on someone else’s tax return for the year.</w:t>
      </w:r>
    </w:p>
    <w:p w14:paraId="1589126D" w14:textId="77777777" w:rsidR="006E7881" w:rsidRPr="009D1AD4" w:rsidRDefault="006E7881" w:rsidP="004C6CEA">
      <w:pPr>
        <w:numPr>
          <w:ilvl w:val="0"/>
          <w:numId w:val="6"/>
        </w:numPr>
        <w:spacing w:after="200"/>
        <w:rPr>
          <w:rFonts w:ascii="Arial" w:hAnsi="Arial" w:cs="Arial"/>
          <w:sz w:val="20"/>
          <w:szCs w:val="20"/>
        </w:rPr>
      </w:pPr>
      <w:r w:rsidRPr="009D1AD4">
        <w:rPr>
          <w:rFonts w:ascii="Arial" w:hAnsi="Arial" w:cs="Arial"/>
          <w:sz w:val="20"/>
          <w:szCs w:val="20"/>
        </w:rPr>
        <w:t>You have no other disqualifying health coverage except what is permitted.</w:t>
      </w:r>
    </w:p>
    <w:tbl>
      <w:tblPr>
        <w:tblStyle w:val="TableGrid"/>
        <w:tblW w:w="0" w:type="auto"/>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CellMar>
          <w:top w:w="58" w:type="dxa"/>
          <w:left w:w="115" w:type="dxa"/>
          <w:bottom w:w="58" w:type="dxa"/>
          <w:right w:w="115" w:type="dxa"/>
        </w:tblCellMar>
        <w:tblLook w:val="04A0" w:firstRow="1" w:lastRow="0" w:firstColumn="1" w:lastColumn="0" w:noHBand="0" w:noVBand="1"/>
      </w:tblPr>
      <w:tblGrid>
        <w:gridCol w:w="4428"/>
        <w:gridCol w:w="4428"/>
      </w:tblGrid>
      <w:tr w:rsidR="00A56DAE" w:rsidRPr="00A56DAE" w14:paraId="2020EEE6" w14:textId="77777777" w:rsidTr="00A56DAE">
        <w:trPr>
          <w:tblHeader/>
        </w:trPr>
        <w:tc>
          <w:tcPr>
            <w:tcW w:w="4428" w:type="dxa"/>
            <w:tcBorders>
              <w:top w:val="nil"/>
              <w:bottom w:val="single" w:sz="4" w:space="0" w:color="A6A6A6" w:themeColor="background1" w:themeShade="A6"/>
              <w:right w:val="single" w:sz="4" w:space="0" w:color="A6A6A6" w:themeColor="background1" w:themeShade="A6"/>
            </w:tcBorders>
            <w:shd w:val="clear" w:color="auto" w:fill="DDE3EC"/>
          </w:tcPr>
          <w:p w14:paraId="4BBE7E61" w14:textId="77777777" w:rsidR="006E7881" w:rsidRPr="00A56DAE" w:rsidRDefault="006E7881" w:rsidP="0044356C">
            <w:pPr>
              <w:rPr>
                <w:rFonts w:ascii="Arial" w:hAnsi="Arial" w:cs="Arial"/>
                <w:b/>
                <w:sz w:val="20"/>
                <w:szCs w:val="20"/>
              </w:rPr>
            </w:pPr>
            <w:r w:rsidRPr="00A56DAE">
              <w:rPr>
                <w:rFonts w:ascii="Arial" w:hAnsi="Arial" w:cs="Arial"/>
                <w:b/>
                <w:sz w:val="20"/>
                <w:szCs w:val="20"/>
              </w:rPr>
              <w:t>Disqualifying Coverage</w:t>
            </w:r>
          </w:p>
        </w:tc>
        <w:tc>
          <w:tcPr>
            <w:tcW w:w="4428" w:type="dxa"/>
            <w:tcBorders>
              <w:left w:val="single" w:sz="4" w:space="0" w:color="A6A6A6" w:themeColor="background1" w:themeShade="A6"/>
              <w:bottom w:val="single" w:sz="4" w:space="0" w:color="A6A6A6" w:themeColor="background1" w:themeShade="A6"/>
            </w:tcBorders>
            <w:shd w:val="clear" w:color="auto" w:fill="DDE3EC"/>
          </w:tcPr>
          <w:p w14:paraId="66031A9D" w14:textId="77777777" w:rsidR="006E7881" w:rsidRPr="00A56DAE" w:rsidRDefault="006E7881" w:rsidP="0044356C">
            <w:pPr>
              <w:rPr>
                <w:rFonts w:ascii="Arial" w:hAnsi="Arial" w:cs="Arial"/>
                <w:b/>
                <w:sz w:val="20"/>
                <w:szCs w:val="20"/>
              </w:rPr>
            </w:pPr>
            <w:r w:rsidRPr="00A56DAE">
              <w:rPr>
                <w:rFonts w:ascii="Arial" w:hAnsi="Arial" w:cs="Arial"/>
                <w:b/>
                <w:sz w:val="20"/>
                <w:szCs w:val="20"/>
              </w:rPr>
              <w:t>Acceptable Secondary Coverage</w:t>
            </w:r>
          </w:p>
        </w:tc>
      </w:tr>
      <w:tr w:rsidR="006E7881" w:rsidRPr="009D1AD4" w14:paraId="0AF33B95" w14:textId="77777777" w:rsidTr="00642DA0">
        <w:tc>
          <w:tcPr>
            <w:tcW w:w="442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A79BCAE" w14:textId="77777777" w:rsidR="006E7881" w:rsidRDefault="006E7881" w:rsidP="0044356C">
            <w:pPr>
              <w:rPr>
                <w:rFonts w:ascii="Arial" w:hAnsi="Arial" w:cs="Arial"/>
                <w:sz w:val="20"/>
                <w:szCs w:val="20"/>
              </w:rPr>
            </w:pPr>
            <w:r w:rsidRPr="009D1AD4">
              <w:rPr>
                <w:rFonts w:ascii="Arial" w:hAnsi="Arial" w:cs="Arial"/>
                <w:sz w:val="20"/>
                <w:szCs w:val="20"/>
              </w:rPr>
              <w:t>Health flexible spending account (FSA)</w:t>
            </w:r>
          </w:p>
          <w:p w14:paraId="1B4831DC" w14:textId="77777777" w:rsidR="006E7881" w:rsidRPr="009D1AD4" w:rsidRDefault="006E7881" w:rsidP="0044356C">
            <w:pPr>
              <w:rPr>
                <w:rFonts w:ascii="Arial" w:hAnsi="Arial" w:cs="Arial"/>
                <w:sz w:val="20"/>
                <w:szCs w:val="20"/>
              </w:rPr>
            </w:pPr>
            <w:r w:rsidRPr="009D1AD4">
              <w:rPr>
                <w:rFonts w:ascii="Arial" w:hAnsi="Arial" w:cs="Arial"/>
                <w:sz w:val="20"/>
                <w:szCs w:val="20"/>
              </w:rPr>
              <w:t>(unless it is limited-purpose or post-deductible)</w:t>
            </w:r>
          </w:p>
        </w:tc>
        <w:tc>
          <w:tcPr>
            <w:tcW w:w="442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BAD85CF" w14:textId="77777777" w:rsidR="006E7881" w:rsidRPr="009D1AD4" w:rsidRDefault="006E7881" w:rsidP="0044356C">
            <w:pPr>
              <w:rPr>
                <w:rFonts w:ascii="Arial" w:hAnsi="Arial" w:cs="Arial"/>
                <w:sz w:val="20"/>
                <w:szCs w:val="20"/>
              </w:rPr>
            </w:pPr>
            <w:r w:rsidRPr="009D1AD4">
              <w:rPr>
                <w:rFonts w:ascii="Arial" w:hAnsi="Arial" w:cs="Arial"/>
                <w:sz w:val="20"/>
                <w:szCs w:val="20"/>
              </w:rPr>
              <w:t>Discount cards for prescription drugs (so long as the plan does not pay benefits prior to the deductible being satisfied)</w:t>
            </w:r>
          </w:p>
        </w:tc>
      </w:tr>
      <w:tr w:rsidR="006E7881" w:rsidRPr="009D1AD4" w14:paraId="169B3B06" w14:textId="77777777" w:rsidTr="00642DA0">
        <w:tc>
          <w:tcPr>
            <w:tcW w:w="442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0416D64" w14:textId="77777777" w:rsidR="006E7881" w:rsidRPr="009D1AD4" w:rsidRDefault="006E7881" w:rsidP="0044356C">
            <w:pPr>
              <w:rPr>
                <w:rFonts w:ascii="Arial" w:hAnsi="Arial" w:cs="Arial"/>
                <w:sz w:val="20"/>
                <w:szCs w:val="20"/>
              </w:rPr>
            </w:pPr>
            <w:r w:rsidRPr="009D1AD4">
              <w:rPr>
                <w:rFonts w:ascii="Arial" w:hAnsi="Arial" w:cs="Arial"/>
                <w:sz w:val="20"/>
                <w:szCs w:val="20"/>
              </w:rPr>
              <w:t>Health reimbursement arrangement (HRA) (unless it is limited-purpose, retirement, or post-deductible)</w:t>
            </w:r>
          </w:p>
        </w:tc>
        <w:tc>
          <w:tcPr>
            <w:tcW w:w="442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90E59E3" w14:textId="77777777" w:rsidR="006E7881" w:rsidRPr="009D1AD4" w:rsidRDefault="006E7881" w:rsidP="0044356C">
            <w:pPr>
              <w:rPr>
                <w:rFonts w:ascii="Arial" w:hAnsi="Arial" w:cs="Arial"/>
                <w:sz w:val="20"/>
                <w:szCs w:val="20"/>
              </w:rPr>
            </w:pPr>
            <w:r w:rsidRPr="009D1AD4">
              <w:rPr>
                <w:rFonts w:ascii="Arial" w:hAnsi="Arial" w:cs="Arial"/>
                <w:sz w:val="20"/>
                <w:szCs w:val="20"/>
              </w:rPr>
              <w:t>Dental coverage (so long as it doesn’t provide medical benefits)</w:t>
            </w:r>
          </w:p>
        </w:tc>
      </w:tr>
      <w:tr w:rsidR="006E7881" w:rsidRPr="009D1AD4" w14:paraId="4C487102" w14:textId="77777777" w:rsidTr="00642DA0">
        <w:tc>
          <w:tcPr>
            <w:tcW w:w="4428" w:type="dxa"/>
            <w:tcBorders>
              <w:top w:val="single" w:sz="4" w:space="0" w:color="A6A6A6" w:themeColor="background1" w:themeShade="A6"/>
              <w:right w:val="single" w:sz="4" w:space="0" w:color="A6A6A6" w:themeColor="background1" w:themeShade="A6"/>
            </w:tcBorders>
          </w:tcPr>
          <w:p w14:paraId="5C341BB0" w14:textId="77777777" w:rsidR="006E7881" w:rsidRPr="009D1AD4" w:rsidRDefault="006E7881" w:rsidP="0044356C">
            <w:pPr>
              <w:rPr>
                <w:rFonts w:ascii="Arial" w:hAnsi="Arial" w:cs="Arial"/>
                <w:sz w:val="20"/>
                <w:szCs w:val="20"/>
              </w:rPr>
            </w:pPr>
            <w:r w:rsidRPr="009D1AD4">
              <w:rPr>
                <w:rFonts w:ascii="Arial" w:hAnsi="Arial" w:cs="Arial"/>
                <w:sz w:val="20"/>
                <w:szCs w:val="20"/>
              </w:rPr>
              <w:t>Medicaid</w:t>
            </w:r>
          </w:p>
        </w:tc>
        <w:tc>
          <w:tcPr>
            <w:tcW w:w="4428" w:type="dxa"/>
            <w:tcBorders>
              <w:top w:val="single" w:sz="4" w:space="0" w:color="A6A6A6" w:themeColor="background1" w:themeShade="A6"/>
              <w:left w:val="single" w:sz="4" w:space="0" w:color="A6A6A6" w:themeColor="background1" w:themeShade="A6"/>
            </w:tcBorders>
          </w:tcPr>
          <w:p w14:paraId="561705DA" w14:textId="77777777" w:rsidR="006E7881" w:rsidRPr="009D1AD4" w:rsidRDefault="006E7881" w:rsidP="0044356C">
            <w:pPr>
              <w:rPr>
                <w:rFonts w:ascii="Arial" w:hAnsi="Arial" w:cs="Arial"/>
                <w:sz w:val="20"/>
                <w:szCs w:val="20"/>
              </w:rPr>
            </w:pPr>
            <w:r w:rsidRPr="009D1AD4">
              <w:rPr>
                <w:rFonts w:ascii="Arial" w:hAnsi="Arial" w:cs="Arial"/>
                <w:sz w:val="20"/>
                <w:szCs w:val="20"/>
              </w:rPr>
              <w:t>Accident, business travel coverage, accidental death and disability (AD&amp;D), disability</w:t>
            </w:r>
          </w:p>
        </w:tc>
      </w:tr>
      <w:tr w:rsidR="006E7881" w:rsidRPr="009D1AD4" w14:paraId="4F89BAC5" w14:textId="77777777" w:rsidTr="00642DA0">
        <w:tc>
          <w:tcPr>
            <w:tcW w:w="4428" w:type="dxa"/>
            <w:tcBorders>
              <w:top w:val="single" w:sz="4" w:space="0" w:color="A6A6A6" w:themeColor="background1" w:themeShade="A6"/>
              <w:right w:val="single" w:sz="4" w:space="0" w:color="A6A6A6" w:themeColor="background1" w:themeShade="A6"/>
            </w:tcBorders>
          </w:tcPr>
          <w:p w14:paraId="12243A63" w14:textId="77777777" w:rsidR="006E7881" w:rsidRPr="009D1AD4" w:rsidRDefault="006E7881" w:rsidP="0044356C">
            <w:pPr>
              <w:rPr>
                <w:rFonts w:ascii="Arial" w:hAnsi="Arial" w:cs="Arial"/>
                <w:sz w:val="20"/>
                <w:szCs w:val="20"/>
              </w:rPr>
            </w:pPr>
            <w:r w:rsidRPr="009D1AD4">
              <w:rPr>
                <w:rFonts w:ascii="Arial" w:hAnsi="Arial" w:cs="Arial"/>
                <w:sz w:val="20"/>
                <w:szCs w:val="20"/>
              </w:rPr>
              <w:t>Medicare</w:t>
            </w:r>
          </w:p>
        </w:tc>
        <w:tc>
          <w:tcPr>
            <w:tcW w:w="4428" w:type="dxa"/>
            <w:tcBorders>
              <w:left w:val="single" w:sz="4" w:space="0" w:color="A6A6A6" w:themeColor="background1" w:themeShade="A6"/>
            </w:tcBorders>
          </w:tcPr>
          <w:p w14:paraId="12E0A795" w14:textId="77777777" w:rsidR="006E7881" w:rsidRPr="009D1AD4" w:rsidRDefault="006E7881" w:rsidP="0044356C">
            <w:pPr>
              <w:rPr>
                <w:rFonts w:ascii="Arial" w:hAnsi="Arial" w:cs="Arial"/>
                <w:sz w:val="20"/>
                <w:szCs w:val="20"/>
              </w:rPr>
            </w:pPr>
            <w:r w:rsidRPr="009D1AD4">
              <w:rPr>
                <w:rFonts w:ascii="Arial" w:hAnsi="Arial" w:cs="Arial"/>
                <w:sz w:val="20"/>
                <w:szCs w:val="20"/>
              </w:rPr>
              <w:t>Disease specific coverage (so long as the principal health coverage is through the HDHP)</w:t>
            </w:r>
          </w:p>
        </w:tc>
      </w:tr>
      <w:tr w:rsidR="006E7881" w:rsidRPr="009D1AD4" w14:paraId="58A5F6E1" w14:textId="77777777" w:rsidTr="00642DA0">
        <w:tc>
          <w:tcPr>
            <w:tcW w:w="4428" w:type="dxa"/>
            <w:tcBorders>
              <w:top w:val="single" w:sz="4" w:space="0" w:color="A6A6A6" w:themeColor="background1" w:themeShade="A6"/>
              <w:right w:val="single" w:sz="4" w:space="0" w:color="A6A6A6" w:themeColor="background1" w:themeShade="A6"/>
            </w:tcBorders>
          </w:tcPr>
          <w:p w14:paraId="71CF07E2" w14:textId="77777777" w:rsidR="006E7881" w:rsidRPr="009D1AD4" w:rsidRDefault="006E7881" w:rsidP="0044356C">
            <w:pPr>
              <w:rPr>
                <w:rFonts w:ascii="Arial" w:hAnsi="Arial" w:cs="Arial"/>
                <w:sz w:val="20"/>
                <w:szCs w:val="20"/>
              </w:rPr>
            </w:pPr>
            <w:r w:rsidRPr="009D1AD4">
              <w:rPr>
                <w:rFonts w:ascii="Arial" w:hAnsi="Arial" w:cs="Arial"/>
                <w:sz w:val="20"/>
                <w:szCs w:val="20"/>
              </w:rPr>
              <w:t>On-site clinics (unless they provide nominal benefits such as flu shots, Band-Aids, and aspirin)</w:t>
            </w:r>
          </w:p>
        </w:tc>
        <w:tc>
          <w:tcPr>
            <w:tcW w:w="4428" w:type="dxa"/>
            <w:tcBorders>
              <w:left w:val="single" w:sz="4" w:space="0" w:color="A6A6A6" w:themeColor="background1" w:themeShade="A6"/>
            </w:tcBorders>
          </w:tcPr>
          <w:p w14:paraId="2E6E4DA8" w14:textId="77777777" w:rsidR="006E7881" w:rsidRPr="009D1AD4" w:rsidRDefault="006E7881" w:rsidP="0044356C">
            <w:pPr>
              <w:rPr>
                <w:rFonts w:ascii="Arial" w:hAnsi="Arial" w:cs="Arial"/>
                <w:sz w:val="20"/>
                <w:szCs w:val="20"/>
              </w:rPr>
            </w:pPr>
            <w:r w:rsidRPr="009D1AD4">
              <w:rPr>
                <w:rFonts w:ascii="Arial" w:hAnsi="Arial" w:cs="Arial"/>
                <w:sz w:val="20"/>
                <w:szCs w:val="20"/>
              </w:rPr>
              <w:t>Wellness programs (so long as it doesn’t provide significant benefits in the nature of medical care or treatment)</w:t>
            </w:r>
          </w:p>
        </w:tc>
      </w:tr>
      <w:tr w:rsidR="006E7881" w:rsidRPr="009D1AD4" w14:paraId="0E58DAB4" w14:textId="77777777" w:rsidTr="00642DA0">
        <w:tc>
          <w:tcPr>
            <w:tcW w:w="4428" w:type="dxa"/>
            <w:tcBorders>
              <w:top w:val="single" w:sz="4" w:space="0" w:color="A6A6A6" w:themeColor="background1" w:themeShade="A6"/>
              <w:right w:val="single" w:sz="4" w:space="0" w:color="A6A6A6" w:themeColor="background1" w:themeShade="A6"/>
            </w:tcBorders>
          </w:tcPr>
          <w:p w14:paraId="71FCEF33" w14:textId="77777777" w:rsidR="006E7881" w:rsidRPr="009D1AD4" w:rsidRDefault="006E7881" w:rsidP="0044356C">
            <w:pPr>
              <w:rPr>
                <w:rFonts w:ascii="Arial" w:hAnsi="Arial" w:cs="Arial"/>
                <w:sz w:val="20"/>
                <w:szCs w:val="20"/>
              </w:rPr>
            </w:pPr>
            <w:r w:rsidRPr="009D1AD4">
              <w:rPr>
                <w:rFonts w:ascii="Arial" w:hAnsi="Arial" w:cs="Arial"/>
                <w:sz w:val="20"/>
                <w:szCs w:val="20"/>
              </w:rPr>
              <w:t>Telemedicine (unless there is a co-pay and it does not provide significant benefits in the nature of medical care or treatment)</w:t>
            </w:r>
          </w:p>
        </w:tc>
        <w:tc>
          <w:tcPr>
            <w:tcW w:w="4428" w:type="dxa"/>
            <w:tcBorders>
              <w:left w:val="single" w:sz="4" w:space="0" w:color="A6A6A6" w:themeColor="background1" w:themeShade="A6"/>
            </w:tcBorders>
          </w:tcPr>
          <w:p w14:paraId="0F717316" w14:textId="77777777" w:rsidR="006E7881" w:rsidRPr="009D1AD4" w:rsidRDefault="006E7881" w:rsidP="0044356C">
            <w:pPr>
              <w:rPr>
                <w:rFonts w:ascii="Arial" w:hAnsi="Arial" w:cs="Arial"/>
                <w:sz w:val="20"/>
                <w:szCs w:val="20"/>
              </w:rPr>
            </w:pPr>
            <w:r w:rsidRPr="009D1AD4">
              <w:rPr>
                <w:rFonts w:ascii="Arial" w:hAnsi="Arial" w:cs="Arial"/>
                <w:sz w:val="20"/>
                <w:szCs w:val="20"/>
              </w:rPr>
              <w:t>Workers’ compensation</w:t>
            </w:r>
          </w:p>
        </w:tc>
      </w:tr>
      <w:tr w:rsidR="006E7881" w:rsidRPr="009D1AD4" w14:paraId="285B72B2" w14:textId="77777777" w:rsidTr="00642DA0">
        <w:tc>
          <w:tcPr>
            <w:tcW w:w="4428" w:type="dxa"/>
            <w:tcBorders>
              <w:top w:val="single" w:sz="4" w:space="0" w:color="A6A6A6" w:themeColor="background1" w:themeShade="A6"/>
              <w:right w:val="single" w:sz="4" w:space="0" w:color="A6A6A6" w:themeColor="background1" w:themeShade="A6"/>
            </w:tcBorders>
          </w:tcPr>
          <w:p w14:paraId="01CAD85A" w14:textId="77777777" w:rsidR="006E7881" w:rsidRPr="009D1AD4" w:rsidRDefault="006E7881" w:rsidP="0044356C">
            <w:pPr>
              <w:rPr>
                <w:rFonts w:ascii="Arial" w:hAnsi="Arial" w:cs="Arial"/>
                <w:sz w:val="20"/>
                <w:szCs w:val="20"/>
              </w:rPr>
            </w:pPr>
            <w:r w:rsidRPr="009D1AD4">
              <w:rPr>
                <w:rFonts w:ascii="Arial" w:hAnsi="Arial" w:cs="Arial"/>
                <w:sz w:val="20"/>
                <w:szCs w:val="20"/>
              </w:rPr>
              <w:t>TRICARE</w:t>
            </w:r>
          </w:p>
        </w:tc>
        <w:tc>
          <w:tcPr>
            <w:tcW w:w="4428" w:type="dxa"/>
            <w:tcBorders>
              <w:left w:val="single" w:sz="4" w:space="0" w:color="A6A6A6" w:themeColor="background1" w:themeShade="A6"/>
            </w:tcBorders>
          </w:tcPr>
          <w:p w14:paraId="5DDAA792" w14:textId="77777777" w:rsidR="006E7881" w:rsidRPr="009D1AD4" w:rsidRDefault="006E7881" w:rsidP="0044356C">
            <w:pPr>
              <w:rPr>
                <w:rFonts w:ascii="Arial" w:hAnsi="Arial" w:cs="Arial"/>
                <w:sz w:val="20"/>
                <w:szCs w:val="20"/>
              </w:rPr>
            </w:pPr>
            <w:r w:rsidRPr="009D1AD4">
              <w:rPr>
                <w:rFonts w:ascii="Arial" w:hAnsi="Arial" w:cs="Arial"/>
                <w:sz w:val="20"/>
                <w:szCs w:val="20"/>
              </w:rPr>
              <w:t>Vision coverage</w:t>
            </w:r>
          </w:p>
        </w:tc>
      </w:tr>
      <w:tr w:rsidR="006E7881" w:rsidRPr="009D1AD4" w14:paraId="7E6B9019" w14:textId="77777777" w:rsidTr="00642DA0">
        <w:tc>
          <w:tcPr>
            <w:tcW w:w="4428" w:type="dxa"/>
            <w:tcBorders>
              <w:top w:val="single" w:sz="4" w:space="0" w:color="A6A6A6" w:themeColor="background1" w:themeShade="A6"/>
              <w:right w:val="single" w:sz="4" w:space="0" w:color="A6A6A6" w:themeColor="background1" w:themeShade="A6"/>
            </w:tcBorders>
          </w:tcPr>
          <w:p w14:paraId="574BDB4C" w14:textId="77777777" w:rsidR="006E7881" w:rsidRPr="009D1AD4" w:rsidRDefault="006E7881" w:rsidP="0044356C">
            <w:pPr>
              <w:rPr>
                <w:rFonts w:ascii="Arial" w:hAnsi="Arial" w:cs="Arial"/>
                <w:sz w:val="20"/>
                <w:szCs w:val="20"/>
              </w:rPr>
            </w:pPr>
            <w:r w:rsidRPr="009D1AD4">
              <w:rPr>
                <w:rFonts w:ascii="Arial" w:hAnsi="Arial" w:cs="Arial"/>
                <w:sz w:val="20"/>
                <w:szCs w:val="20"/>
              </w:rPr>
              <w:t>VA Medical Benefits (unless it is hospital care or services for a service-connected disability)</w:t>
            </w:r>
          </w:p>
        </w:tc>
        <w:tc>
          <w:tcPr>
            <w:tcW w:w="4428" w:type="dxa"/>
            <w:tcBorders>
              <w:left w:val="single" w:sz="4" w:space="0" w:color="A6A6A6" w:themeColor="background1" w:themeShade="A6"/>
            </w:tcBorders>
          </w:tcPr>
          <w:p w14:paraId="1428DB23" w14:textId="77777777" w:rsidR="006E7881" w:rsidRPr="009D1AD4" w:rsidRDefault="006E7881" w:rsidP="0044356C">
            <w:pPr>
              <w:rPr>
                <w:rFonts w:ascii="Arial" w:hAnsi="Arial" w:cs="Arial"/>
                <w:sz w:val="20"/>
                <w:szCs w:val="20"/>
              </w:rPr>
            </w:pPr>
            <w:r w:rsidRPr="009D1AD4">
              <w:rPr>
                <w:rFonts w:ascii="Arial" w:hAnsi="Arial" w:cs="Arial"/>
                <w:sz w:val="20"/>
                <w:szCs w:val="20"/>
              </w:rPr>
              <w:t>Preventive care</w:t>
            </w:r>
          </w:p>
        </w:tc>
      </w:tr>
    </w:tbl>
    <w:p w14:paraId="15573FBC" w14:textId="596F8089" w:rsidR="006E7881" w:rsidRDefault="006E7881" w:rsidP="004C6CEA">
      <w:pPr>
        <w:spacing w:after="200"/>
        <w:rPr>
          <w:rFonts w:ascii="Arial" w:hAnsi="Arial" w:cs="Arial"/>
          <w:sz w:val="20"/>
          <w:szCs w:val="20"/>
        </w:rPr>
      </w:pPr>
    </w:p>
    <w:p w14:paraId="7753B135" w14:textId="77777777" w:rsidR="00A56DAE" w:rsidRPr="009D1AD4" w:rsidRDefault="00A56DAE" w:rsidP="00A56DAE">
      <w:pPr>
        <w:spacing w:after="200"/>
        <w:rPr>
          <w:rFonts w:ascii="Arial" w:hAnsi="Arial" w:cs="Arial"/>
          <w:sz w:val="20"/>
          <w:szCs w:val="20"/>
        </w:rPr>
      </w:pPr>
      <w:r w:rsidRPr="00C5063D">
        <w:rPr>
          <w:rFonts w:ascii="Arial" w:hAnsi="Arial" w:cs="Arial"/>
          <w:b/>
          <w:bCs/>
          <w:color w:val="001BBA"/>
          <w:sz w:val="22"/>
          <w:szCs w:val="22"/>
        </w:rPr>
        <w:t>Question:</w:t>
      </w:r>
      <w:r w:rsidRPr="009D1AD4">
        <w:rPr>
          <w:rFonts w:ascii="Arial" w:hAnsi="Arial" w:cs="Arial"/>
          <w:sz w:val="20"/>
          <w:szCs w:val="20"/>
        </w:rPr>
        <w:t xml:space="preserve"> When must an employer provide a Medicare Part D Creditable Coverage Disclosure to an individual?</w:t>
      </w:r>
    </w:p>
    <w:p w14:paraId="60C23CE2" w14:textId="77777777" w:rsidR="00A56DAE" w:rsidRPr="009D1AD4" w:rsidRDefault="00A56DAE" w:rsidP="00A56DAE">
      <w:pPr>
        <w:spacing w:after="200"/>
        <w:rPr>
          <w:rFonts w:ascii="Arial" w:hAnsi="Arial" w:cs="Arial"/>
          <w:sz w:val="20"/>
          <w:szCs w:val="20"/>
        </w:rPr>
      </w:pPr>
      <w:r w:rsidRPr="009D1AD4">
        <w:rPr>
          <w:rFonts w:ascii="Arial" w:hAnsi="Arial" w:cs="Arial"/>
          <w:b/>
          <w:sz w:val="20"/>
          <w:szCs w:val="20"/>
        </w:rPr>
        <w:t>Answer:</w:t>
      </w:r>
      <w:r w:rsidRPr="009D1AD4">
        <w:rPr>
          <w:rFonts w:ascii="Arial" w:hAnsi="Arial" w:cs="Arial"/>
          <w:sz w:val="20"/>
          <w:szCs w:val="20"/>
        </w:rPr>
        <w:t xml:space="preserve"> Disclosures to individuals must be made:</w:t>
      </w:r>
    </w:p>
    <w:p w14:paraId="16A6830B" w14:textId="77777777" w:rsidR="00A56DAE" w:rsidRPr="009D1AD4" w:rsidRDefault="00A56DAE" w:rsidP="00A56DAE">
      <w:pPr>
        <w:numPr>
          <w:ilvl w:val="0"/>
          <w:numId w:val="8"/>
        </w:numPr>
        <w:spacing w:after="200"/>
        <w:rPr>
          <w:rFonts w:ascii="Arial" w:hAnsi="Arial" w:cs="Arial"/>
          <w:sz w:val="20"/>
          <w:szCs w:val="20"/>
        </w:rPr>
      </w:pPr>
      <w:r w:rsidRPr="009D1AD4">
        <w:rPr>
          <w:rFonts w:ascii="Arial" w:hAnsi="Arial" w:cs="Arial"/>
          <w:sz w:val="20"/>
          <w:szCs w:val="20"/>
        </w:rPr>
        <w:t>Prior to the Medicare Part D Annual Coordinated Election Period (ACEP) which runs from October 15 through December 7 of each year;</w:t>
      </w:r>
    </w:p>
    <w:p w14:paraId="0CFE07C7" w14:textId="77777777" w:rsidR="00A56DAE" w:rsidRPr="009D1AD4" w:rsidRDefault="00A56DAE" w:rsidP="00A56DAE">
      <w:pPr>
        <w:numPr>
          <w:ilvl w:val="0"/>
          <w:numId w:val="8"/>
        </w:numPr>
        <w:spacing w:after="200"/>
        <w:rPr>
          <w:rFonts w:ascii="Arial" w:hAnsi="Arial" w:cs="Arial"/>
          <w:sz w:val="20"/>
          <w:szCs w:val="20"/>
        </w:rPr>
      </w:pPr>
      <w:r w:rsidRPr="009D1AD4">
        <w:rPr>
          <w:rFonts w:ascii="Arial" w:hAnsi="Arial" w:cs="Arial"/>
          <w:sz w:val="20"/>
          <w:szCs w:val="20"/>
        </w:rPr>
        <w:t>Prior to an individual’s Initial Enrollment Period (IEP) for Medicare Part D;</w:t>
      </w:r>
    </w:p>
    <w:p w14:paraId="087D1B6A" w14:textId="77777777" w:rsidR="00A56DAE" w:rsidRPr="009D1AD4" w:rsidRDefault="00A56DAE" w:rsidP="00A56DAE">
      <w:pPr>
        <w:numPr>
          <w:ilvl w:val="0"/>
          <w:numId w:val="8"/>
        </w:numPr>
        <w:spacing w:after="200"/>
        <w:rPr>
          <w:rFonts w:ascii="Arial" w:hAnsi="Arial" w:cs="Arial"/>
          <w:sz w:val="20"/>
          <w:szCs w:val="20"/>
        </w:rPr>
      </w:pPr>
      <w:r w:rsidRPr="009D1AD4">
        <w:rPr>
          <w:rFonts w:ascii="Arial" w:hAnsi="Arial" w:cs="Arial"/>
          <w:sz w:val="20"/>
          <w:szCs w:val="20"/>
        </w:rPr>
        <w:lastRenderedPageBreak/>
        <w:t>Prior to the effective date of coverage for any Medicare eligible individual that joins the plan;</w:t>
      </w:r>
    </w:p>
    <w:p w14:paraId="429154E0" w14:textId="77777777" w:rsidR="00A56DAE" w:rsidRPr="009D1AD4" w:rsidRDefault="00A56DAE" w:rsidP="00A56DAE">
      <w:pPr>
        <w:numPr>
          <w:ilvl w:val="0"/>
          <w:numId w:val="8"/>
        </w:numPr>
        <w:spacing w:after="200"/>
        <w:rPr>
          <w:rFonts w:ascii="Arial" w:hAnsi="Arial" w:cs="Arial"/>
          <w:sz w:val="20"/>
          <w:szCs w:val="20"/>
        </w:rPr>
      </w:pPr>
      <w:r w:rsidRPr="009D1AD4">
        <w:rPr>
          <w:rFonts w:ascii="Arial" w:hAnsi="Arial" w:cs="Arial"/>
          <w:sz w:val="20"/>
          <w:szCs w:val="20"/>
        </w:rPr>
        <w:t>Whenever the plan no longer offers prescription drug coverage or changes the coverage offered so that it is no longer creditable or becomes creditable; and</w:t>
      </w:r>
    </w:p>
    <w:p w14:paraId="5C71E506" w14:textId="77777777" w:rsidR="00A56DAE" w:rsidRPr="009D1AD4" w:rsidRDefault="00A56DAE" w:rsidP="00A56DAE">
      <w:pPr>
        <w:numPr>
          <w:ilvl w:val="0"/>
          <w:numId w:val="8"/>
        </w:numPr>
        <w:spacing w:after="200"/>
        <w:rPr>
          <w:rFonts w:ascii="Arial" w:hAnsi="Arial" w:cs="Arial"/>
          <w:sz w:val="20"/>
          <w:szCs w:val="20"/>
        </w:rPr>
      </w:pPr>
      <w:r w:rsidRPr="009D1AD4">
        <w:rPr>
          <w:rFonts w:ascii="Arial" w:hAnsi="Arial" w:cs="Arial"/>
          <w:sz w:val="20"/>
          <w:szCs w:val="20"/>
        </w:rPr>
        <w:t>Upon request by the individual.</w:t>
      </w:r>
    </w:p>
    <w:p w14:paraId="186BF43E" w14:textId="77777777" w:rsidR="00A56DAE" w:rsidRPr="009D1AD4" w:rsidRDefault="00A56DAE" w:rsidP="00A56DAE">
      <w:pPr>
        <w:spacing w:after="200"/>
        <w:rPr>
          <w:rFonts w:ascii="Arial" w:hAnsi="Arial" w:cs="Arial"/>
          <w:sz w:val="20"/>
          <w:szCs w:val="20"/>
        </w:rPr>
      </w:pPr>
      <w:r w:rsidRPr="009D1AD4">
        <w:rPr>
          <w:rFonts w:ascii="Arial" w:hAnsi="Arial" w:cs="Arial"/>
          <w:sz w:val="20"/>
          <w:szCs w:val="20"/>
        </w:rPr>
        <w:t>If the creditable coverage disclosure notice is provided to all plan participants annually (for example, at open enrollment), CMS will consider items 1 and 2 above to be met.</w:t>
      </w:r>
    </w:p>
    <w:p w14:paraId="25A2F312" w14:textId="77777777" w:rsidR="00A56DAE" w:rsidRDefault="00A56DAE" w:rsidP="004C6CEA">
      <w:pPr>
        <w:spacing w:after="200"/>
        <w:rPr>
          <w:rFonts w:ascii="Arial" w:hAnsi="Arial" w:cs="Arial"/>
          <w:sz w:val="20"/>
          <w:szCs w:val="20"/>
        </w:rPr>
      </w:pPr>
    </w:p>
    <w:tbl>
      <w:tblPr>
        <w:tblW w:w="9360" w:type="dxa"/>
        <w:shd w:val="clear" w:color="auto" w:fill="001BBA"/>
        <w:tblCellMar>
          <w:top w:w="86" w:type="dxa"/>
          <w:left w:w="115" w:type="dxa"/>
          <w:bottom w:w="86" w:type="dxa"/>
          <w:right w:w="115" w:type="dxa"/>
        </w:tblCellMar>
        <w:tblLook w:val="01E0" w:firstRow="1" w:lastRow="1" w:firstColumn="1" w:lastColumn="1" w:noHBand="0" w:noVBand="0"/>
      </w:tblPr>
      <w:tblGrid>
        <w:gridCol w:w="9360"/>
      </w:tblGrid>
      <w:tr w:rsidR="00FE74CA" w:rsidRPr="00C04F07" w14:paraId="7F237931" w14:textId="77777777" w:rsidTr="00A14E50">
        <w:trPr>
          <w:trHeight w:val="144"/>
        </w:trPr>
        <w:tc>
          <w:tcPr>
            <w:tcW w:w="9360" w:type="dxa"/>
            <w:shd w:val="clear" w:color="auto" w:fill="001BBA"/>
            <w:vAlign w:val="center"/>
          </w:tcPr>
          <w:p w14:paraId="09E05B83" w14:textId="1D5DAA98" w:rsidR="00FE74CA" w:rsidRPr="00C04F07" w:rsidRDefault="00FE74CA" w:rsidP="00A14E50">
            <w:pPr>
              <w:pStyle w:val="Heading2"/>
              <w:rPr>
                <w:i w:val="0"/>
                <w:iCs/>
                <w:color w:val="auto"/>
              </w:rPr>
            </w:pPr>
            <w:bookmarkStart w:id="30" w:name="_Toc12890044"/>
            <w:bookmarkStart w:id="31" w:name="_Toc12890160"/>
            <w:bookmarkStart w:id="32" w:name="_Toc12890541"/>
            <w:r>
              <w:rPr>
                <w:i w:val="0"/>
                <w:iCs/>
                <w:color w:val="auto"/>
                <w:szCs w:val="22"/>
              </w:rPr>
              <w:t>Nondiscrimination</w:t>
            </w:r>
            <w:bookmarkEnd w:id="30"/>
            <w:bookmarkEnd w:id="31"/>
            <w:bookmarkEnd w:id="32"/>
          </w:p>
        </w:tc>
      </w:tr>
    </w:tbl>
    <w:p w14:paraId="418D4EFC" w14:textId="77777777" w:rsidR="00A703EE" w:rsidRPr="00535CAE" w:rsidRDefault="00A703EE" w:rsidP="00A56DAE">
      <w:pPr>
        <w:rPr>
          <w:rFonts w:ascii="Arial" w:hAnsi="Arial" w:cs="Arial"/>
          <w:sz w:val="20"/>
          <w:szCs w:val="20"/>
        </w:rPr>
      </w:pPr>
    </w:p>
    <w:p w14:paraId="24D8AED7" w14:textId="77777777" w:rsidR="00354D6A" w:rsidRDefault="00354D6A" w:rsidP="004C6CEA">
      <w:pPr>
        <w:spacing w:after="200"/>
        <w:rPr>
          <w:rFonts w:ascii="Arial" w:hAnsi="Arial" w:cs="Arial"/>
          <w:sz w:val="20"/>
          <w:szCs w:val="20"/>
        </w:rPr>
      </w:pPr>
      <w:r w:rsidRPr="00C5063D">
        <w:rPr>
          <w:rFonts w:ascii="Arial" w:hAnsi="Arial" w:cs="Arial"/>
          <w:b/>
          <w:bCs/>
          <w:color w:val="001BBA"/>
          <w:sz w:val="22"/>
          <w:szCs w:val="22"/>
        </w:rPr>
        <w:t>Question:</w:t>
      </w:r>
      <w:r w:rsidRPr="009D1AD4">
        <w:rPr>
          <w:rFonts w:ascii="Arial" w:hAnsi="Arial" w:cs="Arial"/>
          <w:sz w:val="20"/>
          <w:szCs w:val="20"/>
        </w:rPr>
        <w:t xml:space="preserve"> May a self-funded plan exclude high-cost, specialty drugs?</w:t>
      </w:r>
    </w:p>
    <w:p w14:paraId="6037886B" w14:textId="77777777" w:rsidR="00354D6A" w:rsidRPr="009D1AD4" w:rsidRDefault="00354D6A" w:rsidP="004C6CEA">
      <w:pPr>
        <w:spacing w:after="200"/>
        <w:rPr>
          <w:rFonts w:ascii="Arial" w:hAnsi="Arial" w:cs="Arial"/>
          <w:color w:val="000000"/>
          <w:sz w:val="20"/>
          <w:szCs w:val="20"/>
        </w:rPr>
      </w:pPr>
      <w:r w:rsidRPr="009D1AD4">
        <w:rPr>
          <w:rFonts w:ascii="Arial" w:hAnsi="Arial" w:cs="Arial"/>
          <w:b/>
          <w:sz w:val="20"/>
          <w:szCs w:val="20"/>
        </w:rPr>
        <w:t>Answer:</w:t>
      </w:r>
      <w:r w:rsidRPr="009D1AD4">
        <w:rPr>
          <w:rFonts w:ascii="Arial" w:hAnsi="Arial" w:cs="Arial"/>
          <w:sz w:val="20"/>
          <w:szCs w:val="20"/>
        </w:rPr>
        <w:t xml:space="preserve"> </w:t>
      </w:r>
      <w:r w:rsidRPr="009D1AD4">
        <w:rPr>
          <w:rFonts w:ascii="Arial" w:hAnsi="Arial" w:cs="Arial"/>
          <w:color w:val="000000"/>
          <w:sz w:val="20"/>
          <w:szCs w:val="20"/>
        </w:rPr>
        <w:t>Generally, a self-funded plan may design its prescription drug plan to exclude or limit certain high-cost prescription drugs. However, a plan sponsor should evaluate its proposed prescription drug plan design to ensure that it doesn’t violate mental health / substance use disorder parity rules, violate the Americans with Disability Act’s prohibition of discrimination against the disabled, or discriminate based on sex, gender, sexual orientation, or gender identity (if the plan is subject to Section 1557’s nondiscrimination rules).</w:t>
      </w:r>
    </w:p>
    <w:p w14:paraId="41A134E0" w14:textId="50411775" w:rsidR="00354D6A" w:rsidRPr="009D1AD4" w:rsidRDefault="009E6892" w:rsidP="004C6CEA">
      <w:pPr>
        <w:spacing w:after="200"/>
        <w:rPr>
          <w:rFonts w:ascii="Arial" w:hAnsi="Arial" w:cs="Arial"/>
          <w:color w:val="000000"/>
          <w:sz w:val="20"/>
          <w:szCs w:val="20"/>
        </w:rPr>
      </w:pPr>
      <w:r>
        <w:rPr>
          <w:rFonts w:ascii="Arial" w:hAnsi="Arial" w:cs="Arial"/>
          <w:color w:val="000000"/>
          <w:sz w:val="20"/>
          <w:szCs w:val="20"/>
        </w:rPr>
        <w:t>O</w:t>
      </w:r>
      <w:r w:rsidR="00354D6A" w:rsidRPr="009D1AD4">
        <w:rPr>
          <w:rFonts w:ascii="Arial" w:hAnsi="Arial" w:cs="Arial"/>
          <w:color w:val="000000"/>
          <w:sz w:val="20"/>
          <w:szCs w:val="20"/>
        </w:rPr>
        <w:t>ur UBA Advisors “</w:t>
      </w:r>
      <w:hyperlink r:id="rId64" w:history="1">
        <w:r w:rsidR="00354D6A" w:rsidRPr="009E6892">
          <w:rPr>
            <w:rStyle w:val="Hyperlink"/>
          </w:rPr>
          <w:t>Proposed FAQs about Mental Health and Substance Use Disorder Parity</w:t>
        </w:r>
      </w:hyperlink>
      <w:r w:rsidR="00354D6A" w:rsidRPr="009D1AD4">
        <w:rPr>
          <w:rFonts w:ascii="Arial" w:hAnsi="Arial" w:cs="Arial"/>
          <w:color w:val="000000"/>
          <w:sz w:val="20"/>
          <w:szCs w:val="20"/>
        </w:rPr>
        <w:t>” and “</w:t>
      </w:r>
      <w:hyperlink r:id="rId65" w:history="1">
        <w:r w:rsidRPr="009E6892">
          <w:rPr>
            <w:rStyle w:val="Hyperlink"/>
          </w:rPr>
          <w:t xml:space="preserve">Update on </w:t>
        </w:r>
        <w:r w:rsidR="00354D6A" w:rsidRPr="009E6892">
          <w:rPr>
            <w:rStyle w:val="Hyperlink"/>
          </w:rPr>
          <w:t>Nondiscrimination Regulations Relating to Sex, Gender, Age, and More Finalized</w:t>
        </w:r>
      </w:hyperlink>
      <w:r w:rsidR="00354D6A" w:rsidRPr="009D1AD4">
        <w:rPr>
          <w:rFonts w:ascii="Arial" w:hAnsi="Arial" w:cs="Arial"/>
          <w:color w:val="000000"/>
          <w:sz w:val="20"/>
          <w:szCs w:val="20"/>
        </w:rPr>
        <w:t>” that describes these nondiscrimination concepts.</w:t>
      </w:r>
    </w:p>
    <w:p w14:paraId="353FC8DC" w14:textId="77777777" w:rsidR="00354D6A" w:rsidRDefault="00354D6A" w:rsidP="004C6CEA">
      <w:pPr>
        <w:spacing w:after="200"/>
        <w:rPr>
          <w:rFonts w:ascii="Arial" w:hAnsi="Arial" w:cs="Arial"/>
          <w:color w:val="000000"/>
          <w:sz w:val="20"/>
          <w:szCs w:val="20"/>
        </w:rPr>
      </w:pPr>
      <w:r w:rsidRPr="009D1AD4">
        <w:rPr>
          <w:rFonts w:ascii="Arial" w:hAnsi="Arial" w:cs="Arial"/>
          <w:color w:val="000000"/>
          <w:sz w:val="20"/>
          <w:szCs w:val="20"/>
        </w:rPr>
        <w:t>Also, under HIPAA’s nondiscrimination rules for eligibility and benefits, a plan sponsor should not amend a prescription drug plan to exclude or limit certain high-cost prescription drugs based on an individual participant’s health factors.</w:t>
      </w:r>
    </w:p>
    <w:p w14:paraId="6665B5F1" w14:textId="77777777" w:rsidR="00354D6A" w:rsidRPr="009D1AD4" w:rsidRDefault="00354D6A" w:rsidP="004C6CEA">
      <w:pPr>
        <w:spacing w:after="200"/>
        <w:rPr>
          <w:rFonts w:ascii="Arial" w:hAnsi="Arial" w:cs="Arial"/>
          <w:color w:val="000000"/>
          <w:sz w:val="20"/>
          <w:szCs w:val="20"/>
        </w:rPr>
      </w:pPr>
      <w:r w:rsidRPr="009D1AD4">
        <w:rPr>
          <w:rFonts w:ascii="Arial" w:hAnsi="Arial" w:cs="Arial"/>
          <w:color w:val="000000"/>
          <w:sz w:val="20"/>
          <w:szCs w:val="20"/>
        </w:rPr>
        <w:t>If a plan sponsor wants to amend its prescription drug plan to exclude or limit certain high-cost prescription drugs, then its amendment should:</w:t>
      </w:r>
    </w:p>
    <w:p w14:paraId="6701B9E3" w14:textId="77777777" w:rsidR="00354D6A" w:rsidRPr="009D1AD4" w:rsidRDefault="00354D6A" w:rsidP="004C6CEA">
      <w:pPr>
        <w:pStyle w:val="ListParagraph"/>
        <w:numPr>
          <w:ilvl w:val="0"/>
          <w:numId w:val="10"/>
        </w:numPr>
        <w:spacing w:after="200"/>
        <w:contextualSpacing w:val="0"/>
        <w:rPr>
          <w:rFonts w:ascii="Arial" w:hAnsi="Arial" w:cs="Arial"/>
          <w:color w:val="000000"/>
          <w:sz w:val="20"/>
          <w:szCs w:val="20"/>
        </w:rPr>
      </w:pPr>
      <w:r w:rsidRPr="009D1AD4">
        <w:rPr>
          <w:rFonts w:ascii="Arial" w:hAnsi="Arial" w:cs="Arial"/>
          <w:color w:val="000000"/>
          <w:sz w:val="20"/>
          <w:szCs w:val="20"/>
        </w:rPr>
        <w:t>apply to all individuals in one or more groups of similarly situated individuals and</w:t>
      </w:r>
    </w:p>
    <w:p w14:paraId="4845236A" w14:textId="77777777" w:rsidR="00354D6A" w:rsidRPr="009D1AD4" w:rsidRDefault="00354D6A" w:rsidP="004C6CEA">
      <w:pPr>
        <w:pStyle w:val="ListParagraph"/>
        <w:numPr>
          <w:ilvl w:val="0"/>
          <w:numId w:val="10"/>
        </w:numPr>
        <w:spacing w:after="200"/>
        <w:contextualSpacing w:val="0"/>
        <w:rPr>
          <w:rFonts w:ascii="Arial" w:hAnsi="Arial" w:cs="Arial"/>
          <w:color w:val="000000"/>
          <w:sz w:val="20"/>
          <w:szCs w:val="20"/>
        </w:rPr>
      </w:pPr>
      <w:r w:rsidRPr="009D1AD4">
        <w:rPr>
          <w:rFonts w:ascii="Arial" w:hAnsi="Arial" w:cs="Arial"/>
          <w:color w:val="000000"/>
          <w:sz w:val="20"/>
          <w:szCs w:val="20"/>
        </w:rPr>
        <w:t>the amendment should be effective no earlier than the first day of the first plan year beginning after the amendment is adopted.</w:t>
      </w:r>
    </w:p>
    <w:p w14:paraId="249529BA" w14:textId="00B6213F" w:rsidR="00354D6A" w:rsidRDefault="00354D6A" w:rsidP="004C6CEA">
      <w:pPr>
        <w:spacing w:after="200"/>
        <w:rPr>
          <w:rFonts w:ascii="Arial" w:hAnsi="Arial" w:cs="Arial"/>
          <w:sz w:val="20"/>
          <w:szCs w:val="20"/>
        </w:rPr>
      </w:pPr>
    </w:p>
    <w:p w14:paraId="1C414182" w14:textId="77777777" w:rsidR="00354D6A" w:rsidRPr="009D1AD4" w:rsidRDefault="00354D6A" w:rsidP="004C6CEA">
      <w:pPr>
        <w:spacing w:after="200"/>
        <w:rPr>
          <w:rFonts w:ascii="Arial" w:hAnsi="Arial" w:cs="Arial"/>
          <w:sz w:val="20"/>
          <w:szCs w:val="20"/>
        </w:rPr>
      </w:pPr>
      <w:r w:rsidRPr="00C5063D">
        <w:rPr>
          <w:rFonts w:ascii="Arial" w:hAnsi="Arial" w:cs="Arial"/>
          <w:b/>
          <w:bCs/>
          <w:color w:val="001BBA"/>
          <w:sz w:val="22"/>
          <w:szCs w:val="22"/>
        </w:rPr>
        <w:t>Question:</w:t>
      </w:r>
      <w:r w:rsidRPr="009D1AD4">
        <w:rPr>
          <w:rFonts w:ascii="Arial" w:hAnsi="Arial" w:cs="Arial"/>
          <w:sz w:val="20"/>
          <w:szCs w:val="20"/>
        </w:rPr>
        <w:t xml:space="preserve"> Under what circumstances would an executive reimbursement plan be permitted?</w:t>
      </w:r>
    </w:p>
    <w:p w14:paraId="195299A4" w14:textId="67348B0D" w:rsidR="00354D6A" w:rsidRPr="009D1AD4" w:rsidRDefault="00354D6A" w:rsidP="004C6CEA">
      <w:pPr>
        <w:spacing w:after="200"/>
        <w:rPr>
          <w:rFonts w:ascii="Arial" w:hAnsi="Arial" w:cs="Arial"/>
          <w:sz w:val="20"/>
          <w:szCs w:val="20"/>
        </w:rPr>
      </w:pPr>
      <w:r w:rsidRPr="009D1AD4">
        <w:rPr>
          <w:rFonts w:ascii="Arial" w:hAnsi="Arial" w:cs="Arial"/>
          <w:b/>
          <w:sz w:val="20"/>
          <w:szCs w:val="20"/>
        </w:rPr>
        <w:t>Answer:</w:t>
      </w:r>
      <w:r w:rsidRPr="009D1AD4">
        <w:rPr>
          <w:rFonts w:ascii="Arial" w:hAnsi="Arial" w:cs="Arial"/>
          <w:sz w:val="20"/>
          <w:szCs w:val="20"/>
        </w:rPr>
        <w:t xml:space="preserve"> While</w:t>
      </w:r>
      <w:r w:rsidR="00055049">
        <w:rPr>
          <w:rFonts w:ascii="Arial" w:hAnsi="Arial" w:cs="Arial"/>
          <w:sz w:val="20"/>
          <w:szCs w:val="20"/>
        </w:rPr>
        <w:t xml:space="preserve"> </w:t>
      </w:r>
      <w:r w:rsidRPr="009D1AD4">
        <w:rPr>
          <w:rFonts w:ascii="Arial" w:hAnsi="Arial" w:cs="Arial"/>
          <w:sz w:val="20"/>
          <w:szCs w:val="20"/>
        </w:rPr>
        <w:t>executive</w:t>
      </w:r>
      <w:r w:rsidR="00055049">
        <w:rPr>
          <w:rFonts w:ascii="Arial" w:hAnsi="Arial" w:cs="Arial"/>
          <w:sz w:val="20"/>
          <w:szCs w:val="20"/>
        </w:rPr>
        <w:t xml:space="preserve"> </w:t>
      </w:r>
      <w:r w:rsidRPr="009D1AD4">
        <w:rPr>
          <w:rFonts w:ascii="Arial" w:hAnsi="Arial" w:cs="Arial"/>
          <w:sz w:val="20"/>
          <w:szCs w:val="20"/>
        </w:rPr>
        <w:t>reimbursement</w:t>
      </w:r>
      <w:r w:rsidR="00055049">
        <w:rPr>
          <w:rFonts w:ascii="Arial" w:hAnsi="Arial" w:cs="Arial"/>
          <w:sz w:val="20"/>
          <w:szCs w:val="20"/>
        </w:rPr>
        <w:t xml:space="preserve"> </w:t>
      </w:r>
      <w:r w:rsidRPr="009D1AD4">
        <w:rPr>
          <w:rFonts w:ascii="Arial" w:hAnsi="Arial" w:cs="Arial"/>
          <w:sz w:val="20"/>
          <w:szCs w:val="20"/>
        </w:rPr>
        <w:t>plans are</w:t>
      </w:r>
      <w:r w:rsidR="00055049">
        <w:rPr>
          <w:rFonts w:ascii="Arial" w:hAnsi="Arial" w:cs="Arial"/>
          <w:sz w:val="20"/>
          <w:szCs w:val="20"/>
        </w:rPr>
        <w:t xml:space="preserve"> </w:t>
      </w:r>
      <w:r w:rsidRPr="009D1AD4">
        <w:rPr>
          <w:rFonts w:ascii="Arial" w:hAnsi="Arial" w:cs="Arial"/>
          <w:sz w:val="20"/>
          <w:szCs w:val="20"/>
        </w:rPr>
        <w:t>disfavored</w:t>
      </w:r>
      <w:r w:rsidR="00055049">
        <w:rPr>
          <w:rFonts w:ascii="Arial" w:hAnsi="Arial" w:cs="Arial"/>
          <w:sz w:val="20"/>
          <w:szCs w:val="20"/>
        </w:rPr>
        <w:t xml:space="preserve"> </w:t>
      </w:r>
      <w:r w:rsidRPr="009D1AD4">
        <w:rPr>
          <w:rFonts w:ascii="Arial" w:hAnsi="Arial" w:cs="Arial"/>
          <w:sz w:val="20"/>
          <w:szCs w:val="20"/>
        </w:rPr>
        <w:t>and self-funded executive reimbursement</w:t>
      </w:r>
      <w:r w:rsidR="00055049">
        <w:rPr>
          <w:rFonts w:ascii="Arial" w:hAnsi="Arial" w:cs="Arial"/>
          <w:sz w:val="20"/>
          <w:szCs w:val="20"/>
        </w:rPr>
        <w:t xml:space="preserve"> </w:t>
      </w:r>
      <w:r w:rsidRPr="009D1AD4">
        <w:rPr>
          <w:rFonts w:ascii="Arial" w:hAnsi="Arial" w:cs="Arial"/>
          <w:sz w:val="20"/>
          <w:szCs w:val="20"/>
        </w:rPr>
        <w:t>plans are likely prohibited, it</w:t>
      </w:r>
      <w:r w:rsidR="00055049">
        <w:rPr>
          <w:rFonts w:ascii="Arial" w:hAnsi="Arial" w:cs="Arial"/>
          <w:sz w:val="20"/>
          <w:szCs w:val="20"/>
        </w:rPr>
        <w:t xml:space="preserve"> </w:t>
      </w:r>
      <w:r w:rsidRPr="009D1AD4">
        <w:rPr>
          <w:rFonts w:ascii="Arial" w:hAnsi="Arial" w:cs="Arial"/>
          <w:i/>
          <w:iCs/>
          <w:sz w:val="20"/>
          <w:szCs w:val="20"/>
        </w:rPr>
        <w:t>may</w:t>
      </w:r>
      <w:r w:rsidR="00055049">
        <w:rPr>
          <w:rFonts w:ascii="Arial" w:hAnsi="Arial" w:cs="Arial"/>
          <w:sz w:val="20"/>
          <w:szCs w:val="20"/>
        </w:rPr>
        <w:t xml:space="preserve"> </w:t>
      </w:r>
      <w:r w:rsidRPr="009D1AD4">
        <w:rPr>
          <w:rFonts w:ascii="Arial" w:hAnsi="Arial" w:cs="Arial"/>
          <w:sz w:val="20"/>
          <w:szCs w:val="20"/>
        </w:rPr>
        <w:t>be permissible to</w:t>
      </w:r>
      <w:r w:rsidR="00055049">
        <w:rPr>
          <w:rFonts w:ascii="Arial" w:hAnsi="Arial" w:cs="Arial"/>
          <w:sz w:val="20"/>
          <w:szCs w:val="20"/>
        </w:rPr>
        <w:t xml:space="preserve"> </w:t>
      </w:r>
      <w:r w:rsidRPr="009D1AD4">
        <w:rPr>
          <w:rFonts w:ascii="Arial" w:hAnsi="Arial" w:cs="Arial"/>
          <w:sz w:val="20"/>
          <w:szCs w:val="20"/>
        </w:rPr>
        <w:t>have an executive reimbursement</w:t>
      </w:r>
      <w:r w:rsidR="00055049">
        <w:rPr>
          <w:rFonts w:ascii="Arial" w:hAnsi="Arial" w:cs="Arial"/>
          <w:sz w:val="20"/>
          <w:szCs w:val="20"/>
        </w:rPr>
        <w:t xml:space="preserve"> </w:t>
      </w:r>
      <w:r w:rsidRPr="009D1AD4">
        <w:rPr>
          <w:rFonts w:ascii="Arial" w:hAnsi="Arial" w:cs="Arial"/>
          <w:sz w:val="20"/>
          <w:szCs w:val="20"/>
        </w:rPr>
        <w:t>plan</w:t>
      </w:r>
      <w:r w:rsidR="00055049">
        <w:rPr>
          <w:rFonts w:ascii="Arial" w:hAnsi="Arial" w:cs="Arial"/>
          <w:sz w:val="20"/>
          <w:szCs w:val="20"/>
        </w:rPr>
        <w:t xml:space="preserve"> </w:t>
      </w:r>
      <w:r w:rsidRPr="009D1AD4">
        <w:rPr>
          <w:rFonts w:ascii="Arial" w:hAnsi="Arial" w:cs="Arial"/>
          <w:sz w:val="20"/>
          <w:szCs w:val="20"/>
        </w:rPr>
        <w:t>if it is fully insured and not run through</w:t>
      </w:r>
      <w:r w:rsidR="00055049">
        <w:rPr>
          <w:rFonts w:ascii="Arial" w:hAnsi="Arial" w:cs="Arial"/>
          <w:sz w:val="20"/>
          <w:szCs w:val="20"/>
        </w:rPr>
        <w:t xml:space="preserve"> </w:t>
      </w:r>
      <w:r w:rsidRPr="009D1AD4">
        <w:rPr>
          <w:rFonts w:ascii="Arial" w:hAnsi="Arial" w:cs="Arial"/>
          <w:sz w:val="20"/>
          <w:szCs w:val="20"/>
        </w:rPr>
        <w:t>a cafeteria</w:t>
      </w:r>
      <w:r w:rsidR="00055049">
        <w:rPr>
          <w:rFonts w:ascii="Arial" w:hAnsi="Arial" w:cs="Arial"/>
          <w:sz w:val="20"/>
          <w:szCs w:val="20"/>
        </w:rPr>
        <w:t xml:space="preserve"> </w:t>
      </w:r>
      <w:r w:rsidRPr="009D1AD4">
        <w:rPr>
          <w:rFonts w:ascii="Arial" w:hAnsi="Arial" w:cs="Arial"/>
          <w:sz w:val="20"/>
          <w:szCs w:val="20"/>
        </w:rPr>
        <w:t>plan. A</w:t>
      </w:r>
      <w:r w:rsidR="00055049">
        <w:rPr>
          <w:rFonts w:ascii="Arial" w:hAnsi="Arial" w:cs="Arial"/>
          <w:sz w:val="20"/>
          <w:szCs w:val="20"/>
        </w:rPr>
        <w:t xml:space="preserve"> </w:t>
      </w:r>
      <w:r w:rsidRPr="009D1AD4">
        <w:rPr>
          <w:rFonts w:ascii="Arial" w:hAnsi="Arial" w:cs="Arial"/>
          <w:sz w:val="20"/>
          <w:szCs w:val="20"/>
        </w:rPr>
        <w:t>plan</w:t>
      </w:r>
      <w:r w:rsidR="00055049">
        <w:rPr>
          <w:rFonts w:ascii="Arial" w:hAnsi="Arial" w:cs="Arial"/>
          <w:sz w:val="20"/>
          <w:szCs w:val="20"/>
        </w:rPr>
        <w:t xml:space="preserve"> </w:t>
      </w:r>
      <w:r w:rsidRPr="009D1AD4">
        <w:rPr>
          <w:rFonts w:ascii="Arial" w:hAnsi="Arial" w:cs="Arial"/>
          <w:sz w:val="20"/>
          <w:szCs w:val="20"/>
        </w:rPr>
        <w:t>sponsor who is considering an</w:t>
      </w:r>
      <w:r w:rsidR="00055049">
        <w:rPr>
          <w:rFonts w:ascii="Arial" w:hAnsi="Arial" w:cs="Arial"/>
          <w:sz w:val="20"/>
          <w:szCs w:val="20"/>
        </w:rPr>
        <w:t xml:space="preserve"> </w:t>
      </w:r>
      <w:r w:rsidRPr="009D1AD4">
        <w:rPr>
          <w:rFonts w:ascii="Arial" w:hAnsi="Arial" w:cs="Arial"/>
          <w:sz w:val="20"/>
          <w:szCs w:val="20"/>
        </w:rPr>
        <w:t>executive</w:t>
      </w:r>
      <w:r w:rsidR="00055049">
        <w:rPr>
          <w:rFonts w:ascii="Arial" w:hAnsi="Arial" w:cs="Arial"/>
          <w:sz w:val="20"/>
          <w:szCs w:val="20"/>
        </w:rPr>
        <w:t xml:space="preserve"> </w:t>
      </w:r>
      <w:r w:rsidRPr="009D1AD4">
        <w:rPr>
          <w:rFonts w:ascii="Arial" w:hAnsi="Arial" w:cs="Arial"/>
          <w:sz w:val="20"/>
          <w:szCs w:val="20"/>
        </w:rPr>
        <w:t>reimbursement</w:t>
      </w:r>
      <w:r w:rsidR="00055049">
        <w:rPr>
          <w:rFonts w:ascii="Arial" w:hAnsi="Arial" w:cs="Arial"/>
          <w:sz w:val="20"/>
          <w:szCs w:val="20"/>
        </w:rPr>
        <w:t xml:space="preserve"> </w:t>
      </w:r>
      <w:r w:rsidRPr="009D1AD4">
        <w:rPr>
          <w:rFonts w:ascii="Arial" w:hAnsi="Arial" w:cs="Arial"/>
          <w:sz w:val="20"/>
          <w:szCs w:val="20"/>
        </w:rPr>
        <w:t>plan</w:t>
      </w:r>
      <w:r w:rsidR="00055049">
        <w:rPr>
          <w:rFonts w:ascii="Arial" w:hAnsi="Arial" w:cs="Arial"/>
          <w:sz w:val="20"/>
          <w:szCs w:val="20"/>
        </w:rPr>
        <w:t xml:space="preserve"> </w:t>
      </w:r>
      <w:r w:rsidRPr="009D1AD4">
        <w:rPr>
          <w:rFonts w:ascii="Arial" w:hAnsi="Arial" w:cs="Arial"/>
          <w:sz w:val="20"/>
          <w:szCs w:val="20"/>
        </w:rPr>
        <w:t>should consult with</w:t>
      </w:r>
      <w:r w:rsidR="00055049">
        <w:rPr>
          <w:rFonts w:ascii="Arial" w:hAnsi="Arial" w:cs="Arial"/>
          <w:sz w:val="20"/>
          <w:szCs w:val="20"/>
        </w:rPr>
        <w:t xml:space="preserve"> </w:t>
      </w:r>
      <w:r w:rsidRPr="009D1AD4">
        <w:rPr>
          <w:rFonts w:ascii="Arial" w:hAnsi="Arial" w:cs="Arial"/>
          <w:sz w:val="20"/>
          <w:szCs w:val="20"/>
        </w:rPr>
        <w:t>its attorney before proceeding.</w:t>
      </w:r>
    </w:p>
    <w:p w14:paraId="05EF9FDF" w14:textId="3CEE0182" w:rsidR="00354D6A" w:rsidRPr="009D1AD4" w:rsidRDefault="00354D6A" w:rsidP="004C6CEA">
      <w:pPr>
        <w:spacing w:after="200"/>
        <w:rPr>
          <w:rFonts w:ascii="Arial" w:hAnsi="Arial" w:cs="Arial"/>
          <w:sz w:val="20"/>
          <w:szCs w:val="20"/>
        </w:rPr>
      </w:pPr>
      <w:r w:rsidRPr="009D1AD4">
        <w:rPr>
          <w:rFonts w:ascii="Arial" w:hAnsi="Arial" w:cs="Arial"/>
          <w:sz w:val="20"/>
          <w:szCs w:val="20"/>
        </w:rPr>
        <w:t>Please be aware that, under the Patient Protection and Affordable Care Act (ACA), the Section</w:t>
      </w:r>
      <w:r w:rsidR="00055049">
        <w:rPr>
          <w:rFonts w:ascii="Arial" w:hAnsi="Arial" w:cs="Arial"/>
          <w:sz w:val="20"/>
          <w:szCs w:val="20"/>
        </w:rPr>
        <w:t xml:space="preserve"> </w:t>
      </w:r>
      <w:r w:rsidRPr="009D1AD4">
        <w:rPr>
          <w:rFonts w:ascii="Arial" w:hAnsi="Arial" w:cs="Arial"/>
          <w:sz w:val="20"/>
          <w:szCs w:val="20"/>
        </w:rPr>
        <w:t>105(h)</w:t>
      </w:r>
      <w:r w:rsidR="00055049">
        <w:rPr>
          <w:rFonts w:ascii="Arial" w:hAnsi="Arial" w:cs="Arial"/>
          <w:sz w:val="20"/>
          <w:szCs w:val="20"/>
        </w:rPr>
        <w:t xml:space="preserve"> </w:t>
      </w:r>
      <w:r w:rsidRPr="009D1AD4">
        <w:rPr>
          <w:rFonts w:ascii="Arial" w:hAnsi="Arial" w:cs="Arial"/>
          <w:sz w:val="20"/>
          <w:szCs w:val="20"/>
        </w:rPr>
        <w:t>rules are to apply to fully insured, non-grandfathered</w:t>
      </w:r>
      <w:r w:rsidR="00055049">
        <w:rPr>
          <w:rFonts w:ascii="Arial" w:hAnsi="Arial" w:cs="Arial"/>
          <w:sz w:val="20"/>
          <w:szCs w:val="20"/>
        </w:rPr>
        <w:t xml:space="preserve"> </w:t>
      </w:r>
      <w:r w:rsidRPr="009D1AD4">
        <w:rPr>
          <w:rFonts w:ascii="Arial" w:hAnsi="Arial" w:cs="Arial"/>
          <w:sz w:val="20"/>
          <w:szCs w:val="20"/>
        </w:rPr>
        <w:t>plans. In late 2010, the government delayed enforcement of Section 105(h) against fully insured, non-grandfathered</w:t>
      </w:r>
      <w:r w:rsidR="00055049">
        <w:rPr>
          <w:rFonts w:ascii="Arial" w:hAnsi="Arial" w:cs="Arial"/>
          <w:sz w:val="20"/>
          <w:szCs w:val="20"/>
        </w:rPr>
        <w:t xml:space="preserve"> </w:t>
      </w:r>
      <w:r w:rsidRPr="009D1AD4">
        <w:rPr>
          <w:rFonts w:ascii="Arial" w:hAnsi="Arial" w:cs="Arial"/>
          <w:sz w:val="20"/>
          <w:szCs w:val="20"/>
        </w:rPr>
        <w:t>plans until the first</w:t>
      </w:r>
      <w:r w:rsidR="00055049">
        <w:rPr>
          <w:rFonts w:ascii="Arial" w:hAnsi="Arial" w:cs="Arial"/>
          <w:sz w:val="20"/>
          <w:szCs w:val="20"/>
        </w:rPr>
        <w:t xml:space="preserve"> </w:t>
      </w:r>
      <w:r w:rsidRPr="009D1AD4">
        <w:rPr>
          <w:rFonts w:ascii="Arial" w:hAnsi="Arial" w:cs="Arial"/>
          <w:sz w:val="20"/>
          <w:szCs w:val="20"/>
        </w:rPr>
        <w:t>plan</w:t>
      </w:r>
      <w:r w:rsidR="00055049">
        <w:rPr>
          <w:rFonts w:ascii="Arial" w:hAnsi="Arial" w:cs="Arial"/>
          <w:sz w:val="20"/>
          <w:szCs w:val="20"/>
        </w:rPr>
        <w:t xml:space="preserve"> </w:t>
      </w:r>
      <w:r w:rsidRPr="009D1AD4">
        <w:rPr>
          <w:rFonts w:ascii="Arial" w:hAnsi="Arial" w:cs="Arial"/>
          <w:sz w:val="20"/>
          <w:szCs w:val="20"/>
        </w:rPr>
        <w:t>year beginning after regulations are issued. To date, no regulations</w:t>
      </w:r>
      <w:r w:rsidR="00055049">
        <w:rPr>
          <w:rFonts w:ascii="Arial" w:hAnsi="Arial" w:cs="Arial"/>
          <w:sz w:val="20"/>
          <w:szCs w:val="20"/>
        </w:rPr>
        <w:t xml:space="preserve"> </w:t>
      </w:r>
      <w:r w:rsidRPr="009D1AD4">
        <w:rPr>
          <w:rFonts w:ascii="Arial" w:hAnsi="Arial" w:cs="Arial"/>
          <w:sz w:val="20"/>
          <w:szCs w:val="20"/>
        </w:rPr>
        <w:t>have been issued so there is currently no penalty for noncompliance. This means that if the IRS issues regulations, then an executive reimbursement plan</w:t>
      </w:r>
      <w:r w:rsidR="00055049">
        <w:rPr>
          <w:rFonts w:ascii="Arial" w:hAnsi="Arial" w:cs="Arial"/>
          <w:sz w:val="20"/>
          <w:szCs w:val="20"/>
        </w:rPr>
        <w:t xml:space="preserve"> </w:t>
      </w:r>
      <w:r w:rsidRPr="009D1AD4">
        <w:rPr>
          <w:rFonts w:ascii="Arial" w:hAnsi="Arial" w:cs="Arial"/>
          <w:sz w:val="20"/>
          <w:szCs w:val="20"/>
        </w:rPr>
        <w:t>sponsor could face enforcement because the</w:t>
      </w:r>
      <w:r w:rsidR="00055049">
        <w:rPr>
          <w:rFonts w:ascii="Arial" w:hAnsi="Arial" w:cs="Arial"/>
          <w:sz w:val="20"/>
          <w:szCs w:val="20"/>
        </w:rPr>
        <w:t xml:space="preserve"> </w:t>
      </w:r>
      <w:r w:rsidRPr="009D1AD4">
        <w:rPr>
          <w:rFonts w:ascii="Arial" w:hAnsi="Arial" w:cs="Arial"/>
          <w:sz w:val="20"/>
          <w:szCs w:val="20"/>
        </w:rPr>
        <w:t>arrangement</w:t>
      </w:r>
      <w:r w:rsidR="00055049">
        <w:rPr>
          <w:rFonts w:ascii="Arial" w:hAnsi="Arial" w:cs="Arial"/>
          <w:sz w:val="20"/>
          <w:szCs w:val="20"/>
        </w:rPr>
        <w:t xml:space="preserve"> </w:t>
      </w:r>
      <w:r w:rsidRPr="009D1AD4">
        <w:rPr>
          <w:rFonts w:ascii="Arial" w:hAnsi="Arial" w:cs="Arial"/>
          <w:sz w:val="20"/>
          <w:szCs w:val="20"/>
        </w:rPr>
        <w:t>would likely be prohibited.</w:t>
      </w:r>
    </w:p>
    <w:p w14:paraId="05B5EBC4" w14:textId="74B49B4B" w:rsidR="00354D6A" w:rsidRPr="009D1AD4" w:rsidRDefault="00354D6A" w:rsidP="004C6CEA">
      <w:pPr>
        <w:spacing w:after="200"/>
        <w:rPr>
          <w:rFonts w:ascii="Arial" w:hAnsi="Arial" w:cs="Arial"/>
          <w:sz w:val="20"/>
          <w:szCs w:val="20"/>
        </w:rPr>
      </w:pPr>
      <w:r w:rsidRPr="009D1AD4">
        <w:rPr>
          <w:rFonts w:ascii="Arial" w:hAnsi="Arial" w:cs="Arial"/>
          <w:sz w:val="20"/>
          <w:szCs w:val="20"/>
        </w:rPr>
        <w:t>Further, in discussions with</w:t>
      </w:r>
      <w:r w:rsidR="00055049">
        <w:rPr>
          <w:rFonts w:ascii="Arial" w:hAnsi="Arial" w:cs="Arial"/>
          <w:sz w:val="20"/>
          <w:szCs w:val="20"/>
        </w:rPr>
        <w:t xml:space="preserve"> </w:t>
      </w:r>
      <w:r w:rsidRPr="009D1AD4">
        <w:rPr>
          <w:rFonts w:ascii="Arial" w:hAnsi="Arial" w:cs="Arial"/>
          <w:sz w:val="20"/>
          <w:szCs w:val="20"/>
        </w:rPr>
        <w:t>other Partner Firm members, there are some</w:t>
      </w:r>
      <w:r w:rsidR="00055049">
        <w:rPr>
          <w:rFonts w:ascii="Arial" w:hAnsi="Arial" w:cs="Arial"/>
          <w:sz w:val="20"/>
          <w:szCs w:val="20"/>
        </w:rPr>
        <w:t xml:space="preserve"> </w:t>
      </w:r>
      <w:r w:rsidRPr="009D1AD4">
        <w:rPr>
          <w:rFonts w:ascii="Arial" w:hAnsi="Arial" w:cs="Arial"/>
          <w:sz w:val="20"/>
          <w:szCs w:val="20"/>
        </w:rPr>
        <w:t>carriers</w:t>
      </w:r>
      <w:r w:rsidR="00055049">
        <w:rPr>
          <w:rFonts w:ascii="Arial" w:hAnsi="Arial" w:cs="Arial"/>
          <w:sz w:val="20"/>
          <w:szCs w:val="20"/>
        </w:rPr>
        <w:t xml:space="preserve"> </w:t>
      </w:r>
      <w:r w:rsidRPr="009D1AD4">
        <w:rPr>
          <w:rFonts w:ascii="Arial" w:hAnsi="Arial" w:cs="Arial"/>
          <w:sz w:val="20"/>
          <w:szCs w:val="20"/>
        </w:rPr>
        <w:t>who run</w:t>
      </w:r>
      <w:r w:rsidR="00055049">
        <w:rPr>
          <w:rFonts w:ascii="Arial" w:hAnsi="Arial" w:cs="Arial"/>
          <w:sz w:val="20"/>
          <w:szCs w:val="20"/>
        </w:rPr>
        <w:t xml:space="preserve"> </w:t>
      </w:r>
      <w:r w:rsidRPr="009D1AD4">
        <w:rPr>
          <w:rFonts w:ascii="Arial" w:hAnsi="Arial" w:cs="Arial"/>
          <w:sz w:val="20"/>
          <w:szCs w:val="20"/>
        </w:rPr>
        <w:t>Section</w:t>
      </w:r>
      <w:r w:rsidR="00055049">
        <w:rPr>
          <w:rFonts w:ascii="Arial" w:hAnsi="Arial" w:cs="Arial"/>
          <w:sz w:val="20"/>
          <w:szCs w:val="20"/>
        </w:rPr>
        <w:t xml:space="preserve"> </w:t>
      </w:r>
      <w:r w:rsidRPr="009D1AD4">
        <w:rPr>
          <w:rFonts w:ascii="Arial" w:hAnsi="Arial" w:cs="Arial"/>
          <w:sz w:val="20"/>
          <w:szCs w:val="20"/>
        </w:rPr>
        <w:t>105(h)</w:t>
      </w:r>
      <w:r w:rsidR="00055049">
        <w:rPr>
          <w:rFonts w:ascii="Arial" w:hAnsi="Arial" w:cs="Arial"/>
          <w:sz w:val="20"/>
          <w:szCs w:val="20"/>
        </w:rPr>
        <w:t xml:space="preserve"> </w:t>
      </w:r>
      <w:r w:rsidRPr="009D1AD4">
        <w:rPr>
          <w:rFonts w:ascii="Arial" w:hAnsi="Arial" w:cs="Arial"/>
          <w:sz w:val="20"/>
          <w:szCs w:val="20"/>
        </w:rPr>
        <w:t>nondiscrimination testing on all their fully insured, non-grandfathered plans because that is what the</w:t>
      </w:r>
      <w:r w:rsidR="00055049">
        <w:rPr>
          <w:rFonts w:ascii="Arial" w:hAnsi="Arial" w:cs="Arial"/>
          <w:sz w:val="20"/>
          <w:szCs w:val="20"/>
        </w:rPr>
        <w:t xml:space="preserve"> </w:t>
      </w:r>
      <w:r w:rsidRPr="009D1AD4">
        <w:rPr>
          <w:rFonts w:ascii="Arial" w:hAnsi="Arial" w:cs="Arial"/>
          <w:sz w:val="20"/>
          <w:szCs w:val="20"/>
        </w:rPr>
        <w:t>ACA</w:t>
      </w:r>
      <w:r w:rsidR="00055049">
        <w:rPr>
          <w:rFonts w:ascii="Arial" w:hAnsi="Arial" w:cs="Arial"/>
          <w:sz w:val="20"/>
          <w:szCs w:val="20"/>
        </w:rPr>
        <w:t xml:space="preserve"> </w:t>
      </w:r>
      <w:r w:rsidRPr="009D1AD4">
        <w:rPr>
          <w:rFonts w:ascii="Arial" w:hAnsi="Arial" w:cs="Arial"/>
          <w:sz w:val="20"/>
          <w:szCs w:val="20"/>
        </w:rPr>
        <w:lastRenderedPageBreak/>
        <w:t>says applies to those plans, despite the IRS’ statement that it will</w:t>
      </w:r>
      <w:r w:rsidR="00055049">
        <w:rPr>
          <w:rFonts w:ascii="Arial" w:hAnsi="Arial" w:cs="Arial"/>
          <w:sz w:val="20"/>
          <w:szCs w:val="20"/>
        </w:rPr>
        <w:t xml:space="preserve"> </w:t>
      </w:r>
      <w:r w:rsidRPr="009D1AD4">
        <w:rPr>
          <w:rFonts w:ascii="Arial" w:hAnsi="Arial" w:cs="Arial"/>
          <w:sz w:val="20"/>
          <w:szCs w:val="20"/>
        </w:rPr>
        <w:t>hold off enforcement until after it issues regulations.</w:t>
      </w:r>
    </w:p>
    <w:p w14:paraId="6E874FF3" w14:textId="77777777" w:rsidR="00354D6A" w:rsidRDefault="00354D6A" w:rsidP="004C6CEA">
      <w:pPr>
        <w:spacing w:after="200"/>
        <w:rPr>
          <w:rFonts w:ascii="Arial" w:hAnsi="Arial" w:cs="Arial"/>
          <w:sz w:val="20"/>
          <w:szCs w:val="20"/>
        </w:rPr>
      </w:pPr>
    </w:p>
    <w:tbl>
      <w:tblPr>
        <w:tblW w:w="9360" w:type="dxa"/>
        <w:shd w:val="clear" w:color="auto" w:fill="001BBA"/>
        <w:tblCellMar>
          <w:top w:w="86" w:type="dxa"/>
          <w:left w:w="115" w:type="dxa"/>
          <w:bottom w:w="86" w:type="dxa"/>
          <w:right w:w="115" w:type="dxa"/>
        </w:tblCellMar>
        <w:tblLook w:val="01E0" w:firstRow="1" w:lastRow="1" w:firstColumn="1" w:lastColumn="1" w:noHBand="0" w:noVBand="0"/>
      </w:tblPr>
      <w:tblGrid>
        <w:gridCol w:w="9360"/>
      </w:tblGrid>
      <w:tr w:rsidR="00FE74CA" w:rsidRPr="00C04F07" w14:paraId="1D759509" w14:textId="77777777" w:rsidTr="00A14E50">
        <w:trPr>
          <w:trHeight w:val="144"/>
        </w:trPr>
        <w:tc>
          <w:tcPr>
            <w:tcW w:w="9360" w:type="dxa"/>
            <w:shd w:val="clear" w:color="auto" w:fill="001BBA"/>
            <w:vAlign w:val="center"/>
          </w:tcPr>
          <w:p w14:paraId="5BEC90A3" w14:textId="4285ABF0" w:rsidR="00FE74CA" w:rsidRPr="00C04F07" w:rsidRDefault="00FE74CA" w:rsidP="00A14E50">
            <w:pPr>
              <w:pStyle w:val="Heading2"/>
              <w:rPr>
                <w:i w:val="0"/>
                <w:iCs/>
                <w:color w:val="auto"/>
              </w:rPr>
            </w:pPr>
            <w:bookmarkStart w:id="33" w:name="_Toc12890045"/>
            <w:bookmarkStart w:id="34" w:name="_Toc12890161"/>
            <w:bookmarkStart w:id="35" w:name="_Toc12890542"/>
            <w:r>
              <w:rPr>
                <w:i w:val="0"/>
                <w:iCs/>
                <w:color w:val="auto"/>
                <w:szCs w:val="22"/>
              </w:rPr>
              <w:t>Play or Pay and Reporting</w:t>
            </w:r>
            <w:bookmarkEnd w:id="33"/>
            <w:bookmarkEnd w:id="34"/>
            <w:bookmarkEnd w:id="35"/>
          </w:p>
        </w:tc>
      </w:tr>
    </w:tbl>
    <w:p w14:paraId="00457EB7" w14:textId="77777777" w:rsidR="00A703EE" w:rsidRPr="00535CAE" w:rsidRDefault="00A703EE" w:rsidP="00A56DAE">
      <w:pPr>
        <w:rPr>
          <w:rFonts w:ascii="Arial" w:hAnsi="Arial" w:cs="Arial"/>
          <w:sz w:val="20"/>
          <w:szCs w:val="20"/>
        </w:rPr>
      </w:pPr>
    </w:p>
    <w:p w14:paraId="2E8B0090" w14:textId="77777777" w:rsidR="00A703EE" w:rsidRPr="009D1AD4" w:rsidRDefault="00A703EE" w:rsidP="004C6CEA">
      <w:pPr>
        <w:spacing w:after="200"/>
        <w:rPr>
          <w:rFonts w:ascii="Arial" w:hAnsi="Arial" w:cs="Arial"/>
          <w:bCs/>
          <w:color w:val="000000"/>
          <w:sz w:val="20"/>
          <w:szCs w:val="20"/>
        </w:rPr>
      </w:pPr>
      <w:r w:rsidRPr="00C5063D">
        <w:rPr>
          <w:rFonts w:ascii="Arial" w:hAnsi="Arial" w:cs="Arial"/>
          <w:b/>
          <w:bCs/>
          <w:color w:val="001BBA"/>
          <w:sz w:val="22"/>
          <w:szCs w:val="22"/>
        </w:rPr>
        <w:t>Question:</w:t>
      </w:r>
      <w:r w:rsidRPr="009D1AD4">
        <w:rPr>
          <w:rFonts w:ascii="Arial" w:hAnsi="Arial" w:cs="Arial"/>
          <w:b/>
          <w:bCs/>
          <w:color w:val="000000"/>
          <w:sz w:val="20"/>
          <w:szCs w:val="20"/>
        </w:rPr>
        <w:t xml:space="preserve"> </w:t>
      </w:r>
      <w:r w:rsidRPr="009D1AD4">
        <w:rPr>
          <w:rFonts w:ascii="Arial" w:hAnsi="Arial" w:cs="Arial"/>
          <w:bCs/>
          <w:color w:val="000000"/>
          <w:sz w:val="20"/>
          <w:szCs w:val="20"/>
        </w:rPr>
        <w:t>Under the ACA, what are the indexed Penalty A and Penalty B for 2019 and 2020?</w:t>
      </w:r>
    </w:p>
    <w:p w14:paraId="3B2015F5" w14:textId="5FBD0451" w:rsidR="00A703EE" w:rsidRPr="009D1AD4" w:rsidRDefault="00A703EE" w:rsidP="004C6CEA">
      <w:pPr>
        <w:spacing w:after="200"/>
        <w:rPr>
          <w:rFonts w:ascii="Arial" w:hAnsi="Arial" w:cs="Arial"/>
          <w:color w:val="000000"/>
          <w:sz w:val="20"/>
          <w:szCs w:val="20"/>
        </w:rPr>
      </w:pPr>
      <w:r w:rsidRPr="009D1AD4">
        <w:rPr>
          <w:rFonts w:ascii="Arial" w:hAnsi="Arial" w:cs="Arial"/>
          <w:b/>
          <w:bCs/>
          <w:color w:val="000000"/>
          <w:sz w:val="20"/>
          <w:szCs w:val="20"/>
        </w:rPr>
        <w:t>Answer:</w:t>
      </w:r>
      <w:r w:rsidRPr="009D1AD4">
        <w:rPr>
          <w:rFonts w:ascii="Arial" w:hAnsi="Arial" w:cs="Arial"/>
          <w:color w:val="000000"/>
          <w:sz w:val="20"/>
          <w:szCs w:val="20"/>
        </w:rPr>
        <w:t xml:space="preserve"> For 2019, Penalty A is $2,500 and Penalty B is $3,750. For 2020, Penalty A is $2,570 and Penalty B is $3,860. </w:t>
      </w:r>
      <w:r w:rsidR="000446D0">
        <w:rPr>
          <w:rFonts w:ascii="Arial" w:hAnsi="Arial" w:cs="Arial"/>
          <w:color w:val="000000"/>
          <w:sz w:val="20"/>
          <w:szCs w:val="20"/>
        </w:rPr>
        <w:t>O</w:t>
      </w:r>
      <w:r w:rsidRPr="009D1AD4">
        <w:rPr>
          <w:rFonts w:ascii="Arial" w:hAnsi="Arial" w:cs="Arial"/>
          <w:color w:val="000000"/>
          <w:sz w:val="20"/>
          <w:szCs w:val="20"/>
        </w:rPr>
        <w:t>ur recently updated UBA Advisor “</w:t>
      </w:r>
      <w:hyperlink r:id="rId66" w:history="1">
        <w:r w:rsidRPr="000446D0">
          <w:rPr>
            <w:rStyle w:val="Hyperlink"/>
          </w:rPr>
          <w:t>The Play-or-Pay Penalty and Counting Employees</w:t>
        </w:r>
      </w:hyperlink>
      <w:r w:rsidRPr="009D1AD4">
        <w:rPr>
          <w:rFonts w:ascii="Arial" w:hAnsi="Arial" w:cs="Arial"/>
          <w:color w:val="000000"/>
          <w:sz w:val="20"/>
          <w:szCs w:val="20"/>
        </w:rPr>
        <w:t xml:space="preserve">” </w:t>
      </w:r>
      <w:r w:rsidR="000446D0">
        <w:rPr>
          <w:rFonts w:ascii="Arial" w:hAnsi="Arial" w:cs="Arial"/>
          <w:color w:val="000000"/>
          <w:sz w:val="20"/>
          <w:szCs w:val="20"/>
        </w:rPr>
        <w:t>discusses penalties in more detail.</w:t>
      </w:r>
    </w:p>
    <w:p w14:paraId="58F71931" w14:textId="77777777" w:rsidR="00A703EE" w:rsidRPr="009D1AD4" w:rsidRDefault="00A703EE" w:rsidP="004C6CEA">
      <w:pPr>
        <w:spacing w:after="200"/>
        <w:rPr>
          <w:rFonts w:ascii="Arial" w:hAnsi="Arial" w:cs="Arial"/>
          <w:color w:val="000000"/>
          <w:sz w:val="20"/>
          <w:szCs w:val="20"/>
        </w:rPr>
      </w:pPr>
    </w:p>
    <w:p w14:paraId="7352C03D" w14:textId="6EB3097C" w:rsidR="00A703EE" w:rsidRDefault="00A703EE" w:rsidP="004C6CEA">
      <w:pPr>
        <w:spacing w:after="200"/>
        <w:rPr>
          <w:rFonts w:ascii="Arial" w:hAnsi="Arial" w:cs="Arial"/>
          <w:bCs/>
          <w:color w:val="000000"/>
          <w:sz w:val="20"/>
          <w:szCs w:val="20"/>
        </w:rPr>
      </w:pPr>
      <w:r w:rsidRPr="00C5063D">
        <w:rPr>
          <w:rFonts w:ascii="Arial" w:hAnsi="Arial" w:cs="Arial"/>
          <w:b/>
          <w:bCs/>
          <w:color w:val="001BBA"/>
          <w:sz w:val="22"/>
          <w:szCs w:val="22"/>
        </w:rPr>
        <w:t>Question:</w:t>
      </w:r>
      <w:r w:rsidR="00055049">
        <w:rPr>
          <w:rFonts w:ascii="Arial" w:hAnsi="Arial" w:cs="Arial"/>
          <w:bCs/>
          <w:color w:val="000000"/>
          <w:sz w:val="20"/>
          <w:szCs w:val="20"/>
        </w:rPr>
        <w:t xml:space="preserve"> </w:t>
      </w:r>
      <w:r w:rsidRPr="009D1AD4">
        <w:rPr>
          <w:rFonts w:ascii="Arial" w:hAnsi="Arial" w:cs="Arial"/>
          <w:bCs/>
          <w:color w:val="000000"/>
          <w:sz w:val="20"/>
          <w:szCs w:val="20"/>
        </w:rPr>
        <w:t>For plan/policy years that end on October 31, 2018</w:t>
      </w:r>
      <w:r w:rsidR="00F242C3">
        <w:rPr>
          <w:rFonts w:ascii="Arial" w:hAnsi="Arial" w:cs="Arial"/>
          <w:bCs/>
          <w:color w:val="000000"/>
          <w:sz w:val="20"/>
          <w:szCs w:val="20"/>
        </w:rPr>
        <w:t>,</w:t>
      </w:r>
      <w:r w:rsidRPr="009D1AD4">
        <w:rPr>
          <w:rFonts w:ascii="Arial" w:hAnsi="Arial" w:cs="Arial"/>
          <w:bCs/>
          <w:color w:val="000000"/>
          <w:sz w:val="20"/>
          <w:szCs w:val="20"/>
        </w:rPr>
        <w:t xml:space="preserve"> through December 31, 2018, the PCORI fee is $2.45/person with a due date of July 31, 2019. I’m looking for a Form 720 with a field for plan/policy years ending during those dates.</w:t>
      </w:r>
      <w:r w:rsidR="00055049">
        <w:rPr>
          <w:rFonts w:ascii="Arial" w:hAnsi="Arial" w:cs="Arial"/>
          <w:bCs/>
          <w:color w:val="000000"/>
          <w:sz w:val="20"/>
          <w:szCs w:val="20"/>
        </w:rPr>
        <w:t xml:space="preserve"> </w:t>
      </w:r>
      <w:r w:rsidRPr="009D1AD4">
        <w:rPr>
          <w:rFonts w:ascii="Arial" w:hAnsi="Arial" w:cs="Arial"/>
          <w:bCs/>
          <w:color w:val="000000"/>
          <w:sz w:val="20"/>
          <w:szCs w:val="20"/>
        </w:rPr>
        <w:t>Has the IRS released its updated form for the PCORI fees that are due on July 31, 2019?</w:t>
      </w:r>
    </w:p>
    <w:p w14:paraId="1ACCE86F" w14:textId="745AA134" w:rsidR="00A703EE" w:rsidRDefault="00A703EE" w:rsidP="004C6CEA">
      <w:pPr>
        <w:spacing w:after="200"/>
        <w:rPr>
          <w:rFonts w:ascii="Arial" w:hAnsi="Arial" w:cs="Arial"/>
          <w:bCs/>
          <w:color w:val="000000"/>
          <w:sz w:val="20"/>
          <w:szCs w:val="20"/>
        </w:rPr>
      </w:pPr>
      <w:r w:rsidRPr="009D1AD4">
        <w:rPr>
          <w:rFonts w:ascii="Arial" w:hAnsi="Arial" w:cs="Arial"/>
          <w:b/>
          <w:bCs/>
          <w:color w:val="000000"/>
          <w:sz w:val="20"/>
          <w:szCs w:val="20"/>
        </w:rPr>
        <w:t>Answer:</w:t>
      </w:r>
      <w:r w:rsidR="00055049">
        <w:rPr>
          <w:rFonts w:ascii="Arial" w:hAnsi="Arial" w:cs="Arial"/>
          <w:bCs/>
          <w:color w:val="000000"/>
          <w:sz w:val="20"/>
          <w:szCs w:val="20"/>
        </w:rPr>
        <w:t xml:space="preserve"> </w:t>
      </w:r>
      <w:r w:rsidRPr="009D1AD4">
        <w:rPr>
          <w:rFonts w:ascii="Arial" w:hAnsi="Arial" w:cs="Arial"/>
          <w:bCs/>
          <w:color w:val="000000"/>
          <w:sz w:val="20"/>
          <w:szCs w:val="20"/>
        </w:rPr>
        <w:t>No, the IRS has not released an updated Form 720 yet. In the past, the IRS didn’t release the updated form until a week or two before the PCORI fee due date.</w:t>
      </w:r>
    </w:p>
    <w:p w14:paraId="3CE00D83" w14:textId="7684DF1A" w:rsidR="00A703EE" w:rsidRPr="009D1AD4" w:rsidRDefault="00F242C3" w:rsidP="004C6CEA">
      <w:pPr>
        <w:spacing w:after="200"/>
        <w:rPr>
          <w:rFonts w:ascii="Arial" w:hAnsi="Arial" w:cs="Arial"/>
          <w:bCs/>
          <w:color w:val="000000"/>
          <w:sz w:val="20"/>
          <w:szCs w:val="20"/>
        </w:rPr>
      </w:pPr>
      <w:r>
        <w:rPr>
          <w:rFonts w:ascii="Arial" w:hAnsi="Arial" w:cs="Arial"/>
          <w:bCs/>
          <w:color w:val="000000"/>
          <w:sz w:val="20"/>
          <w:szCs w:val="20"/>
        </w:rPr>
        <w:t>O</w:t>
      </w:r>
      <w:r w:rsidR="00A703EE" w:rsidRPr="009D1AD4">
        <w:rPr>
          <w:rFonts w:ascii="Arial" w:hAnsi="Arial" w:cs="Arial"/>
          <w:bCs/>
          <w:color w:val="000000"/>
          <w:sz w:val="20"/>
          <w:szCs w:val="20"/>
        </w:rPr>
        <w:t>ur UBA Advisor “</w:t>
      </w:r>
      <w:hyperlink r:id="rId67" w:history="1">
        <w:r w:rsidR="00A703EE" w:rsidRPr="00F242C3">
          <w:rPr>
            <w:rStyle w:val="Hyperlink"/>
            <w:bCs/>
          </w:rPr>
          <w:t>Frequently Asked Questions about the Patient-Centered Outcomes/Comparative Effectiveness (PCORI) Fee</w:t>
        </w:r>
      </w:hyperlink>
      <w:r w:rsidR="00A703EE" w:rsidRPr="009D1AD4">
        <w:rPr>
          <w:rFonts w:ascii="Arial" w:hAnsi="Arial" w:cs="Arial"/>
          <w:bCs/>
          <w:color w:val="000000"/>
          <w:sz w:val="20"/>
          <w:szCs w:val="20"/>
        </w:rPr>
        <w:t>” describes the PCORI fee.</w:t>
      </w:r>
    </w:p>
    <w:p w14:paraId="712345C2" w14:textId="71381345" w:rsidR="009F5C2B" w:rsidRDefault="009F5C2B" w:rsidP="004C6CEA">
      <w:pPr>
        <w:spacing w:after="200"/>
        <w:rPr>
          <w:rFonts w:ascii="Arial" w:hAnsi="Arial" w:cs="Arial"/>
          <w:bCs/>
          <w:color w:val="000000"/>
          <w:sz w:val="20"/>
          <w:szCs w:val="20"/>
        </w:rPr>
      </w:pPr>
    </w:p>
    <w:p w14:paraId="00DADD10" w14:textId="66E5DF28" w:rsidR="009F5C2B" w:rsidRDefault="009F5C2B" w:rsidP="004C6CEA">
      <w:pPr>
        <w:pStyle w:val="ListParagraph"/>
        <w:spacing w:after="200"/>
        <w:ind w:left="0"/>
        <w:contextualSpacing w:val="0"/>
        <w:rPr>
          <w:rFonts w:ascii="Arial" w:hAnsi="Arial" w:cs="Arial"/>
          <w:bCs/>
          <w:color w:val="000000"/>
          <w:sz w:val="20"/>
          <w:szCs w:val="20"/>
        </w:rPr>
      </w:pPr>
      <w:r w:rsidRPr="00C5063D">
        <w:rPr>
          <w:rFonts w:ascii="Arial" w:eastAsia="Times New Roman" w:hAnsi="Arial" w:cs="Arial"/>
          <w:b/>
          <w:bCs/>
          <w:color w:val="001BBA"/>
          <w:sz w:val="22"/>
          <w:szCs w:val="22"/>
        </w:rPr>
        <w:t>Question:</w:t>
      </w:r>
      <w:r w:rsidR="00055049">
        <w:rPr>
          <w:rFonts w:ascii="Arial" w:hAnsi="Arial" w:cs="Arial"/>
          <w:bCs/>
          <w:color w:val="000000"/>
          <w:sz w:val="20"/>
          <w:szCs w:val="20"/>
        </w:rPr>
        <w:t xml:space="preserve"> </w:t>
      </w:r>
      <w:r w:rsidRPr="009D1AD4">
        <w:rPr>
          <w:rFonts w:ascii="Arial" w:hAnsi="Arial" w:cs="Arial"/>
          <w:bCs/>
          <w:color w:val="000000"/>
          <w:sz w:val="20"/>
          <w:szCs w:val="20"/>
        </w:rPr>
        <w:t>An applicable large employer is moving the start of its plan year from 12/1 to 1/1 and the employer would like to move its stability period to match the new plan year. How soon can the employer make the change to its measurement and stability periods?</w:t>
      </w:r>
    </w:p>
    <w:p w14:paraId="5219793E" w14:textId="208121E6" w:rsidR="009F5C2B" w:rsidRPr="009D1AD4" w:rsidRDefault="009F5C2B" w:rsidP="004C6CEA">
      <w:pPr>
        <w:pStyle w:val="ListParagraph"/>
        <w:spacing w:after="200"/>
        <w:ind w:left="0"/>
        <w:contextualSpacing w:val="0"/>
        <w:rPr>
          <w:rFonts w:ascii="Arial" w:hAnsi="Arial" w:cs="Arial"/>
          <w:bCs/>
          <w:color w:val="000000"/>
          <w:sz w:val="20"/>
          <w:szCs w:val="20"/>
        </w:rPr>
      </w:pPr>
      <w:r w:rsidRPr="009D1AD4">
        <w:rPr>
          <w:rFonts w:ascii="Arial" w:hAnsi="Arial" w:cs="Arial"/>
          <w:b/>
          <w:bCs/>
          <w:color w:val="000000"/>
          <w:sz w:val="20"/>
          <w:szCs w:val="20"/>
        </w:rPr>
        <w:t>Answer:</w:t>
      </w:r>
      <w:r w:rsidR="00055049">
        <w:rPr>
          <w:rFonts w:ascii="Arial" w:hAnsi="Arial" w:cs="Arial"/>
          <w:bCs/>
          <w:color w:val="000000"/>
          <w:sz w:val="20"/>
          <w:szCs w:val="20"/>
        </w:rPr>
        <w:t xml:space="preserve"> </w:t>
      </w:r>
      <w:r w:rsidRPr="009D1AD4">
        <w:rPr>
          <w:rFonts w:ascii="Arial" w:hAnsi="Arial" w:cs="Arial"/>
          <w:bCs/>
          <w:color w:val="000000"/>
          <w:sz w:val="20"/>
          <w:szCs w:val="20"/>
        </w:rPr>
        <w:t>The earliest that the employer can make the change is during the stability period that follows its upcoming stability period.</w:t>
      </w:r>
    </w:p>
    <w:p w14:paraId="4A0051DC" w14:textId="741F3A53" w:rsidR="009F5C2B" w:rsidRPr="009D1AD4" w:rsidRDefault="009F5C2B" w:rsidP="004C6CEA">
      <w:pPr>
        <w:pStyle w:val="ListParagraph"/>
        <w:spacing w:after="200"/>
        <w:ind w:left="0"/>
        <w:contextualSpacing w:val="0"/>
        <w:rPr>
          <w:rFonts w:ascii="Arial" w:hAnsi="Arial" w:cs="Arial"/>
          <w:bCs/>
          <w:color w:val="000000"/>
          <w:sz w:val="20"/>
          <w:szCs w:val="20"/>
        </w:rPr>
      </w:pPr>
      <w:r w:rsidRPr="009D1AD4">
        <w:rPr>
          <w:rFonts w:ascii="Arial" w:hAnsi="Arial" w:cs="Arial"/>
          <w:bCs/>
          <w:color w:val="000000"/>
          <w:sz w:val="20"/>
          <w:szCs w:val="20"/>
        </w:rPr>
        <w:t>From our UBA Advisor “</w:t>
      </w:r>
      <w:hyperlink r:id="rId68" w:history="1">
        <w:r w:rsidRPr="00727375">
          <w:rPr>
            <w:rStyle w:val="Hyperlink"/>
            <w:bCs/>
          </w:rPr>
          <w:t>Making Changes in Measurement and Stability Periods</w:t>
        </w:r>
      </w:hyperlink>
      <w:r w:rsidRPr="009D1AD4">
        <w:rPr>
          <w:rFonts w:ascii="Arial" w:hAnsi="Arial" w:cs="Arial"/>
          <w:bCs/>
          <w:color w:val="000000"/>
          <w:sz w:val="20"/>
          <w:szCs w:val="20"/>
        </w:rPr>
        <w:t>”:</w:t>
      </w:r>
    </w:p>
    <w:p w14:paraId="0A830BCE" w14:textId="77777777" w:rsidR="009F5C2B" w:rsidRPr="009D1AD4" w:rsidRDefault="009F5C2B" w:rsidP="00727375">
      <w:pPr>
        <w:pStyle w:val="ListParagraph"/>
        <w:spacing w:after="200"/>
        <w:ind w:left="360"/>
        <w:contextualSpacing w:val="0"/>
        <w:rPr>
          <w:rFonts w:ascii="Arial" w:hAnsi="Arial" w:cs="Arial"/>
          <w:bCs/>
          <w:color w:val="000000"/>
          <w:sz w:val="20"/>
          <w:szCs w:val="20"/>
        </w:rPr>
      </w:pPr>
      <w:proofErr w:type="gramStart"/>
      <w:r w:rsidRPr="009D1AD4">
        <w:rPr>
          <w:rFonts w:ascii="Arial" w:hAnsi="Arial" w:cs="Arial"/>
          <w:bCs/>
          <w:color w:val="000000"/>
          <w:sz w:val="20"/>
          <w:szCs w:val="20"/>
        </w:rPr>
        <w:t>“ . . .</w:t>
      </w:r>
      <w:proofErr w:type="gramEnd"/>
      <w:r w:rsidRPr="009D1AD4">
        <w:rPr>
          <w:rFonts w:ascii="Arial" w:hAnsi="Arial" w:cs="Arial"/>
          <w:bCs/>
          <w:color w:val="000000"/>
          <w:sz w:val="20"/>
          <w:szCs w:val="20"/>
        </w:rPr>
        <w:t xml:space="preserve"> an employer may change the measurement period or method (from or to the monthly measurement method, or in the length or start date) for one or more categories of employees. (The permitted categories are hourly and salaried, under a bargaining agreement or not under a bargaining agreement, covered under different bargaining agreements, and located in different states.) Employers that plan to change the dates of their measurement and stability periods must inform employees of the upcoming </w:t>
      </w:r>
      <w:proofErr w:type="gramStart"/>
      <w:r w:rsidRPr="009D1AD4">
        <w:rPr>
          <w:rFonts w:ascii="Arial" w:hAnsi="Arial" w:cs="Arial"/>
          <w:bCs/>
          <w:color w:val="000000"/>
          <w:sz w:val="20"/>
          <w:szCs w:val="20"/>
        </w:rPr>
        <w:t>change, but</w:t>
      </w:r>
      <w:proofErr w:type="gramEnd"/>
      <w:r w:rsidRPr="009D1AD4">
        <w:rPr>
          <w:rFonts w:ascii="Arial" w:hAnsi="Arial" w:cs="Arial"/>
          <w:bCs/>
          <w:color w:val="000000"/>
          <w:sz w:val="20"/>
          <w:szCs w:val="20"/>
        </w:rPr>
        <w:t xml:space="preserve"> cannot make the change until the stability period following the upcoming stability period.”</w:t>
      </w:r>
    </w:p>
    <w:p w14:paraId="0F4823BF" w14:textId="77777777" w:rsidR="009F5C2B" w:rsidRPr="009D1AD4" w:rsidRDefault="009F5C2B" w:rsidP="004C6CEA">
      <w:pPr>
        <w:spacing w:after="200"/>
        <w:rPr>
          <w:rFonts w:ascii="Arial" w:hAnsi="Arial" w:cs="Arial"/>
          <w:bCs/>
          <w:color w:val="000000"/>
          <w:sz w:val="20"/>
          <w:szCs w:val="20"/>
        </w:rPr>
      </w:pPr>
    </w:p>
    <w:p w14:paraId="398AA543" w14:textId="772CD73C" w:rsidR="009F5C2B" w:rsidRDefault="009F5C2B" w:rsidP="004C6CEA">
      <w:pPr>
        <w:spacing w:after="200"/>
        <w:rPr>
          <w:rFonts w:ascii="Arial" w:hAnsi="Arial" w:cs="Arial"/>
          <w:color w:val="000000"/>
          <w:sz w:val="20"/>
          <w:szCs w:val="20"/>
        </w:rPr>
      </w:pPr>
      <w:r w:rsidRPr="00C5063D">
        <w:rPr>
          <w:rFonts w:ascii="Arial" w:hAnsi="Arial" w:cs="Arial"/>
          <w:b/>
          <w:bCs/>
          <w:color w:val="001BBA"/>
          <w:sz w:val="22"/>
          <w:szCs w:val="22"/>
        </w:rPr>
        <w:t>Question:</w:t>
      </w:r>
      <w:r w:rsidR="00055049">
        <w:rPr>
          <w:rFonts w:ascii="Arial" w:hAnsi="Arial" w:cs="Arial"/>
          <w:color w:val="000000"/>
          <w:sz w:val="20"/>
          <w:szCs w:val="20"/>
        </w:rPr>
        <w:t xml:space="preserve"> </w:t>
      </w:r>
      <w:r w:rsidRPr="009D1AD4">
        <w:rPr>
          <w:rFonts w:ascii="Arial" w:hAnsi="Arial" w:cs="Arial"/>
          <w:color w:val="000000"/>
          <w:sz w:val="20"/>
          <w:szCs w:val="20"/>
        </w:rPr>
        <w:t xml:space="preserve">Where can I find CMS’ minimum value calculator? </w:t>
      </w:r>
    </w:p>
    <w:p w14:paraId="7CC978CD" w14:textId="3B80111D" w:rsidR="009F5C2B" w:rsidRPr="009D1AD4" w:rsidRDefault="009F5C2B" w:rsidP="004C6CEA">
      <w:pPr>
        <w:spacing w:after="200"/>
        <w:rPr>
          <w:rFonts w:ascii="Arial" w:hAnsi="Arial" w:cs="Arial"/>
          <w:color w:val="000000"/>
          <w:sz w:val="20"/>
          <w:szCs w:val="20"/>
        </w:rPr>
      </w:pPr>
      <w:r w:rsidRPr="009D1AD4">
        <w:rPr>
          <w:rFonts w:ascii="Arial" w:hAnsi="Arial" w:cs="Arial"/>
          <w:b/>
          <w:bCs/>
          <w:color w:val="000000"/>
          <w:sz w:val="20"/>
          <w:szCs w:val="20"/>
        </w:rPr>
        <w:t>Answer:</w:t>
      </w:r>
      <w:r w:rsidR="00055049">
        <w:rPr>
          <w:rFonts w:ascii="Arial" w:hAnsi="Arial" w:cs="Arial"/>
          <w:b/>
          <w:bCs/>
          <w:color w:val="000000"/>
          <w:sz w:val="20"/>
          <w:szCs w:val="20"/>
        </w:rPr>
        <w:t xml:space="preserve"> </w:t>
      </w:r>
      <w:r w:rsidRPr="009D1AD4">
        <w:rPr>
          <w:rFonts w:ascii="Arial" w:hAnsi="Arial" w:cs="Arial"/>
          <w:color w:val="000000"/>
          <w:sz w:val="20"/>
          <w:szCs w:val="20"/>
        </w:rPr>
        <w:t>Highlighted below is the hyperlink to the minimum value</w:t>
      </w:r>
      <w:r w:rsidR="00055049">
        <w:rPr>
          <w:rStyle w:val="apple-converted-space"/>
          <w:rFonts w:ascii="Arial" w:hAnsi="Arial" w:cs="Arial"/>
          <w:color w:val="000000"/>
          <w:sz w:val="20"/>
          <w:szCs w:val="20"/>
        </w:rPr>
        <w:t xml:space="preserve"> </w:t>
      </w:r>
      <w:r w:rsidRPr="009D1AD4">
        <w:rPr>
          <w:rFonts w:ascii="Arial" w:hAnsi="Arial" w:cs="Arial"/>
          <w:color w:val="000000"/>
          <w:sz w:val="20"/>
          <w:szCs w:val="20"/>
        </w:rPr>
        <w:t xml:space="preserve">calculator. From </w:t>
      </w:r>
      <w:r w:rsidR="00E87823">
        <w:rPr>
          <w:rFonts w:ascii="Arial" w:hAnsi="Arial" w:cs="Arial"/>
          <w:color w:val="000000"/>
          <w:sz w:val="20"/>
          <w:szCs w:val="20"/>
        </w:rPr>
        <w:t>the Centers for Medicare &amp; Medicaid Services’ (</w:t>
      </w:r>
      <w:r w:rsidRPr="009D1AD4">
        <w:rPr>
          <w:rFonts w:ascii="Arial" w:hAnsi="Arial" w:cs="Arial"/>
          <w:color w:val="000000"/>
          <w:sz w:val="20"/>
          <w:szCs w:val="20"/>
        </w:rPr>
        <w:t>CMS’</w:t>
      </w:r>
      <w:r w:rsidR="00E87823">
        <w:rPr>
          <w:rFonts w:ascii="Arial" w:hAnsi="Arial" w:cs="Arial"/>
          <w:color w:val="000000"/>
          <w:sz w:val="20"/>
          <w:szCs w:val="20"/>
        </w:rPr>
        <w:t>)</w:t>
      </w:r>
      <w:r w:rsidR="00055049">
        <w:rPr>
          <w:rStyle w:val="apple-converted-space"/>
          <w:rFonts w:ascii="Arial" w:hAnsi="Arial" w:cs="Arial"/>
          <w:color w:val="000000"/>
          <w:sz w:val="20"/>
          <w:szCs w:val="20"/>
        </w:rPr>
        <w:t xml:space="preserve"> </w:t>
      </w:r>
      <w:hyperlink r:id="rId69" w:history="1">
        <w:r w:rsidRPr="00A56DAE">
          <w:rPr>
            <w:rStyle w:val="Hyperlink"/>
          </w:rPr>
          <w:t>Regulations and Guidance</w:t>
        </w:r>
      </w:hyperlink>
      <w:r w:rsidRPr="009D1AD4">
        <w:rPr>
          <w:rFonts w:ascii="Arial" w:hAnsi="Arial" w:cs="Arial"/>
          <w:color w:val="000000"/>
          <w:sz w:val="20"/>
          <w:szCs w:val="20"/>
        </w:rPr>
        <w:t>:</w:t>
      </w:r>
    </w:p>
    <w:p w14:paraId="3819E36B" w14:textId="77777777" w:rsidR="009F5C2B" w:rsidRDefault="009F5C2B" w:rsidP="00E87823">
      <w:pPr>
        <w:spacing w:after="200"/>
        <w:ind w:left="360"/>
        <w:rPr>
          <w:rFonts w:ascii="Arial" w:hAnsi="Arial" w:cs="Arial"/>
          <w:b/>
          <w:bCs/>
          <w:color w:val="000000"/>
          <w:sz w:val="20"/>
          <w:szCs w:val="20"/>
        </w:rPr>
      </w:pPr>
      <w:r w:rsidRPr="009D1AD4">
        <w:rPr>
          <w:rFonts w:ascii="Arial" w:hAnsi="Arial" w:cs="Arial"/>
          <w:b/>
          <w:bCs/>
          <w:color w:val="000000"/>
          <w:sz w:val="20"/>
          <w:szCs w:val="20"/>
        </w:rPr>
        <w:t>Minimum Value</w:t>
      </w:r>
    </w:p>
    <w:p w14:paraId="44250C67" w14:textId="5C7B0FAE" w:rsidR="009F5C2B" w:rsidRPr="009D1AD4" w:rsidRDefault="009F5C2B" w:rsidP="00E87823">
      <w:pPr>
        <w:spacing w:after="200"/>
        <w:ind w:left="360"/>
        <w:rPr>
          <w:rFonts w:ascii="Arial" w:hAnsi="Arial" w:cs="Arial"/>
          <w:color w:val="000000"/>
          <w:sz w:val="20"/>
          <w:szCs w:val="20"/>
        </w:rPr>
      </w:pPr>
      <w:r w:rsidRPr="009D1AD4">
        <w:rPr>
          <w:rFonts w:ascii="Arial" w:hAnsi="Arial" w:cs="Arial"/>
          <w:color w:val="000000"/>
          <w:sz w:val="20"/>
          <w:szCs w:val="20"/>
        </w:rPr>
        <w:t>An employer-sponsored plan provides minimum value if it covers at least 60 percent of the total allowed cost of benefits that are expected to be incurred under the plan.</w:t>
      </w:r>
      <w:r w:rsidR="00055049">
        <w:rPr>
          <w:rFonts w:ascii="Arial" w:hAnsi="Arial" w:cs="Arial"/>
          <w:color w:val="000000"/>
          <w:sz w:val="20"/>
          <w:szCs w:val="20"/>
        </w:rPr>
        <w:t xml:space="preserve"> </w:t>
      </w:r>
      <w:r w:rsidRPr="009D1AD4">
        <w:rPr>
          <w:rFonts w:ascii="Arial" w:hAnsi="Arial" w:cs="Arial"/>
          <w:color w:val="000000"/>
          <w:sz w:val="20"/>
          <w:szCs w:val="20"/>
        </w:rPr>
        <w:t>See</w:t>
      </w:r>
      <w:r w:rsidR="00055049">
        <w:rPr>
          <w:rFonts w:ascii="Arial" w:hAnsi="Arial" w:cs="Arial"/>
          <w:color w:val="000000"/>
          <w:sz w:val="20"/>
          <w:szCs w:val="20"/>
        </w:rPr>
        <w:t xml:space="preserve"> </w:t>
      </w:r>
      <w:hyperlink r:id="rId70" w:tooltip="N-2014-69" w:history="1">
        <w:r w:rsidRPr="00A56DAE">
          <w:rPr>
            <w:rStyle w:val="Hyperlink"/>
          </w:rPr>
          <w:t>Notice 2014-69</w:t>
        </w:r>
      </w:hyperlink>
      <w:r w:rsidR="00055049">
        <w:rPr>
          <w:rFonts w:ascii="Arial" w:hAnsi="Arial" w:cs="Arial"/>
          <w:color w:val="000000"/>
          <w:sz w:val="20"/>
          <w:szCs w:val="20"/>
        </w:rPr>
        <w:t xml:space="preserve"> </w:t>
      </w:r>
      <w:r w:rsidRPr="009D1AD4">
        <w:rPr>
          <w:rFonts w:ascii="Arial" w:hAnsi="Arial" w:cs="Arial"/>
          <w:color w:val="000000"/>
          <w:sz w:val="20"/>
          <w:szCs w:val="20"/>
        </w:rPr>
        <w:t xml:space="preserve">for additional guidance regarding whether an employer-sponsored plan provides minimum value coverage if the plan fails to substantially cover in-patient hospitalization services or physician </w:t>
      </w:r>
      <w:r w:rsidRPr="009D1AD4">
        <w:rPr>
          <w:rFonts w:ascii="Arial" w:hAnsi="Arial" w:cs="Arial"/>
          <w:color w:val="000000"/>
          <w:sz w:val="20"/>
          <w:szCs w:val="20"/>
        </w:rPr>
        <w:lastRenderedPageBreak/>
        <w:t>services.</w:t>
      </w:r>
      <w:r w:rsidR="00055049">
        <w:rPr>
          <w:rFonts w:ascii="Arial" w:hAnsi="Arial" w:cs="Arial"/>
          <w:color w:val="000000"/>
          <w:sz w:val="20"/>
          <w:szCs w:val="20"/>
        </w:rPr>
        <w:t xml:space="preserve"> </w:t>
      </w:r>
      <w:r w:rsidRPr="009D1AD4">
        <w:rPr>
          <w:rFonts w:ascii="Arial" w:hAnsi="Arial" w:cs="Arial"/>
          <w:color w:val="000000"/>
          <w:sz w:val="20"/>
          <w:szCs w:val="20"/>
        </w:rPr>
        <w:t>Under</w:t>
      </w:r>
      <w:r w:rsidR="00055049">
        <w:rPr>
          <w:rFonts w:ascii="Arial" w:hAnsi="Arial" w:cs="Arial"/>
          <w:color w:val="000000"/>
          <w:sz w:val="20"/>
          <w:szCs w:val="20"/>
        </w:rPr>
        <w:t xml:space="preserve"> </w:t>
      </w:r>
      <w:hyperlink r:id="rId71" w:tooltip="Premium Tax Credit Proposed Regulations" w:history="1">
        <w:r w:rsidRPr="00A56DAE">
          <w:rPr>
            <w:rStyle w:val="Hyperlink"/>
          </w:rPr>
          <w:t>proposed regulations</w:t>
        </w:r>
      </w:hyperlink>
      <w:r w:rsidR="00055049">
        <w:rPr>
          <w:rFonts w:ascii="Arial" w:hAnsi="Arial" w:cs="Arial"/>
          <w:color w:val="000000"/>
          <w:sz w:val="20"/>
          <w:szCs w:val="20"/>
        </w:rPr>
        <w:t xml:space="preserve"> </w:t>
      </w:r>
      <w:r w:rsidRPr="009D1AD4">
        <w:rPr>
          <w:rFonts w:ascii="Arial" w:hAnsi="Arial" w:cs="Arial"/>
          <w:color w:val="000000"/>
          <w:sz w:val="20"/>
          <w:szCs w:val="20"/>
        </w:rPr>
        <w:t>upon which taxpayers may rely, employers generally must</w:t>
      </w:r>
      <w:r w:rsidR="00055049">
        <w:rPr>
          <w:rFonts w:ascii="Arial" w:hAnsi="Arial" w:cs="Arial"/>
          <w:color w:val="000000"/>
          <w:sz w:val="20"/>
          <w:szCs w:val="20"/>
        </w:rPr>
        <w:t xml:space="preserve"> </w:t>
      </w:r>
      <w:r w:rsidRPr="009D1AD4">
        <w:rPr>
          <w:rFonts w:ascii="Arial" w:hAnsi="Arial" w:cs="Arial"/>
          <w:color w:val="000000"/>
          <w:sz w:val="20"/>
          <w:szCs w:val="20"/>
        </w:rPr>
        <w:t>use a</w:t>
      </w:r>
      <w:r w:rsidR="00055049">
        <w:rPr>
          <w:rFonts w:ascii="Arial" w:hAnsi="Arial" w:cs="Arial"/>
          <w:color w:val="000000"/>
          <w:sz w:val="20"/>
          <w:szCs w:val="20"/>
        </w:rPr>
        <w:t xml:space="preserve"> </w:t>
      </w:r>
      <w:hyperlink r:id="rId72" w:history="1">
        <w:r w:rsidRPr="00A56DAE">
          <w:rPr>
            <w:rStyle w:val="Hyperlink"/>
          </w:rPr>
          <w:t>minimum valu</w:t>
        </w:r>
        <w:r w:rsidR="00A56DAE" w:rsidRPr="00A56DAE">
          <w:rPr>
            <w:rStyle w:val="Hyperlink"/>
          </w:rPr>
          <w:t>e calculator</w:t>
        </w:r>
      </w:hyperlink>
      <w:r w:rsidR="00055049">
        <w:rPr>
          <w:rFonts w:ascii="Arial" w:hAnsi="Arial" w:cs="Arial"/>
          <w:color w:val="000000"/>
          <w:sz w:val="20"/>
          <w:szCs w:val="20"/>
        </w:rPr>
        <w:t xml:space="preserve"> </w:t>
      </w:r>
      <w:r w:rsidRPr="009D1AD4">
        <w:rPr>
          <w:rFonts w:ascii="Arial" w:hAnsi="Arial" w:cs="Arial"/>
          <w:color w:val="000000"/>
          <w:sz w:val="20"/>
          <w:szCs w:val="20"/>
        </w:rPr>
        <w:t>developed by HHS to determine if a plan with standard features provides minimum value.</w:t>
      </w:r>
      <w:r>
        <w:rPr>
          <w:rFonts w:ascii="Arial" w:hAnsi="Arial" w:cs="Arial"/>
          <w:color w:val="000000"/>
          <w:sz w:val="20"/>
          <w:szCs w:val="20"/>
        </w:rPr>
        <w:t xml:space="preserve"> </w:t>
      </w:r>
      <w:r w:rsidRPr="009D1AD4">
        <w:rPr>
          <w:rFonts w:ascii="Arial" w:hAnsi="Arial" w:cs="Arial"/>
          <w:color w:val="000000"/>
          <w:sz w:val="20"/>
          <w:szCs w:val="20"/>
        </w:rPr>
        <w:t>Plans with nonstandard features are required to obtain an actuarial certification for the nonstandard features.</w:t>
      </w:r>
      <w:r w:rsidR="00055049">
        <w:rPr>
          <w:rFonts w:ascii="Arial" w:hAnsi="Arial" w:cs="Arial"/>
          <w:color w:val="000000"/>
          <w:sz w:val="20"/>
          <w:szCs w:val="20"/>
        </w:rPr>
        <w:t xml:space="preserve"> </w:t>
      </w:r>
      <w:r w:rsidRPr="009D1AD4">
        <w:rPr>
          <w:rFonts w:ascii="Arial" w:hAnsi="Arial" w:cs="Arial"/>
          <w:color w:val="000000"/>
          <w:sz w:val="20"/>
          <w:szCs w:val="20"/>
        </w:rPr>
        <w:t>The proposed regulations also describe certain safe harbor plan designs that will satisfy minimum value.</w:t>
      </w:r>
      <w:r w:rsidR="00E87823">
        <w:rPr>
          <w:rFonts w:ascii="Arial" w:hAnsi="Arial" w:cs="Arial"/>
          <w:color w:val="000000"/>
          <w:sz w:val="20"/>
          <w:szCs w:val="20"/>
        </w:rPr>
        <w:t xml:space="preserve"> …</w:t>
      </w:r>
    </w:p>
    <w:p w14:paraId="4675735E" w14:textId="16F5C227" w:rsidR="009F5C2B" w:rsidRPr="009D1AD4" w:rsidRDefault="004C14AA" w:rsidP="00E87823">
      <w:pPr>
        <w:spacing w:after="200"/>
        <w:ind w:left="360"/>
        <w:rPr>
          <w:rFonts w:ascii="Arial" w:hAnsi="Arial" w:cs="Arial"/>
          <w:color w:val="000000"/>
          <w:sz w:val="20"/>
          <w:szCs w:val="20"/>
        </w:rPr>
      </w:pPr>
      <w:hyperlink r:id="rId73" w:tooltip="mv-calculator-final-4-11-2013" w:history="1">
        <w:r w:rsidR="009F5C2B" w:rsidRPr="00A56DAE">
          <w:rPr>
            <w:rStyle w:val="Hyperlink"/>
          </w:rPr>
          <w:t>Minimum Valu</w:t>
        </w:r>
        <w:r w:rsidR="00A56DAE" w:rsidRPr="00A56DAE">
          <w:rPr>
            <w:rStyle w:val="Hyperlink"/>
          </w:rPr>
          <w:t>e Calculator</w:t>
        </w:r>
      </w:hyperlink>
      <w:r w:rsidR="00A56DAE">
        <w:rPr>
          <w:rFonts w:ascii="Arial" w:hAnsi="Arial" w:cs="Arial"/>
          <w:color w:val="000000"/>
          <w:sz w:val="20"/>
          <w:szCs w:val="20"/>
        </w:rPr>
        <w:t xml:space="preserve"> (XL</w:t>
      </w:r>
      <w:r w:rsidR="009F5C2B" w:rsidRPr="009D1AD4">
        <w:rPr>
          <w:rFonts w:ascii="Arial" w:hAnsi="Arial" w:cs="Arial"/>
          <w:color w:val="000000"/>
          <w:sz w:val="20"/>
          <w:szCs w:val="20"/>
        </w:rPr>
        <w:t>SM – 598 KB)</w:t>
      </w:r>
    </w:p>
    <w:p w14:paraId="22D7AB4D" w14:textId="67B57B49" w:rsidR="009F5C2B" w:rsidRPr="009D1AD4" w:rsidRDefault="004C14AA" w:rsidP="00E87823">
      <w:pPr>
        <w:spacing w:after="200"/>
        <w:ind w:left="360"/>
        <w:rPr>
          <w:rFonts w:ascii="Arial" w:hAnsi="Arial" w:cs="Arial"/>
          <w:color w:val="000000"/>
          <w:sz w:val="20"/>
          <w:szCs w:val="20"/>
        </w:rPr>
      </w:pPr>
      <w:hyperlink r:id="rId74" w:tooltip="mv-calculator-methodology" w:history="1">
        <w:r w:rsidR="009F5C2B" w:rsidRPr="00A56DAE">
          <w:rPr>
            <w:rStyle w:val="Hyperlink"/>
          </w:rPr>
          <w:t>Minimum Valu</w:t>
        </w:r>
        <w:r w:rsidR="00A56DAE" w:rsidRPr="00A56DAE">
          <w:rPr>
            <w:rStyle w:val="Hyperlink"/>
          </w:rPr>
          <w:t>e Calculator Methodology</w:t>
        </w:r>
      </w:hyperlink>
      <w:r w:rsidR="00055049">
        <w:rPr>
          <w:rFonts w:ascii="Arial" w:hAnsi="Arial" w:cs="Arial"/>
          <w:color w:val="000000"/>
          <w:sz w:val="20"/>
          <w:szCs w:val="20"/>
        </w:rPr>
        <w:t xml:space="preserve"> </w:t>
      </w:r>
      <w:r w:rsidR="009F5C2B" w:rsidRPr="009D1AD4">
        <w:rPr>
          <w:rFonts w:ascii="Arial" w:hAnsi="Arial" w:cs="Arial"/>
          <w:color w:val="000000"/>
          <w:sz w:val="20"/>
          <w:szCs w:val="20"/>
        </w:rPr>
        <w:t>(PDF - 154 KB)</w:t>
      </w:r>
    </w:p>
    <w:p w14:paraId="568C7207" w14:textId="591EE536" w:rsidR="00A703EE" w:rsidRDefault="00A703EE" w:rsidP="004C6CEA">
      <w:pPr>
        <w:spacing w:after="200"/>
        <w:rPr>
          <w:rFonts w:ascii="Arial" w:hAnsi="Arial" w:cs="Arial"/>
          <w:sz w:val="20"/>
          <w:szCs w:val="20"/>
        </w:rPr>
      </w:pPr>
    </w:p>
    <w:p w14:paraId="3D88E350" w14:textId="77777777" w:rsidR="009F5C2B" w:rsidRDefault="009F5C2B" w:rsidP="004C6CEA">
      <w:pPr>
        <w:pStyle w:val="ListParagraph"/>
        <w:spacing w:after="200"/>
        <w:ind w:left="0"/>
        <w:contextualSpacing w:val="0"/>
        <w:rPr>
          <w:rFonts w:ascii="Arial" w:hAnsi="Arial" w:cs="Arial"/>
          <w:color w:val="000000"/>
          <w:sz w:val="20"/>
          <w:szCs w:val="20"/>
        </w:rPr>
      </w:pPr>
      <w:r w:rsidRPr="00C5063D">
        <w:rPr>
          <w:rFonts w:ascii="Arial" w:eastAsia="Times New Roman" w:hAnsi="Arial" w:cs="Arial"/>
          <w:b/>
          <w:bCs/>
          <w:color w:val="001BBA"/>
          <w:sz w:val="22"/>
          <w:szCs w:val="22"/>
        </w:rPr>
        <w:t xml:space="preserve">Question: </w:t>
      </w:r>
      <w:r w:rsidRPr="009D1AD4">
        <w:rPr>
          <w:rFonts w:ascii="Arial" w:hAnsi="Arial" w:cs="Arial"/>
          <w:color w:val="000000"/>
          <w:sz w:val="20"/>
          <w:szCs w:val="20"/>
        </w:rPr>
        <w:t>What amount does an employer report on Form 1095-C for an employee who was on COBRA due to a reduction in hours? Does the employer include the COBRA 2% administration fee?</w:t>
      </w:r>
    </w:p>
    <w:p w14:paraId="61E7931F" w14:textId="77777777" w:rsidR="009F5C2B" w:rsidRPr="009D1AD4" w:rsidRDefault="009F5C2B" w:rsidP="004C6CEA">
      <w:pPr>
        <w:pStyle w:val="ListParagraph"/>
        <w:spacing w:after="200"/>
        <w:ind w:left="0"/>
        <w:contextualSpacing w:val="0"/>
        <w:rPr>
          <w:rFonts w:ascii="Arial" w:hAnsi="Arial" w:cs="Arial"/>
          <w:color w:val="000000"/>
          <w:sz w:val="20"/>
          <w:szCs w:val="20"/>
        </w:rPr>
      </w:pPr>
      <w:r w:rsidRPr="009D1AD4">
        <w:rPr>
          <w:rFonts w:ascii="Arial" w:hAnsi="Arial" w:cs="Arial"/>
          <w:b/>
          <w:color w:val="000000"/>
          <w:sz w:val="20"/>
          <w:szCs w:val="20"/>
        </w:rPr>
        <w:t xml:space="preserve">Answer: </w:t>
      </w:r>
      <w:r w:rsidRPr="009D1AD4">
        <w:rPr>
          <w:rFonts w:ascii="Arial" w:hAnsi="Arial" w:cs="Arial"/>
          <w:color w:val="000000"/>
          <w:sz w:val="20"/>
          <w:szCs w:val="20"/>
        </w:rPr>
        <w:t>The employer reports the cost of employee-only coverage in Line 15. The employer does not include the COBRA 2% administration fee when reporting the cost.</w:t>
      </w:r>
    </w:p>
    <w:p w14:paraId="0D853AC6" w14:textId="672E6208" w:rsidR="009F5C2B" w:rsidRPr="009D1AD4" w:rsidRDefault="009F5C2B" w:rsidP="004C6CEA">
      <w:pPr>
        <w:pStyle w:val="ListParagraph"/>
        <w:spacing w:after="200"/>
        <w:ind w:left="0"/>
        <w:contextualSpacing w:val="0"/>
        <w:rPr>
          <w:rFonts w:ascii="Arial" w:hAnsi="Arial" w:cs="Arial"/>
          <w:color w:val="000000"/>
          <w:sz w:val="20"/>
          <w:szCs w:val="20"/>
        </w:rPr>
      </w:pPr>
      <w:r w:rsidRPr="009D1AD4">
        <w:rPr>
          <w:rFonts w:ascii="Arial" w:hAnsi="Arial" w:cs="Arial"/>
          <w:color w:val="000000"/>
          <w:sz w:val="20"/>
          <w:szCs w:val="20"/>
        </w:rPr>
        <w:t>For more information, please see page 2 of our UBA Advisor “</w:t>
      </w:r>
      <w:hyperlink r:id="rId75" w:history="1">
        <w:r w:rsidRPr="00E87823">
          <w:rPr>
            <w:rStyle w:val="Hyperlink"/>
          </w:rPr>
          <w:t>2018 IRS Reporting Tip 1 Reporting Offers of COBRA Coverage</w:t>
        </w:r>
      </w:hyperlink>
      <w:r w:rsidRPr="009D1AD4">
        <w:rPr>
          <w:rFonts w:ascii="Arial" w:hAnsi="Arial" w:cs="Arial"/>
          <w:color w:val="000000"/>
          <w:sz w:val="20"/>
          <w:szCs w:val="20"/>
        </w:rPr>
        <w:t>” describes the codes an employer would use to report an offer of COBRA coverage.</w:t>
      </w:r>
    </w:p>
    <w:p w14:paraId="114C1DD0" w14:textId="4B6A2FE0" w:rsidR="009F5C2B" w:rsidRDefault="009F5C2B" w:rsidP="004C6CEA">
      <w:pPr>
        <w:spacing w:after="200"/>
        <w:rPr>
          <w:rFonts w:ascii="Arial" w:hAnsi="Arial" w:cs="Arial"/>
          <w:sz w:val="20"/>
          <w:szCs w:val="20"/>
        </w:rPr>
      </w:pPr>
    </w:p>
    <w:p w14:paraId="74F75665" w14:textId="77777777" w:rsidR="009F5C2B" w:rsidRPr="009D1AD4" w:rsidRDefault="009F5C2B" w:rsidP="004C6CEA">
      <w:pPr>
        <w:spacing w:after="200"/>
        <w:rPr>
          <w:rFonts w:ascii="Arial" w:hAnsi="Arial" w:cs="Arial"/>
          <w:bCs/>
          <w:sz w:val="20"/>
          <w:szCs w:val="20"/>
        </w:rPr>
      </w:pPr>
      <w:r w:rsidRPr="00C5063D">
        <w:rPr>
          <w:rFonts w:ascii="Arial" w:hAnsi="Arial" w:cs="Arial"/>
          <w:b/>
          <w:bCs/>
          <w:color w:val="001BBA"/>
          <w:sz w:val="22"/>
          <w:szCs w:val="22"/>
        </w:rPr>
        <w:t>Question:</w:t>
      </w:r>
      <w:r w:rsidRPr="009D1AD4">
        <w:rPr>
          <w:rFonts w:ascii="Arial" w:hAnsi="Arial" w:cs="Arial"/>
          <w:bCs/>
          <w:sz w:val="20"/>
          <w:szCs w:val="20"/>
        </w:rPr>
        <w:t xml:space="preserve"> How does an applicable large employer with a self-funded plan complete Form 1095-C for the following situations?</w:t>
      </w:r>
    </w:p>
    <w:p w14:paraId="3B100F5B" w14:textId="67BC1D6F" w:rsidR="009F5C2B" w:rsidRPr="009D1AD4" w:rsidRDefault="00E87823" w:rsidP="004C6CEA">
      <w:pPr>
        <w:pStyle w:val="ListParagraph"/>
        <w:numPr>
          <w:ilvl w:val="0"/>
          <w:numId w:val="16"/>
        </w:numPr>
        <w:spacing w:after="200"/>
        <w:contextualSpacing w:val="0"/>
        <w:rPr>
          <w:rFonts w:ascii="Arial" w:hAnsi="Arial" w:cs="Arial"/>
          <w:bCs/>
          <w:sz w:val="20"/>
          <w:szCs w:val="20"/>
        </w:rPr>
      </w:pPr>
      <w:r>
        <w:rPr>
          <w:rFonts w:ascii="Arial" w:hAnsi="Arial" w:cs="Arial"/>
          <w:bCs/>
          <w:sz w:val="20"/>
          <w:szCs w:val="20"/>
        </w:rPr>
        <w:t>A</w:t>
      </w:r>
      <w:r w:rsidR="009F5C2B" w:rsidRPr="009D1AD4">
        <w:rPr>
          <w:rFonts w:ascii="Arial" w:hAnsi="Arial" w:cs="Arial"/>
          <w:bCs/>
          <w:sz w:val="20"/>
          <w:szCs w:val="20"/>
        </w:rPr>
        <w:t xml:space="preserve"> person terminated employment mid-year and started COBRA on the first of the month mid-year</w:t>
      </w:r>
    </w:p>
    <w:p w14:paraId="7229DC0A" w14:textId="4CA8E9CA" w:rsidR="009F5C2B" w:rsidRDefault="00E87823" w:rsidP="004C6CEA">
      <w:pPr>
        <w:pStyle w:val="ListParagraph"/>
        <w:numPr>
          <w:ilvl w:val="0"/>
          <w:numId w:val="16"/>
        </w:numPr>
        <w:spacing w:after="200"/>
        <w:contextualSpacing w:val="0"/>
        <w:rPr>
          <w:rFonts w:ascii="Arial" w:hAnsi="Arial" w:cs="Arial"/>
          <w:bCs/>
          <w:sz w:val="20"/>
          <w:szCs w:val="20"/>
        </w:rPr>
      </w:pPr>
      <w:r>
        <w:rPr>
          <w:rFonts w:ascii="Arial" w:hAnsi="Arial" w:cs="Arial"/>
          <w:bCs/>
          <w:sz w:val="20"/>
          <w:szCs w:val="20"/>
        </w:rPr>
        <w:t>A</w:t>
      </w:r>
      <w:r w:rsidR="009F5C2B" w:rsidRPr="009D1AD4">
        <w:rPr>
          <w:rFonts w:ascii="Arial" w:hAnsi="Arial" w:cs="Arial"/>
          <w:bCs/>
          <w:sz w:val="20"/>
          <w:szCs w:val="20"/>
        </w:rPr>
        <w:t xml:space="preserve"> person terminated employment mid-year and started COBRA mid-month mid-year</w:t>
      </w:r>
    </w:p>
    <w:p w14:paraId="4AEB5E7F" w14:textId="1F282BE9" w:rsidR="009F5C2B" w:rsidRPr="009D1AD4" w:rsidRDefault="00E87823" w:rsidP="004C6CEA">
      <w:pPr>
        <w:pStyle w:val="ListParagraph"/>
        <w:numPr>
          <w:ilvl w:val="0"/>
          <w:numId w:val="16"/>
        </w:numPr>
        <w:spacing w:after="200"/>
        <w:contextualSpacing w:val="0"/>
        <w:rPr>
          <w:rFonts w:ascii="Arial" w:hAnsi="Arial" w:cs="Arial"/>
          <w:bCs/>
          <w:sz w:val="20"/>
          <w:szCs w:val="20"/>
        </w:rPr>
      </w:pPr>
      <w:r>
        <w:rPr>
          <w:rFonts w:ascii="Arial" w:hAnsi="Arial" w:cs="Arial"/>
          <w:bCs/>
          <w:sz w:val="20"/>
          <w:szCs w:val="20"/>
        </w:rPr>
        <w:t>A</w:t>
      </w:r>
      <w:r w:rsidR="009F5C2B" w:rsidRPr="009D1AD4">
        <w:rPr>
          <w:rFonts w:ascii="Arial" w:hAnsi="Arial" w:cs="Arial"/>
          <w:bCs/>
          <w:sz w:val="20"/>
          <w:szCs w:val="20"/>
        </w:rPr>
        <w:t xml:space="preserve"> person had COBRA coverage for the entire year and was not an employee for the entire calendar year</w:t>
      </w:r>
    </w:p>
    <w:p w14:paraId="6D00753A" w14:textId="77777777" w:rsidR="009F5C2B" w:rsidRPr="009D1AD4" w:rsidRDefault="009F5C2B" w:rsidP="004C6CEA">
      <w:pPr>
        <w:spacing w:after="200"/>
        <w:rPr>
          <w:rFonts w:ascii="Arial" w:hAnsi="Arial" w:cs="Arial"/>
          <w:color w:val="000000"/>
          <w:sz w:val="20"/>
          <w:szCs w:val="20"/>
        </w:rPr>
      </w:pPr>
      <w:r w:rsidRPr="009D1AD4">
        <w:rPr>
          <w:rFonts w:ascii="Arial" w:hAnsi="Arial" w:cs="Arial"/>
          <w:b/>
          <w:bCs/>
          <w:sz w:val="20"/>
          <w:szCs w:val="20"/>
        </w:rPr>
        <w:t>Answer:</w:t>
      </w:r>
      <w:r w:rsidRPr="009D1AD4">
        <w:rPr>
          <w:rFonts w:ascii="Arial" w:hAnsi="Arial" w:cs="Arial"/>
          <w:bCs/>
          <w:sz w:val="20"/>
          <w:szCs w:val="20"/>
        </w:rPr>
        <w:t xml:space="preserve"> </w:t>
      </w:r>
      <w:r w:rsidRPr="009D1AD4">
        <w:rPr>
          <w:rFonts w:ascii="Arial" w:hAnsi="Arial" w:cs="Arial"/>
          <w:color w:val="000000"/>
          <w:sz w:val="20"/>
          <w:szCs w:val="20"/>
        </w:rPr>
        <w:t>The employer would complete Form 1095-C with the following codes:</w:t>
      </w:r>
    </w:p>
    <w:p w14:paraId="60210301" w14:textId="77777777" w:rsidR="009F5C2B" w:rsidRPr="009D1AD4" w:rsidRDefault="009F5C2B" w:rsidP="004C6CEA">
      <w:pPr>
        <w:pStyle w:val="ListParagraph"/>
        <w:numPr>
          <w:ilvl w:val="0"/>
          <w:numId w:val="19"/>
        </w:numPr>
        <w:spacing w:after="200"/>
        <w:contextualSpacing w:val="0"/>
        <w:rPr>
          <w:rFonts w:ascii="Arial" w:hAnsi="Arial" w:cs="Arial"/>
          <w:color w:val="000000"/>
          <w:sz w:val="20"/>
          <w:szCs w:val="20"/>
        </w:rPr>
      </w:pPr>
      <w:r w:rsidRPr="009D1AD4">
        <w:rPr>
          <w:rFonts w:ascii="Arial" w:hAnsi="Arial" w:cs="Arial"/>
          <w:color w:val="000000"/>
          <w:sz w:val="20"/>
          <w:szCs w:val="20"/>
        </w:rPr>
        <w:t>Line 14 1H, Line 15 blank, Line 16 2A for the months that the person was offered COBRA coverage</w:t>
      </w:r>
    </w:p>
    <w:p w14:paraId="6D7D2403" w14:textId="416AC244" w:rsidR="009F5C2B" w:rsidRPr="009D1AD4" w:rsidRDefault="009F5C2B" w:rsidP="004C6CEA">
      <w:pPr>
        <w:pStyle w:val="ListParagraph"/>
        <w:numPr>
          <w:ilvl w:val="0"/>
          <w:numId w:val="19"/>
        </w:numPr>
        <w:spacing w:after="200"/>
        <w:contextualSpacing w:val="0"/>
        <w:rPr>
          <w:rFonts w:ascii="Arial" w:hAnsi="Arial" w:cs="Arial"/>
          <w:color w:val="000000"/>
          <w:sz w:val="20"/>
          <w:szCs w:val="20"/>
        </w:rPr>
      </w:pPr>
      <w:r w:rsidRPr="009D1AD4">
        <w:rPr>
          <w:rFonts w:ascii="Arial" w:hAnsi="Arial" w:cs="Arial"/>
          <w:color w:val="000000"/>
          <w:sz w:val="20"/>
          <w:szCs w:val="20"/>
        </w:rPr>
        <w:t>Line 14 1H, Line 15 blank, Line 16 2B for the month in which the person terminated employment with the ALE;</w:t>
      </w:r>
      <w:r w:rsidR="00055049">
        <w:rPr>
          <w:rFonts w:ascii="Arial" w:hAnsi="Arial" w:cs="Arial"/>
          <w:color w:val="000000"/>
          <w:sz w:val="20"/>
          <w:szCs w:val="20"/>
        </w:rPr>
        <w:t xml:space="preserve"> </w:t>
      </w:r>
      <w:r w:rsidRPr="009D1AD4">
        <w:rPr>
          <w:rFonts w:ascii="Arial" w:hAnsi="Arial" w:cs="Arial"/>
          <w:color w:val="000000"/>
          <w:sz w:val="20"/>
          <w:szCs w:val="20"/>
        </w:rPr>
        <w:t>Line 14 1H, Line 15 blank, Line 16 2A for the remaining months that the person was offered COBRA coverage</w:t>
      </w:r>
    </w:p>
    <w:p w14:paraId="74DB8172" w14:textId="77777777" w:rsidR="009F5C2B" w:rsidRPr="009D1AD4" w:rsidRDefault="009F5C2B" w:rsidP="004C6CEA">
      <w:pPr>
        <w:pStyle w:val="ListParagraph"/>
        <w:numPr>
          <w:ilvl w:val="0"/>
          <w:numId w:val="19"/>
        </w:numPr>
        <w:spacing w:after="200"/>
        <w:contextualSpacing w:val="0"/>
        <w:rPr>
          <w:rFonts w:ascii="Arial" w:hAnsi="Arial" w:cs="Arial"/>
          <w:color w:val="000000"/>
          <w:sz w:val="20"/>
          <w:szCs w:val="20"/>
        </w:rPr>
      </w:pPr>
      <w:r w:rsidRPr="009D1AD4">
        <w:rPr>
          <w:rFonts w:ascii="Arial" w:hAnsi="Arial" w:cs="Arial"/>
          <w:color w:val="000000"/>
          <w:sz w:val="20"/>
          <w:szCs w:val="20"/>
        </w:rPr>
        <w:t>Line 14 1G under “All 12 Months,” Line 15 blank, Line 16 blank</w:t>
      </w:r>
    </w:p>
    <w:p w14:paraId="7797C23B" w14:textId="77777777" w:rsidR="009F5C2B" w:rsidRPr="009D1AD4" w:rsidRDefault="009F5C2B" w:rsidP="004C6CEA">
      <w:pPr>
        <w:pStyle w:val="ListParagraph"/>
        <w:spacing w:after="200"/>
        <w:ind w:left="0"/>
        <w:contextualSpacing w:val="0"/>
        <w:rPr>
          <w:rFonts w:ascii="Arial" w:hAnsi="Arial" w:cs="Arial"/>
          <w:color w:val="000000"/>
          <w:sz w:val="20"/>
          <w:szCs w:val="20"/>
        </w:rPr>
      </w:pPr>
      <w:r w:rsidRPr="009D1AD4">
        <w:rPr>
          <w:rFonts w:ascii="Arial" w:hAnsi="Arial" w:cs="Arial"/>
          <w:color w:val="000000"/>
          <w:sz w:val="20"/>
          <w:szCs w:val="20"/>
        </w:rPr>
        <w:t>Also, the employer would complete Part III indicating the months that the person was enrolled on the plan, including any period of COBRA coverage.</w:t>
      </w:r>
    </w:p>
    <w:p w14:paraId="5B1C6495" w14:textId="6B4BA1CF" w:rsidR="009F5C2B" w:rsidRDefault="009F5C2B" w:rsidP="004C6CEA">
      <w:pPr>
        <w:pStyle w:val="ListParagraph"/>
        <w:spacing w:after="200"/>
        <w:ind w:left="0"/>
        <w:contextualSpacing w:val="0"/>
        <w:rPr>
          <w:rFonts w:ascii="Arial" w:hAnsi="Arial" w:cs="Arial"/>
          <w:color w:val="000000"/>
          <w:sz w:val="20"/>
          <w:szCs w:val="20"/>
        </w:rPr>
      </w:pPr>
    </w:p>
    <w:p w14:paraId="049027E2" w14:textId="77777777" w:rsidR="009F5C2B" w:rsidRPr="009D1AD4" w:rsidRDefault="009F5C2B" w:rsidP="004C6CEA">
      <w:pPr>
        <w:spacing w:after="200"/>
        <w:rPr>
          <w:rFonts w:ascii="Arial" w:hAnsi="Arial" w:cs="Arial"/>
          <w:bCs/>
          <w:sz w:val="20"/>
          <w:szCs w:val="20"/>
        </w:rPr>
      </w:pPr>
      <w:r w:rsidRPr="00C5063D">
        <w:rPr>
          <w:rFonts w:ascii="Arial" w:hAnsi="Arial" w:cs="Arial"/>
          <w:b/>
          <w:bCs/>
          <w:color w:val="001BBA"/>
          <w:sz w:val="22"/>
          <w:szCs w:val="22"/>
        </w:rPr>
        <w:t>Question:</w:t>
      </w:r>
      <w:r w:rsidRPr="009D1AD4">
        <w:rPr>
          <w:rFonts w:ascii="Arial" w:hAnsi="Arial" w:cs="Arial"/>
          <w:bCs/>
          <w:sz w:val="20"/>
          <w:szCs w:val="20"/>
        </w:rPr>
        <w:t xml:space="preserve"> If an applicable large employer has union employees who are enrolled in a fully-insured union plan, who has responsibility for completing Forms 1094-C and 1095-C?</w:t>
      </w:r>
    </w:p>
    <w:p w14:paraId="01B8127B" w14:textId="77777777" w:rsidR="009F5C2B" w:rsidRPr="009D1AD4" w:rsidRDefault="009F5C2B" w:rsidP="004C6CEA">
      <w:pPr>
        <w:spacing w:after="200"/>
        <w:rPr>
          <w:rFonts w:ascii="Arial" w:hAnsi="Arial" w:cs="Arial"/>
          <w:color w:val="000000"/>
          <w:sz w:val="20"/>
          <w:szCs w:val="20"/>
        </w:rPr>
      </w:pPr>
      <w:r w:rsidRPr="009D1AD4">
        <w:rPr>
          <w:rFonts w:ascii="Arial" w:hAnsi="Arial" w:cs="Arial"/>
          <w:b/>
          <w:bCs/>
          <w:sz w:val="20"/>
          <w:szCs w:val="20"/>
        </w:rPr>
        <w:t>Answer:</w:t>
      </w:r>
      <w:r w:rsidRPr="009D1AD4">
        <w:rPr>
          <w:rFonts w:ascii="Arial" w:hAnsi="Arial" w:cs="Arial"/>
          <w:bCs/>
          <w:sz w:val="20"/>
          <w:szCs w:val="20"/>
        </w:rPr>
        <w:t xml:space="preserve"> </w:t>
      </w:r>
      <w:r w:rsidRPr="009D1AD4">
        <w:rPr>
          <w:rFonts w:ascii="Arial" w:hAnsi="Arial" w:cs="Arial"/>
          <w:color w:val="000000"/>
          <w:sz w:val="20"/>
          <w:szCs w:val="20"/>
        </w:rPr>
        <w:t>The employer is responsible for completing Section 6056 reporting (Form 1094-C and Form 1095-C Parts I and II) for the union employees.</w:t>
      </w:r>
    </w:p>
    <w:p w14:paraId="42B701A1" w14:textId="0E301243" w:rsidR="009F5C2B" w:rsidRPr="009D1AD4" w:rsidRDefault="00E87823" w:rsidP="004C6CEA">
      <w:pPr>
        <w:spacing w:after="200"/>
        <w:rPr>
          <w:rFonts w:ascii="Arial" w:hAnsi="Arial" w:cs="Arial"/>
          <w:color w:val="000000"/>
          <w:sz w:val="20"/>
          <w:szCs w:val="20"/>
        </w:rPr>
      </w:pPr>
      <w:r>
        <w:rPr>
          <w:rFonts w:ascii="Arial" w:hAnsi="Arial" w:cs="Arial"/>
          <w:color w:val="000000"/>
          <w:sz w:val="20"/>
          <w:szCs w:val="20"/>
        </w:rPr>
        <w:t>O</w:t>
      </w:r>
      <w:r w:rsidR="009F5C2B" w:rsidRPr="009D1AD4">
        <w:rPr>
          <w:rFonts w:ascii="Arial" w:hAnsi="Arial" w:cs="Arial"/>
          <w:color w:val="000000"/>
          <w:sz w:val="20"/>
          <w:szCs w:val="20"/>
        </w:rPr>
        <w:t>ur UBA Advisor “</w:t>
      </w:r>
      <w:hyperlink r:id="rId76" w:history="1">
        <w:r w:rsidR="009F5C2B" w:rsidRPr="00E87823">
          <w:rPr>
            <w:rStyle w:val="Hyperlink"/>
          </w:rPr>
          <w:t>IRS Releases Final Forms and Instructions for 2018 ACA Reporting</w:t>
        </w:r>
      </w:hyperlink>
      <w:r w:rsidR="009F5C2B" w:rsidRPr="009D1AD4">
        <w:rPr>
          <w:rFonts w:ascii="Arial" w:hAnsi="Arial" w:cs="Arial"/>
          <w:color w:val="000000"/>
          <w:sz w:val="20"/>
          <w:szCs w:val="20"/>
        </w:rPr>
        <w:t>” that summarizes an employer’s reporting responsibilities.</w:t>
      </w:r>
    </w:p>
    <w:p w14:paraId="4F8B81CD" w14:textId="77777777" w:rsidR="009F5C2B" w:rsidRPr="009D1AD4" w:rsidRDefault="009F5C2B" w:rsidP="004C6CEA">
      <w:pPr>
        <w:pStyle w:val="ListParagraph"/>
        <w:spacing w:after="200"/>
        <w:ind w:left="0"/>
        <w:contextualSpacing w:val="0"/>
        <w:rPr>
          <w:rFonts w:ascii="Arial" w:hAnsi="Arial" w:cs="Arial"/>
          <w:color w:val="000000"/>
          <w:sz w:val="20"/>
          <w:szCs w:val="20"/>
        </w:rPr>
      </w:pPr>
    </w:p>
    <w:p w14:paraId="337682CD" w14:textId="77777777" w:rsidR="009F5C2B" w:rsidRPr="009D1AD4" w:rsidRDefault="009F5C2B" w:rsidP="004C6CEA">
      <w:pPr>
        <w:spacing w:after="200"/>
        <w:rPr>
          <w:rFonts w:ascii="Arial" w:hAnsi="Arial" w:cs="Arial"/>
          <w:bCs/>
          <w:sz w:val="20"/>
          <w:szCs w:val="20"/>
        </w:rPr>
      </w:pPr>
      <w:r w:rsidRPr="00C5063D">
        <w:rPr>
          <w:rFonts w:ascii="Arial" w:hAnsi="Arial" w:cs="Arial"/>
          <w:b/>
          <w:bCs/>
          <w:color w:val="001BBA"/>
          <w:sz w:val="22"/>
          <w:szCs w:val="22"/>
        </w:rPr>
        <w:lastRenderedPageBreak/>
        <w:t>Question:</w:t>
      </w:r>
      <w:r w:rsidRPr="009D1AD4">
        <w:rPr>
          <w:rFonts w:ascii="Arial" w:hAnsi="Arial" w:cs="Arial"/>
          <w:b/>
          <w:bCs/>
          <w:sz w:val="20"/>
          <w:szCs w:val="20"/>
        </w:rPr>
        <w:t xml:space="preserve"> </w:t>
      </w:r>
      <w:r w:rsidRPr="009D1AD4">
        <w:rPr>
          <w:rFonts w:ascii="Arial" w:hAnsi="Arial" w:cs="Arial"/>
          <w:bCs/>
          <w:sz w:val="20"/>
          <w:szCs w:val="20"/>
        </w:rPr>
        <w:t>Must an employer offer coverage to a full-time employee who is a student with an immigrant visa that provides post-graduation work authorization?</w:t>
      </w:r>
    </w:p>
    <w:p w14:paraId="5645A33B" w14:textId="77777777" w:rsidR="009F5C2B" w:rsidRPr="009D1AD4" w:rsidRDefault="009F5C2B" w:rsidP="004C6CEA">
      <w:pPr>
        <w:spacing w:after="200"/>
        <w:rPr>
          <w:rFonts w:ascii="Arial" w:hAnsi="Arial" w:cs="Arial"/>
          <w:bCs/>
          <w:sz w:val="20"/>
          <w:szCs w:val="20"/>
        </w:rPr>
      </w:pPr>
      <w:r w:rsidRPr="009D1AD4">
        <w:rPr>
          <w:rFonts w:ascii="Arial" w:hAnsi="Arial" w:cs="Arial"/>
          <w:b/>
          <w:bCs/>
          <w:sz w:val="20"/>
          <w:szCs w:val="20"/>
        </w:rPr>
        <w:t>Answer:</w:t>
      </w:r>
      <w:r w:rsidRPr="009D1AD4">
        <w:rPr>
          <w:rFonts w:ascii="Arial" w:hAnsi="Arial" w:cs="Arial"/>
          <w:bCs/>
          <w:sz w:val="20"/>
          <w:szCs w:val="20"/>
        </w:rPr>
        <w:t xml:space="preserve"> Yes, if the employer is an applicable large employer and the full-time employee is otherwise eligible for coverage, then the employer should offer coverage to the employee.</w:t>
      </w:r>
    </w:p>
    <w:p w14:paraId="719DE4EC" w14:textId="01183F63" w:rsidR="009F5C2B" w:rsidRPr="009D1AD4" w:rsidRDefault="009F5C2B" w:rsidP="004C6CEA">
      <w:pPr>
        <w:spacing w:after="200"/>
        <w:rPr>
          <w:rFonts w:ascii="Arial" w:hAnsi="Arial" w:cs="Arial"/>
          <w:bCs/>
          <w:sz w:val="20"/>
          <w:szCs w:val="20"/>
        </w:rPr>
      </w:pPr>
      <w:r w:rsidRPr="009D1AD4">
        <w:rPr>
          <w:rFonts w:ascii="Arial" w:hAnsi="Arial" w:cs="Arial"/>
          <w:bCs/>
          <w:sz w:val="20"/>
          <w:szCs w:val="20"/>
        </w:rPr>
        <w:t>Presuming that the employee is eligible under the plan document’s provisions, being a noncitizen student is not an automatic bar to health plan coverage eligibility. For purposes of the employer shared responsibility provisions, noncitizens (such as those in the U.S. on most</w:t>
      </w:r>
      <w:r w:rsidR="00055049">
        <w:rPr>
          <w:rFonts w:ascii="Arial" w:hAnsi="Arial" w:cs="Arial"/>
          <w:bCs/>
          <w:sz w:val="20"/>
          <w:szCs w:val="20"/>
        </w:rPr>
        <w:t xml:space="preserve"> </w:t>
      </w:r>
      <w:r w:rsidRPr="009D1AD4">
        <w:rPr>
          <w:rFonts w:ascii="Arial" w:hAnsi="Arial" w:cs="Arial"/>
          <w:bCs/>
          <w:sz w:val="20"/>
          <w:szCs w:val="20"/>
        </w:rPr>
        <w:t>visas) who work in the U.S. have their hours counted for play-or-pay purposes.</w:t>
      </w:r>
      <w:r>
        <w:rPr>
          <w:rFonts w:ascii="Arial" w:hAnsi="Arial" w:cs="Arial"/>
          <w:bCs/>
          <w:sz w:val="20"/>
          <w:szCs w:val="20"/>
        </w:rPr>
        <w:t xml:space="preserve"> </w:t>
      </w:r>
      <w:r w:rsidRPr="009D1AD4">
        <w:rPr>
          <w:rFonts w:ascii="Arial" w:hAnsi="Arial" w:cs="Arial"/>
          <w:bCs/>
          <w:sz w:val="20"/>
          <w:szCs w:val="20"/>
        </w:rPr>
        <w:t>Further, all hours that a student employee works for payment (other than through a federal, state, or local work study program)</w:t>
      </w:r>
      <w:r w:rsidR="00055049">
        <w:rPr>
          <w:rFonts w:ascii="Arial" w:hAnsi="Arial" w:cs="Arial"/>
          <w:bCs/>
          <w:sz w:val="20"/>
          <w:szCs w:val="20"/>
        </w:rPr>
        <w:t xml:space="preserve"> </w:t>
      </w:r>
      <w:r w:rsidRPr="009D1AD4">
        <w:rPr>
          <w:rFonts w:ascii="Arial" w:hAnsi="Arial" w:cs="Arial"/>
          <w:bCs/>
          <w:sz w:val="20"/>
          <w:szCs w:val="20"/>
        </w:rPr>
        <w:t>must be counted as hours of service.</w:t>
      </w:r>
    </w:p>
    <w:p w14:paraId="07E303B8" w14:textId="77777777" w:rsidR="009F5C2B" w:rsidRPr="009D1AD4" w:rsidRDefault="009F5C2B" w:rsidP="004C6CEA">
      <w:pPr>
        <w:spacing w:after="200"/>
        <w:rPr>
          <w:rFonts w:ascii="Arial" w:hAnsi="Arial" w:cs="Arial"/>
          <w:bCs/>
          <w:sz w:val="20"/>
          <w:szCs w:val="20"/>
        </w:rPr>
      </w:pPr>
      <w:r w:rsidRPr="009D1AD4">
        <w:rPr>
          <w:rFonts w:ascii="Arial" w:hAnsi="Arial" w:cs="Arial"/>
          <w:b/>
          <w:bCs/>
          <w:sz w:val="20"/>
          <w:szCs w:val="20"/>
        </w:rPr>
        <w:t>Educational Information</w:t>
      </w:r>
    </w:p>
    <w:p w14:paraId="7BB53765" w14:textId="34982061" w:rsidR="009F5C2B" w:rsidRPr="009D1AD4" w:rsidRDefault="009F5C2B" w:rsidP="004C6CEA">
      <w:pPr>
        <w:spacing w:after="200"/>
        <w:rPr>
          <w:rFonts w:ascii="Arial" w:hAnsi="Arial" w:cs="Arial"/>
          <w:bCs/>
          <w:sz w:val="20"/>
          <w:szCs w:val="20"/>
        </w:rPr>
      </w:pPr>
      <w:r w:rsidRPr="009D1AD4">
        <w:rPr>
          <w:rFonts w:ascii="Arial" w:hAnsi="Arial" w:cs="Arial"/>
          <w:bCs/>
          <w:sz w:val="20"/>
          <w:szCs w:val="20"/>
        </w:rPr>
        <w:t>From our UBA Advisor “</w:t>
      </w:r>
      <w:hyperlink r:id="rId77" w:history="1">
        <w:r w:rsidRPr="00532658">
          <w:rPr>
            <w:rStyle w:val="Hyperlink"/>
            <w:bCs/>
          </w:rPr>
          <w:t>The Play-or-Pay Penalty and Counting Employees Under the ACA</w:t>
        </w:r>
      </w:hyperlink>
      <w:r w:rsidRPr="009D1AD4">
        <w:rPr>
          <w:rFonts w:ascii="Arial" w:hAnsi="Arial" w:cs="Arial"/>
          <w:bCs/>
          <w:sz w:val="20"/>
          <w:szCs w:val="20"/>
        </w:rPr>
        <w:t>” which is attached:</w:t>
      </w:r>
    </w:p>
    <w:p w14:paraId="1622C2D5" w14:textId="77777777" w:rsidR="009F5C2B" w:rsidRPr="009D1AD4" w:rsidRDefault="009F5C2B" w:rsidP="00E87823">
      <w:pPr>
        <w:spacing w:after="200"/>
        <w:ind w:left="360"/>
        <w:rPr>
          <w:rFonts w:ascii="Arial" w:hAnsi="Arial" w:cs="Arial"/>
          <w:bCs/>
          <w:sz w:val="20"/>
          <w:szCs w:val="20"/>
        </w:rPr>
      </w:pPr>
      <w:r w:rsidRPr="009D1AD4">
        <w:rPr>
          <w:rFonts w:ascii="Arial" w:hAnsi="Arial" w:cs="Arial"/>
          <w:b/>
          <w:bCs/>
          <w:sz w:val="20"/>
          <w:szCs w:val="20"/>
        </w:rPr>
        <w:t>Q7: Are foreign workers counted?</w:t>
      </w:r>
    </w:p>
    <w:p w14:paraId="6688AB1F" w14:textId="37AA10FF" w:rsidR="009F5C2B" w:rsidRDefault="009F5C2B" w:rsidP="00E87823">
      <w:pPr>
        <w:spacing w:after="200"/>
        <w:ind w:left="360"/>
        <w:rPr>
          <w:rFonts w:ascii="Arial" w:hAnsi="Arial" w:cs="Arial"/>
          <w:bCs/>
          <w:sz w:val="20"/>
          <w:szCs w:val="20"/>
        </w:rPr>
      </w:pPr>
      <w:r w:rsidRPr="009D1AD4">
        <w:rPr>
          <w:rFonts w:ascii="Arial" w:hAnsi="Arial" w:cs="Arial"/>
          <w:bCs/>
          <w:sz w:val="20"/>
          <w:szCs w:val="20"/>
        </w:rPr>
        <w:t>A7: Yes. All hours worked in the U.S. that generate U.S. source income for income tax purposes are counted. This means that hours worked in the U.S. by noncitizens (such as those here on most</w:t>
      </w:r>
      <w:r w:rsidR="00055049">
        <w:rPr>
          <w:rFonts w:ascii="Arial" w:hAnsi="Arial" w:cs="Arial"/>
          <w:bCs/>
          <w:sz w:val="20"/>
          <w:szCs w:val="20"/>
        </w:rPr>
        <w:t xml:space="preserve"> </w:t>
      </w:r>
      <w:r w:rsidRPr="009D1AD4">
        <w:rPr>
          <w:rFonts w:ascii="Arial" w:hAnsi="Arial" w:cs="Arial"/>
          <w:bCs/>
          <w:sz w:val="20"/>
          <w:szCs w:val="20"/>
        </w:rPr>
        <w:t>visas or who have a green card) are counted. The IRS has specifically said that workers holding H-2A and H-2B</w:t>
      </w:r>
      <w:r w:rsidR="00055049">
        <w:rPr>
          <w:rFonts w:ascii="Arial" w:hAnsi="Arial" w:cs="Arial"/>
          <w:bCs/>
          <w:sz w:val="20"/>
          <w:szCs w:val="20"/>
        </w:rPr>
        <w:t xml:space="preserve"> </w:t>
      </w:r>
      <w:r w:rsidRPr="009D1AD4">
        <w:rPr>
          <w:rFonts w:ascii="Arial" w:hAnsi="Arial" w:cs="Arial"/>
          <w:bCs/>
          <w:sz w:val="20"/>
          <w:szCs w:val="20"/>
        </w:rPr>
        <w:t>visas must be considered.</w:t>
      </w:r>
    </w:p>
    <w:p w14:paraId="05FB5B4F" w14:textId="101C7FD4" w:rsidR="009F5C2B" w:rsidRPr="009D1AD4" w:rsidRDefault="009F5C2B" w:rsidP="004C6CEA">
      <w:pPr>
        <w:spacing w:after="200"/>
        <w:rPr>
          <w:rFonts w:ascii="Arial" w:hAnsi="Arial" w:cs="Arial"/>
          <w:bCs/>
          <w:sz w:val="20"/>
          <w:szCs w:val="20"/>
        </w:rPr>
      </w:pPr>
      <w:r w:rsidRPr="009D1AD4">
        <w:rPr>
          <w:rFonts w:ascii="Arial" w:hAnsi="Arial" w:cs="Arial"/>
          <w:bCs/>
          <w:sz w:val="20"/>
          <w:szCs w:val="20"/>
        </w:rPr>
        <w:t xml:space="preserve">Further, according to </w:t>
      </w:r>
      <w:proofErr w:type="spellStart"/>
      <w:r w:rsidRPr="009D1AD4">
        <w:rPr>
          <w:rFonts w:ascii="Arial" w:hAnsi="Arial" w:cs="Arial"/>
          <w:bCs/>
          <w:sz w:val="20"/>
          <w:szCs w:val="20"/>
        </w:rPr>
        <w:t>Healthcare.gov’s</w:t>
      </w:r>
      <w:proofErr w:type="spellEnd"/>
      <w:r w:rsidR="00055049">
        <w:rPr>
          <w:rFonts w:ascii="Arial" w:hAnsi="Arial" w:cs="Arial"/>
          <w:bCs/>
          <w:sz w:val="20"/>
          <w:szCs w:val="20"/>
        </w:rPr>
        <w:t xml:space="preserve"> </w:t>
      </w:r>
      <w:hyperlink r:id="rId78" w:history="1">
        <w:r w:rsidRPr="009D1AD4">
          <w:rPr>
            <w:rStyle w:val="Hyperlink"/>
            <w:bCs/>
          </w:rPr>
          <w:t>Immigration Status and the Marketplace</w:t>
        </w:r>
      </w:hyperlink>
      <w:r w:rsidRPr="009D1AD4">
        <w:rPr>
          <w:rFonts w:ascii="Arial" w:hAnsi="Arial" w:cs="Arial"/>
          <w:bCs/>
          <w:sz w:val="20"/>
          <w:szCs w:val="20"/>
        </w:rPr>
        <w:t>, individuals with non-immigrant status, including student</w:t>
      </w:r>
      <w:r w:rsidR="00055049">
        <w:rPr>
          <w:rFonts w:ascii="Arial" w:hAnsi="Arial" w:cs="Arial"/>
          <w:bCs/>
          <w:sz w:val="20"/>
          <w:szCs w:val="20"/>
        </w:rPr>
        <w:t xml:space="preserve"> </w:t>
      </w:r>
      <w:r w:rsidRPr="009D1AD4">
        <w:rPr>
          <w:rFonts w:ascii="Arial" w:hAnsi="Arial" w:cs="Arial"/>
          <w:bCs/>
          <w:sz w:val="20"/>
          <w:szCs w:val="20"/>
        </w:rPr>
        <w:t>visas, qualify to use the Marketplace.</w:t>
      </w:r>
    </w:p>
    <w:p w14:paraId="43CC04F2" w14:textId="77777777" w:rsidR="009F5C2B" w:rsidRPr="009D1AD4" w:rsidRDefault="009F5C2B" w:rsidP="004C6CEA">
      <w:pPr>
        <w:spacing w:after="200"/>
        <w:rPr>
          <w:rFonts w:ascii="Arial" w:hAnsi="Arial" w:cs="Arial"/>
          <w:bCs/>
          <w:sz w:val="20"/>
          <w:szCs w:val="20"/>
        </w:rPr>
      </w:pPr>
      <w:r w:rsidRPr="009D1AD4">
        <w:rPr>
          <w:rFonts w:ascii="Arial" w:hAnsi="Arial" w:cs="Arial"/>
          <w:bCs/>
          <w:sz w:val="20"/>
          <w:szCs w:val="20"/>
        </w:rPr>
        <w:t>From Checkpoint EBIA:</w:t>
      </w:r>
    </w:p>
    <w:p w14:paraId="1E7213C4" w14:textId="086A5DB8" w:rsidR="009F5C2B" w:rsidRPr="009D1AD4" w:rsidRDefault="009F5C2B" w:rsidP="00532658">
      <w:pPr>
        <w:spacing w:after="200"/>
        <w:ind w:left="360"/>
        <w:rPr>
          <w:rFonts w:ascii="Arial" w:hAnsi="Arial" w:cs="Arial"/>
          <w:bCs/>
          <w:sz w:val="20"/>
          <w:szCs w:val="20"/>
        </w:rPr>
      </w:pPr>
      <w:r w:rsidRPr="009D1AD4">
        <w:rPr>
          <w:rFonts w:ascii="Arial" w:hAnsi="Arial" w:cs="Arial"/>
          <w:b/>
          <w:bCs/>
          <w:sz w:val="20"/>
          <w:szCs w:val="20"/>
        </w:rPr>
        <w:t>C.</w:t>
      </w:r>
      <w:r w:rsidR="00055049">
        <w:rPr>
          <w:rFonts w:ascii="Arial" w:hAnsi="Arial" w:cs="Arial"/>
          <w:b/>
          <w:bCs/>
          <w:sz w:val="20"/>
          <w:szCs w:val="20"/>
        </w:rPr>
        <w:t xml:space="preserve"> </w:t>
      </w:r>
      <w:r w:rsidRPr="009D1AD4">
        <w:rPr>
          <w:rFonts w:ascii="Arial" w:hAnsi="Arial" w:cs="Arial"/>
          <w:b/>
          <w:bCs/>
          <w:sz w:val="20"/>
          <w:szCs w:val="20"/>
        </w:rPr>
        <w:t>Penalty Tax Hinges on Whether Employer Offers Coverage to Full-Time Employees</w:t>
      </w:r>
    </w:p>
    <w:p w14:paraId="09AFA077" w14:textId="5723AB85" w:rsidR="009F5C2B" w:rsidRPr="009D1AD4" w:rsidRDefault="00532658" w:rsidP="00532658">
      <w:pPr>
        <w:spacing w:after="200"/>
        <w:ind w:left="360"/>
        <w:rPr>
          <w:rFonts w:ascii="Arial" w:hAnsi="Arial" w:cs="Arial"/>
          <w:bCs/>
          <w:sz w:val="20"/>
          <w:szCs w:val="20"/>
        </w:rPr>
      </w:pPr>
      <w:r>
        <w:rPr>
          <w:rFonts w:ascii="Arial" w:hAnsi="Arial" w:cs="Arial"/>
          <w:bCs/>
          <w:sz w:val="20"/>
          <w:szCs w:val="20"/>
        </w:rPr>
        <w:t>…</w:t>
      </w:r>
    </w:p>
    <w:p w14:paraId="23232607" w14:textId="7B0DAEA5" w:rsidR="009F5C2B" w:rsidRPr="009D1AD4" w:rsidRDefault="009F5C2B" w:rsidP="00532658">
      <w:pPr>
        <w:spacing w:after="200"/>
        <w:ind w:left="360"/>
        <w:rPr>
          <w:rFonts w:ascii="Arial" w:hAnsi="Arial" w:cs="Arial"/>
          <w:bCs/>
          <w:sz w:val="20"/>
          <w:szCs w:val="20"/>
        </w:rPr>
      </w:pPr>
      <w:r w:rsidRPr="009D1AD4">
        <w:rPr>
          <w:rFonts w:ascii="Arial" w:hAnsi="Arial" w:cs="Arial"/>
          <w:b/>
          <w:bCs/>
          <w:sz w:val="20"/>
          <w:szCs w:val="20"/>
        </w:rPr>
        <w:t>ii.</w:t>
      </w:r>
      <w:r w:rsidR="00055049">
        <w:rPr>
          <w:rFonts w:ascii="Arial" w:hAnsi="Arial" w:cs="Arial"/>
          <w:b/>
          <w:bCs/>
          <w:sz w:val="20"/>
          <w:szCs w:val="20"/>
        </w:rPr>
        <w:t xml:space="preserve"> </w:t>
      </w:r>
      <w:r w:rsidRPr="009D1AD4">
        <w:rPr>
          <w:rFonts w:ascii="Arial" w:hAnsi="Arial" w:cs="Arial"/>
          <w:b/>
          <w:bCs/>
          <w:sz w:val="20"/>
          <w:szCs w:val="20"/>
        </w:rPr>
        <w:t>Student Employees</w:t>
      </w:r>
    </w:p>
    <w:p w14:paraId="623AED8C" w14:textId="4E115E4E" w:rsidR="009F5C2B" w:rsidRPr="009D1AD4" w:rsidRDefault="009F5C2B" w:rsidP="00532658">
      <w:pPr>
        <w:spacing w:after="200"/>
        <w:ind w:left="360"/>
        <w:rPr>
          <w:rFonts w:ascii="Arial" w:hAnsi="Arial" w:cs="Arial"/>
          <w:bCs/>
          <w:sz w:val="20"/>
          <w:szCs w:val="20"/>
        </w:rPr>
      </w:pPr>
      <w:r w:rsidRPr="009D1AD4">
        <w:rPr>
          <w:rFonts w:ascii="Arial" w:hAnsi="Arial" w:cs="Arial"/>
          <w:bCs/>
          <w:sz w:val="20"/>
          <w:szCs w:val="20"/>
        </w:rPr>
        <w:t xml:space="preserve">Commenters to the proposed regulations requested special rules for determining the hours of service of employees who are also students of an educational organization. </w:t>
      </w:r>
      <w:r w:rsidR="00532658">
        <w:rPr>
          <w:rFonts w:ascii="Arial" w:hAnsi="Arial" w:cs="Arial"/>
          <w:bCs/>
          <w:sz w:val="20"/>
          <w:szCs w:val="20"/>
        </w:rPr>
        <w:t>…</w:t>
      </w:r>
    </w:p>
    <w:p w14:paraId="751D4489" w14:textId="2B378A0D" w:rsidR="009F5C2B" w:rsidRPr="009D1AD4" w:rsidRDefault="009F5C2B" w:rsidP="00532658">
      <w:pPr>
        <w:spacing w:after="200"/>
        <w:ind w:left="360"/>
        <w:rPr>
          <w:rFonts w:ascii="Arial" w:hAnsi="Arial" w:cs="Arial"/>
          <w:bCs/>
          <w:sz w:val="20"/>
          <w:szCs w:val="20"/>
        </w:rPr>
      </w:pPr>
      <w:r w:rsidRPr="009D1AD4">
        <w:rPr>
          <w:rFonts w:ascii="Arial" w:hAnsi="Arial" w:cs="Arial"/>
          <w:bCs/>
          <w:sz w:val="20"/>
          <w:szCs w:val="20"/>
        </w:rPr>
        <w:t>In response, the final regulations provide that “hours of service” do not include hours of service performed by students in positions subsidized through the federal work study program or a substantially similar program of a state or a political subdivision of a state. However,</w:t>
      </w:r>
      <w:r w:rsidR="00055049">
        <w:rPr>
          <w:rFonts w:ascii="Arial" w:hAnsi="Arial" w:cs="Arial"/>
          <w:bCs/>
          <w:sz w:val="20"/>
          <w:szCs w:val="20"/>
        </w:rPr>
        <w:t xml:space="preserve"> </w:t>
      </w:r>
      <w:r w:rsidRPr="009D1AD4">
        <w:rPr>
          <w:rFonts w:ascii="Arial" w:hAnsi="Arial" w:cs="Arial"/>
          <w:bCs/>
          <w:sz w:val="20"/>
          <w:szCs w:val="20"/>
        </w:rPr>
        <w:t>the final regulations do not include a general exception for student employees.</w:t>
      </w:r>
      <w:r w:rsidR="00055049">
        <w:rPr>
          <w:rFonts w:ascii="Arial" w:hAnsi="Arial" w:cs="Arial"/>
          <w:bCs/>
          <w:sz w:val="20"/>
          <w:szCs w:val="20"/>
        </w:rPr>
        <w:t xml:space="preserve"> </w:t>
      </w:r>
      <w:r w:rsidRPr="009D1AD4">
        <w:rPr>
          <w:rFonts w:ascii="Arial" w:hAnsi="Arial" w:cs="Arial"/>
          <w:bCs/>
          <w:sz w:val="20"/>
          <w:szCs w:val="20"/>
        </w:rPr>
        <w:t>All hours of service for which a student employee</w:t>
      </w:r>
      <w:r w:rsidR="00055049">
        <w:rPr>
          <w:rFonts w:ascii="Arial" w:hAnsi="Arial" w:cs="Arial"/>
          <w:bCs/>
          <w:sz w:val="20"/>
          <w:szCs w:val="20"/>
        </w:rPr>
        <w:t xml:space="preserve"> </w:t>
      </w:r>
      <w:r w:rsidRPr="009D1AD4">
        <w:rPr>
          <w:rFonts w:ascii="Arial" w:hAnsi="Arial" w:cs="Arial"/>
          <w:bCs/>
          <w:sz w:val="20"/>
          <w:szCs w:val="20"/>
        </w:rPr>
        <w:t>of an educational organization (or</w:t>
      </w:r>
      <w:r w:rsidR="00055049">
        <w:rPr>
          <w:rFonts w:ascii="Arial" w:hAnsi="Arial" w:cs="Arial"/>
          <w:bCs/>
          <w:sz w:val="20"/>
          <w:szCs w:val="20"/>
        </w:rPr>
        <w:t xml:space="preserve"> </w:t>
      </w:r>
      <w:r w:rsidRPr="009D1AD4">
        <w:rPr>
          <w:rFonts w:ascii="Arial" w:hAnsi="Arial" w:cs="Arial"/>
          <w:bCs/>
          <w:sz w:val="20"/>
          <w:szCs w:val="20"/>
        </w:rPr>
        <w:t>of an outside employer)</w:t>
      </w:r>
      <w:r w:rsidR="00055049">
        <w:rPr>
          <w:rFonts w:ascii="Arial" w:hAnsi="Arial" w:cs="Arial"/>
          <w:bCs/>
          <w:sz w:val="20"/>
          <w:szCs w:val="20"/>
        </w:rPr>
        <w:t xml:space="preserve"> </w:t>
      </w:r>
      <w:r w:rsidRPr="009D1AD4">
        <w:rPr>
          <w:rFonts w:ascii="Arial" w:hAnsi="Arial" w:cs="Arial"/>
          <w:bCs/>
          <w:sz w:val="20"/>
          <w:szCs w:val="20"/>
        </w:rPr>
        <w:t>is paid or entitled to payment in a capacity other than through the federal work study program (or a state or local government's equivalent) are required to be counted as hours of service.</w:t>
      </w:r>
    </w:p>
    <w:p w14:paraId="43BB76B9" w14:textId="1D01AEDE" w:rsidR="009F5C2B" w:rsidRDefault="009F5C2B" w:rsidP="004C6CEA">
      <w:pPr>
        <w:spacing w:after="200"/>
        <w:rPr>
          <w:rFonts w:ascii="Arial" w:hAnsi="Arial" w:cs="Arial"/>
          <w:sz w:val="20"/>
          <w:szCs w:val="20"/>
        </w:rPr>
      </w:pPr>
    </w:p>
    <w:p w14:paraId="0E561BD0" w14:textId="77777777" w:rsidR="00354D6A" w:rsidRPr="009D1AD4" w:rsidRDefault="00354D6A" w:rsidP="004C6CEA">
      <w:pPr>
        <w:spacing w:after="200"/>
        <w:rPr>
          <w:rFonts w:ascii="Arial" w:hAnsi="Arial" w:cs="Arial"/>
          <w:sz w:val="20"/>
          <w:szCs w:val="20"/>
        </w:rPr>
      </w:pPr>
      <w:r w:rsidRPr="00C5063D">
        <w:rPr>
          <w:rFonts w:ascii="Arial" w:hAnsi="Arial" w:cs="Arial"/>
          <w:b/>
          <w:bCs/>
          <w:color w:val="001BBA"/>
          <w:sz w:val="22"/>
          <w:szCs w:val="22"/>
        </w:rPr>
        <w:t>Question:</w:t>
      </w:r>
      <w:r w:rsidRPr="009D1AD4">
        <w:rPr>
          <w:rFonts w:ascii="Arial" w:hAnsi="Arial" w:cs="Arial"/>
          <w:sz w:val="20"/>
          <w:szCs w:val="20"/>
        </w:rPr>
        <w:t xml:space="preserve"> One of our clients recently received an Employer Shared Responsibility Payment (ESRP) letter. What should the employer do?</w:t>
      </w:r>
    </w:p>
    <w:p w14:paraId="78DE620E" w14:textId="1C9ACCD7" w:rsidR="00354D6A" w:rsidRPr="009D1AD4" w:rsidRDefault="00354D6A" w:rsidP="004C6CEA">
      <w:pPr>
        <w:spacing w:after="200"/>
        <w:rPr>
          <w:rFonts w:ascii="Arial" w:hAnsi="Arial" w:cs="Arial"/>
          <w:sz w:val="20"/>
          <w:szCs w:val="20"/>
        </w:rPr>
      </w:pPr>
      <w:r w:rsidRPr="009D1AD4">
        <w:rPr>
          <w:rFonts w:ascii="Arial" w:hAnsi="Arial" w:cs="Arial"/>
          <w:b/>
          <w:sz w:val="20"/>
          <w:szCs w:val="20"/>
        </w:rPr>
        <w:t>Answer:</w:t>
      </w:r>
      <w:r w:rsidRPr="009D1AD4">
        <w:rPr>
          <w:rFonts w:ascii="Arial" w:hAnsi="Arial" w:cs="Arial"/>
          <w:sz w:val="20"/>
          <w:szCs w:val="20"/>
        </w:rPr>
        <w:t xml:space="preserve"> The employer should consult with its attorney as soon as possible about replying to the</w:t>
      </w:r>
      <w:r w:rsidR="00055049">
        <w:rPr>
          <w:rFonts w:ascii="Arial" w:hAnsi="Arial" w:cs="Arial"/>
          <w:sz w:val="20"/>
          <w:szCs w:val="20"/>
        </w:rPr>
        <w:t xml:space="preserve"> </w:t>
      </w:r>
      <w:r w:rsidRPr="009D1AD4">
        <w:rPr>
          <w:rFonts w:ascii="Arial" w:hAnsi="Arial" w:cs="Arial"/>
          <w:sz w:val="20"/>
          <w:szCs w:val="20"/>
        </w:rPr>
        <w:t>ESRP</w:t>
      </w:r>
      <w:r w:rsidR="00055049">
        <w:rPr>
          <w:rFonts w:ascii="Arial" w:hAnsi="Arial" w:cs="Arial"/>
          <w:sz w:val="20"/>
          <w:szCs w:val="20"/>
        </w:rPr>
        <w:t xml:space="preserve"> </w:t>
      </w:r>
      <w:r w:rsidRPr="009D1AD4">
        <w:rPr>
          <w:rFonts w:ascii="Arial" w:hAnsi="Arial" w:cs="Arial"/>
          <w:sz w:val="20"/>
          <w:szCs w:val="20"/>
        </w:rPr>
        <w:t>letter within the deadline on the letter. An employer would need its attorney to review its filings and determine what its response will be.</w:t>
      </w:r>
    </w:p>
    <w:p w14:paraId="6089AC44" w14:textId="738BEB9C" w:rsidR="00354D6A" w:rsidRPr="009D1AD4" w:rsidRDefault="00532658" w:rsidP="004C6CEA">
      <w:pPr>
        <w:spacing w:after="200"/>
        <w:rPr>
          <w:rFonts w:ascii="Arial" w:hAnsi="Arial" w:cs="Arial"/>
          <w:sz w:val="20"/>
          <w:szCs w:val="20"/>
        </w:rPr>
      </w:pPr>
      <w:r>
        <w:rPr>
          <w:rFonts w:ascii="Arial" w:hAnsi="Arial" w:cs="Arial"/>
          <w:sz w:val="20"/>
          <w:szCs w:val="20"/>
        </w:rPr>
        <w:t>O</w:t>
      </w:r>
      <w:r w:rsidR="00354D6A" w:rsidRPr="009D1AD4">
        <w:rPr>
          <w:rFonts w:ascii="Arial" w:hAnsi="Arial" w:cs="Arial"/>
          <w:sz w:val="20"/>
          <w:szCs w:val="20"/>
        </w:rPr>
        <w:t>ur UBA Advisor "</w:t>
      </w:r>
      <w:hyperlink r:id="rId79" w:history="1">
        <w:r w:rsidR="00354D6A" w:rsidRPr="00532658">
          <w:rPr>
            <w:rStyle w:val="Hyperlink"/>
          </w:rPr>
          <w:t>Understanding Your IRS Play-or-Pay Penalty Assessment Letter</w:t>
        </w:r>
      </w:hyperlink>
      <w:r w:rsidR="00354D6A" w:rsidRPr="009D1AD4">
        <w:rPr>
          <w:rFonts w:ascii="Arial" w:hAnsi="Arial" w:cs="Arial"/>
          <w:sz w:val="20"/>
          <w:szCs w:val="20"/>
        </w:rPr>
        <w:t>" answers common questions that an employer may have after it receives an</w:t>
      </w:r>
      <w:r w:rsidR="00055049">
        <w:rPr>
          <w:rFonts w:ascii="Arial" w:hAnsi="Arial" w:cs="Arial"/>
          <w:sz w:val="20"/>
          <w:szCs w:val="20"/>
        </w:rPr>
        <w:t xml:space="preserve"> </w:t>
      </w:r>
      <w:r w:rsidR="00354D6A" w:rsidRPr="009D1AD4">
        <w:rPr>
          <w:rFonts w:ascii="Arial" w:hAnsi="Arial" w:cs="Arial"/>
          <w:sz w:val="20"/>
          <w:szCs w:val="20"/>
        </w:rPr>
        <w:t>ESRP</w:t>
      </w:r>
      <w:r w:rsidR="00055049">
        <w:rPr>
          <w:rFonts w:ascii="Arial" w:hAnsi="Arial" w:cs="Arial"/>
          <w:sz w:val="20"/>
          <w:szCs w:val="20"/>
        </w:rPr>
        <w:t xml:space="preserve"> </w:t>
      </w:r>
      <w:r w:rsidR="00354D6A" w:rsidRPr="009D1AD4">
        <w:rPr>
          <w:rFonts w:ascii="Arial" w:hAnsi="Arial" w:cs="Arial"/>
          <w:sz w:val="20"/>
          <w:szCs w:val="20"/>
        </w:rPr>
        <w:t>letter.</w:t>
      </w:r>
    </w:p>
    <w:p w14:paraId="243B1B36" w14:textId="09FD7879" w:rsidR="00354D6A" w:rsidRPr="009D1AD4" w:rsidRDefault="00354D6A" w:rsidP="004C6CEA">
      <w:pPr>
        <w:spacing w:after="200"/>
        <w:rPr>
          <w:rFonts w:ascii="Arial" w:hAnsi="Arial" w:cs="Arial"/>
          <w:sz w:val="20"/>
          <w:szCs w:val="20"/>
        </w:rPr>
      </w:pPr>
      <w:r w:rsidRPr="009D1AD4">
        <w:rPr>
          <w:rFonts w:ascii="Arial" w:hAnsi="Arial" w:cs="Arial"/>
          <w:sz w:val="20"/>
          <w:szCs w:val="20"/>
        </w:rPr>
        <w:lastRenderedPageBreak/>
        <w:t>Also, during our February 2018 Quarterly Compliance Call, one of our UBA Legal and Compliance Committee members presented on</w:t>
      </w:r>
      <w:r w:rsidR="00055049">
        <w:rPr>
          <w:rFonts w:ascii="Arial" w:hAnsi="Arial" w:cs="Arial"/>
          <w:sz w:val="20"/>
          <w:szCs w:val="20"/>
        </w:rPr>
        <w:t xml:space="preserve"> </w:t>
      </w:r>
      <w:r w:rsidRPr="009D1AD4">
        <w:rPr>
          <w:rFonts w:ascii="Arial" w:hAnsi="Arial" w:cs="Arial"/>
          <w:sz w:val="20"/>
          <w:szCs w:val="20"/>
        </w:rPr>
        <w:t>ESRP letters. Our presenter indicated that brokers generally shouldn't be preparing clients' responses to</w:t>
      </w:r>
      <w:r w:rsidR="00055049">
        <w:rPr>
          <w:rFonts w:ascii="Arial" w:hAnsi="Arial" w:cs="Arial"/>
          <w:sz w:val="20"/>
          <w:szCs w:val="20"/>
        </w:rPr>
        <w:t xml:space="preserve"> </w:t>
      </w:r>
      <w:r w:rsidRPr="009D1AD4">
        <w:rPr>
          <w:rFonts w:ascii="Arial" w:hAnsi="Arial" w:cs="Arial"/>
          <w:sz w:val="20"/>
          <w:szCs w:val="20"/>
        </w:rPr>
        <w:t>ESRP</w:t>
      </w:r>
      <w:r w:rsidR="00055049">
        <w:rPr>
          <w:rFonts w:ascii="Arial" w:hAnsi="Arial" w:cs="Arial"/>
          <w:sz w:val="20"/>
          <w:szCs w:val="20"/>
        </w:rPr>
        <w:t xml:space="preserve"> </w:t>
      </w:r>
      <w:r w:rsidRPr="009D1AD4">
        <w:rPr>
          <w:rFonts w:ascii="Arial" w:hAnsi="Arial" w:cs="Arial"/>
          <w:sz w:val="20"/>
          <w:szCs w:val="20"/>
        </w:rPr>
        <w:t xml:space="preserve">letters because these are essentially tax issues that should be handled by an employer's attorney. The </w:t>
      </w:r>
      <w:r w:rsidR="00532658">
        <w:rPr>
          <w:rFonts w:ascii="Arial" w:hAnsi="Arial" w:cs="Arial"/>
          <w:sz w:val="20"/>
          <w:szCs w:val="20"/>
        </w:rPr>
        <w:t>presentation</w:t>
      </w:r>
      <w:r w:rsidRPr="009D1AD4">
        <w:rPr>
          <w:rFonts w:ascii="Arial" w:hAnsi="Arial" w:cs="Arial"/>
          <w:sz w:val="20"/>
          <w:szCs w:val="20"/>
        </w:rPr>
        <w:t xml:space="preserve"> and Quarterly Compliance Call recording are available on our Wisdom Network's Quarterly Compliance Call</w:t>
      </w:r>
      <w:r w:rsidR="00055049">
        <w:rPr>
          <w:rFonts w:ascii="Arial" w:hAnsi="Arial" w:cs="Arial"/>
          <w:sz w:val="20"/>
          <w:szCs w:val="20"/>
        </w:rPr>
        <w:t xml:space="preserve"> </w:t>
      </w:r>
      <w:hyperlink r:id="rId80" w:history="1">
        <w:r w:rsidRPr="009D1AD4">
          <w:rPr>
            <w:rStyle w:val="Hyperlink"/>
          </w:rPr>
          <w:t>webpage</w:t>
        </w:r>
      </w:hyperlink>
      <w:r w:rsidRPr="009D1AD4">
        <w:rPr>
          <w:rFonts w:ascii="Arial" w:hAnsi="Arial" w:cs="Arial"/>
          <w:sz w:val="20"/>
          <w:szCs w:val="20"/>
        </w:rPr>
        <w:t>.</w:t>
      </w:r>
    </w:p>
    <w:p w14:paraId="649E4367" w14:textId="66A2DF52" w:rsidR="00354D6A" w:rsidRDefault="00354D6A" w:rsidP="004C6CEA">
      <w:pPr>
        <w:spacing w:after="200"/>
        <w:rPr>
          <w:rFonts w:ascii="Arial" w:hAnsi="Arial" w:cs="Arial"/>
          <w:sz w:val="20"/>
          <w:szCs w:val="20"/>
        </w:rPr>
      </w:pPr>
    </w:p>
    <w:p w14:paraId="454D4E84" w14:textId="77777777" w:rsidR="00354D6A" w:rsidRPr="009D1AD4" w:rsidRDefault="00354D6A" w:rsidP="004C6CEA">
      <w:pPr>
        <w:spacing w:after="200"/>
        <w:rPr>
          <w:rFonts w:ascii="Arial" w:hAnsi="Arial" w:cs="Arial"/>
          <w:sz w:val="20"/>
          <w:szCs w:val="20"/>
        </w:rPr>
      </w:pPr>
      <w:r w:rsidRPr="00C5063D">
        <w:rPr>
          <w:rFonts w:ascii="Arial" w:hAnsi="Arial" w:cs="Arial"/>
          <w:b/>
          <w:bCs/>
          <w:color w:val="001BBA"/>
          <w:sz w:val="22"/>
          <w:szCs w:val="22"/>
        </w:rPr>
        <w:t>Question:</w:t>
      </w:r>
      <w:r w:rsidRPr="009D1AD4">
        <w:rPr>
          <w:rFonts w:ascii="Arial" w:hAnsi="Arial" w:cs="Arial"/>
          <w:b/>
          <w:sz w:val="20"/>
          <w:szCs w:val="20"/>
        </w:rPr>
        <w:t xml:space="preserve"> </w:t>
      </w:r>
      <w:r w:rsidRPr="009D1AD4">
        <w:rPr>
          <w:rFonts w:ascii="Arial" w:hAnsi="Arial" w:cs="Arial"/>
          <w:sz w:val="20"/>
          <w:szCs w:val="20"/>
        </w:rPr>
        <w:t>Under the Affordable Care Act (ACA), if an employer grows during the year, when must the employer offer coverage and report on coverage offered?</w:t>
      </w:r>
    </w:p>
    <w:p w14:paraId="141A8F51" w14:textId="77777777" w:rsidR="00532658" w:rsidRPr="009D1AD4" w:rsidRDefault="00532658" w:rsidP="00532658">
      <w:pPr>
        <w:spacing w:after="200"/>
        <w:rPr>
          <w:rFonts w:ascii="Arial" w:hAnsi="Arial" w:cs="Arial"/>
          <w:sz w:val="20"/>
          <w:szCs w:val="20"/>
        </w:rPr>
      </w:pPr>
      <w:r w:rsidRPr="009D1AD4">
        <w:rPr>
          <w:rFonts w:ascii="Arial" w:hAnsi="Arial" w:cs="Arial"/>
          <w:b/>
          <w:sz w:val="20"/>
          <w:szCs w:val="20"/>
        </w:rPr>
        <w:t>Answer:</w:t>
      </w:r>
      <w:r w:rsidRPr="009D1AD4">
        <w:rPr>
          <w:rFonts w:ascii="Arial" w:hAnsi="Arial" w:cs="Arial"/>
          <w:sz w:val="20"/>
          <w:szCs w:val="20"/>
        </w:rPr>
        <w:t xml:space="preserve"> The employer will need to determine its average number of full-time / full-time equivalent employees for the calendar year. Under the ACA, an employer is an applicable large employer (ALE) for a calendar year if it employed an average of at least 50 full-time or full-time equivalent employees during the prior calendar year.</w:t>
      </w:r>
    </w:p>
    <w:p w14:paraId="59F8E2DA" w14:textId="73786224" w:rsidR="00532658" w:rsidRPr="009D1AD4" w:rsidRDefault="00532658" w:rsidP="00532658">
      <w:pPr>
        <w:spacing w:after="200"/>
        <w:rPr>
          <w:rFonts w:ascii="Arial" w:hAnsi="Arial" w:cs="Arial"/>
          <w:sz w:val="20"/>
          <w:szCs w:val="20"/>
        </w:rPr>
      </w:pPr>
      <w:r w:rsidRPr="009D1AD4">
        <w:rPr>
          <w:rFonts w:ascii="Arial" w:hAnsi="Arial" w:cs="Arial"/>
          <w:sz w:val="20"/>
          <w:szCs w:val="20"/>
        </w:rPr>
        <w:t>The ALE</w:t>
      </w:r>
      <w:r w:rsidR="00055049">
        <w:rPr>
          <w:rFonts w:ascii="Arial" w:hAnsi="Arial" w:cs="Arial"/>
          <w:sz w:val="20"/>
          <w:szCs w:val="20"/>
        </w:rPr>
        <w:t xml:space="preserve"> </w:t>
      </w:r>
      <w:r w:rsidRPr="009D1AD4">
        <w:rPr>
          <w:rFonts w:ascii="Arial" w:hAnsi="Arial" w:cs="Arial"/>
          <w:sz w:val="20"/>
          <w:szCs w:val="20"/>
        </w:rPr>
        <w:t xml:space="preserve">determination is a </w:t>
      </w:r>
      <w:r>
        <w:rPr>
          <w:rFonts w:ascii="Arial" w:hAnsi="Arial" w:cs="Arial"/>
          <w:sz w:val="20"/>
          <w:szCs w:val="20"/>
        </w:rPr>
        <w:t>three</w:t>
      </w:r>
      <w:r w:rsidRPr="009D1AD4">
        <w:rPr>
          <w:rFonts w:ascii="Arial" w:hAnsi="Arial" w:cs="Arial"/>
          <w:sz w:val="20"/>
          <w:szCs w:val="20"/>
        </w:rPr>
        <w:t>-year cycle. For example, an employer's size, calculated at the conclusion of 2018 determines its obligations for 2019, which it</w:t>
      </w:r>
      <w:r w:rsidR="00055049">
        <w:rPr>
          <w:rFonts w:ascii="Arial" w:hAnsi="Arial" w:cs="Arial"/>
          <w:sz w:val="20"/>
          <w:szCs w:val="20"/>
        </w:rPr>
        <w:t xml:space="preserve"> </w:t>
      </w:r>
      <w:r w:rsidRPr="009D1AD4">
        <w:rPr>
          <w:rFonts w:ascii="Arial" w:hAnsi="Arial" w:cs="Arial"/>
          <w:sz w:val="20"/>
          <w:szCs w:val="20"/>
        </w:rPr>
        <w:t>reports on in 2020.</w:t>
      </w:r>
    </w:p>
    <w:p w14:paraId="3C23A986" w14:textId="42B7DF4F" w:rsidR="00532658" w:rsidRPr="00A56DAE" w:rsidRDefault="00532658" w:rsidP="00532658">
      <w:pPr>
        <w:spacing w:after="200"/>
        <w:rPr>
          <w:rFonts w:ascii="Arial" w:hAnsi="Arial" w:cs="Arial"/>
          <w:spacing w:val="-2"/>
          <w:sz w:val="20"/>
          <w:szCs w:val="20"/>
        </w:rPr>
      </w:pPr>
      <w:r w:rsidRPr="00A56DAE">
        <w:rPr>
          <w:rFonts w:ascii="Arial" w:hAnsi="Arial" w:cs="Arial"/>
          <w:spacing w:val="-2"/>
          <w:sz w:val="20"/>
          <w:szCs w:val="20"/>
        </w:rPr>
        <w:t>If 2018 is the first time that a company is an ALE, then the company will have until April 1, 2019, to</w:t>
      </w:r>
      <w:r w:rsidR="00055049" w:rsidRPr="00A56DAE">
        <w:rPr>
          <w:rFonts w:ascii="Arial" w:hAnsi="Arial" w:cs="Arial"/>
          <w:spacing w:val="-2"/>
          <w:sz w:val="20"/>
          <w:szCs w:val="20"/>
        </w:rPr>
        <w:t xml:space="preserve"> </w:t>
      </w:r>
      <w:r w:rsidRPr="00A56DAE">
        <w:rPr>
          <w:rFonts w:ascii="Arial" w:hAnsi="Arial" w:cs="Arial"/>
          <w:spacing w:val="-2"/>
          <w:sz w:val="20"/>
          <w:szCs w:val="20"/>
        </w:rPr>
        <w:t>offer</w:t>
      </w:r>
      <w:r w:rsidR="00055049" w:rsidRPr="00A56DAE">
        <w:rPr>
          <w:rFonts w:ascii="Arial" w:hAnsi="Arial" w:cs="Arial"/>
          <w:spacing w:val="-2"/>
          <w:sz w:val="20"/>
          <w:szCs w:val="20"/>
        </w:rPr>
        <w:t xml:space="preserve"> </w:t>
      </w:r>
      <w:r w:rsidRPr="00A56DAE">
        <w:rPr>
          <w:rFonts w:ascii="Arial" w:hAnsi="Arial" w:cs="Arial"/>
          <w:spacing w:val="-2"/>
          <w:sz w:val="20"/>
          <w:szCs w:val="20"/>
        </w:rPr>
        <w:t>coverage. If the company has individuals who are currently full-time employees and the company</w:t>
      </w:r>
      <w:r w:rsidR="00055049" w:rsidRPr="00A56DAE">
        <w:rPr>
          <w:rFonts w:ascii="Arial" w:hAnsi="Arial" w:cs="Arial"/>
          <w:spacing w:val="-2"/>
          <w:sz w:val="20"/>
          <w:szCs w:val="20"/>
        </w:rPr>
        <w:t xml:space="preserve"> </w:t>
      </w:r>
      <w:r w:rsidRPr="00A56DAE">
        <w:rPr>
          <w:rFonts w:ascii="Arial" w:hAnsi="Arial" w:cs="Arial"/>
          <w:spacing w:val="-2"/>
          <w:sz w:val="20"/>
          <w:szCs w:val="20"/>
        </w:rPr>
        <w:t>offers a group health plan, then the company must</w:t>
      </w:r>
      <w:r w:rsidR="00055049" w:rsidRPr="00A56DAE">
        <w:rPr>
          <w:rFonts w:ascii="Arial" w:hAnsi="Arial" w:cs="Arial"/>
          <w:spacing w:val="-2"/>
          <w:sz w:val="20"/>
          <w:szCs w:val="20"/>
        </w:rPr>
        <w:t xml:space="preserve"> </w:t>
      </w:r>
      <w:r w:rsidRPr="00A56DAE">
        <w:rPr>
          <w:rFonts w:ascii="Arial" w:hAnsi="Arial" w:cs="Arial"/>
          <w:spacing w:val="-2"/>
          <w:sz w:val="20"/>
          <w:szCs w:val="20"/>
        </w:rPr>
        <w:t>offer</w:t>
      </w:r>
      <w:r w:rsidR="00055049" w:rsidRPr="00A56DAE">
        <w:rPr>
          <w:rFonts w:ascii="Arial" w:hAnsi="Arial" w:cs="Arial"/>
          <w:spacing w:val="-2"/>
          <w:sz w:val="20"/>
          <w:szCs w:val="20"/>
        </w:rPr>
        <w:t xml:space="preserve"> </w:t>
      </w:r>
      <w:r w:rsidRPr="00A56DAE">
        <w:rPr>
          <w:rFonts w:ascii="Arial" w:hAnsi="Arial" w:cs="Arial"/>
          <w:spacing w:val="-2"/>
          <w:sz w:val="20"/>
          <w:szCs w:val="20"/>
        </w:rPr>
        <w:t>coverage to those full-time employees on</w:t>
      </w:r>
      <w:r w:rsidR="00055049" w:rsidRPr="00A56DAE">
        <w:rPr>
          <w:rFonts w:ascii="Arial" w:hAnsi="Arial" w:cs="Arial"/>
          <w:spacing w:val="-2"/>
          <w:sz w:val="20"/>
          <w:szCs w:val="20"/>
        </w:rPr>
        <w:t xml:space="preserve"> </w:t>
      </w:r>
      <w:r w:rsidRPr="00A56DAE">
        <w:rPr>
          <w:rFonts w:ascii="Arial" w:hAnsi="Arial" w:cs="Arial"/>
          <w:spacing w:val="-2"/>
          <w:sz w:val="20"/>
          <w:szCs w:val="20"/>
        </w:rPr>
        <w:t>January 1, 2019.</w:t>
      </w:r>
    </w:p>
    <w:p w14:paraId="3F2B5BD6" w14:textId="77777777" w:rsidR="00532658" w:rsidRPr="009D1AD4" w:rsidRDefault="00532658" w:rsidP="00532658">
      <w:pPr>
        <w:spacing w:after="200"/>
        <w:rPr>
          <w:rFonts w:ascii="Arial" w:hAnsi="Arial" w:cs="Arial"/>
          <w:sz w:val="20"/>
          <w:szCs w:val="20"/>
        </w:rPr>
      </w:pPr>
      <w:r w:rsidRPr="009D1AD4">
        <w:rPr>
          <w:rFonts w:ascii="Arial" w:hAnsi="Arial" w:cs="Arial"/>
          <w:sz w:val="20"/>
          <w:szCs w:val="20"/>
        </w:rPr>
        <w:t>From our UBA Advisor “</w:t>
      </w:r>
      <w:hyperlink r:id="rId81" w:history="1">
        <w:r w:rsidRPr="002152AC">
          <w:rPr>
            <w:rStyle w:val="Hyperlink"/>
          </w:rPr>
          <w:t>The Play-or-Pay Penalty and Counting Employees Under the ACA</w:t>
        </w:r>
      </w:hyperlink>
      <w:r w:rsidRPr="009D1AD4">
        <w:rPr>
          <w:rFonts w:ascii="Arial" w:hAnsi="Arial" w:cs="Arial"/>
          <w:sz w:val="20"/>
          <w:szCs w:val="20"/>
        </w:rPr>
        <w:t>”:</w:t>
      </w:r>
    </w:p>
    <w:p w14:paraId="7D6EF8A1" w14:textId="77777777" w:rsidR="00532658" w:rsidRPr="009D1AD4" w:rsidRDefault="00532658" w:rsidP="00532658">
      <w:pPr>
        <w:spacing w:after="200"/>
        <w:ind w:left="360"/>
        <w:rPr>
          <w:rFonts w:ascii="Arial" w:hAnsi="Arial" w:cs="Arial"/>
          <w:sz w:val="20"/>
          <w:szCs w:val="20"/>
        </w:rPr>
      </w:pPr>
      <w:r w:rsidRPr="009D1AD4">
        <w:rPr>
          <w:rFonts w:ascii="Arial" w:hAnsi="Arial" w:cs="Arial"/>
          <w:b/>
          <w:bCs/>
          <w:sz w:val="20"/>
          <w:szCs w:val="20"/>
        </w:rPr>
        <w:t>Q33: What happens if an employer grows during the year?</w:t>
      </w:r>
    </w:p>
    <w:p w14:paraId="25453B2A" w14:textId="77777777" w:rsidR="00532658" w:rsidRPr="009D1AD4" w:rsidRDefault="00532658" w:rsidP="00532658">
      <w:pPr>
        <w:spacing w:after="200"/>
        <w:ind w:left="360"/>
        <w:rPr>
          <w:rFonts w:ascii="Arial" w:hAnsi="Arial" w:cs="Arial"/>
          <w:sz w:val="20"/>
          <w:szCs w:val="20"/>
        </w:rPr>
      </w:pPr>
      <w:r w:rsidRPr="009D1AD4">
        <w:rPr>
          <w:rFonts w:ascii="Arial" w:hAnsi="Arial" w:cs="Arial"/>
          <w:sz w:val="20"/>
          <w:szCs w:val="20"/>
        </w:rPr>
        <w:t>A33: Large-employer status is on a calendar-year basis, based on the average number of employees during the prior calendar year. If an existing employer that was below the 50 (or 100) employee threshold grows during a calendar year, it will not have to offer coverage until the next calendar year.</w:t>
      </w:r>
    </w:p>
    <w:p w14:paraId="6BFB8BB4" w14:textId="77777777" w:rsidR="00532658" w:rsidRPr="009D1AD4" w:rsidRDefault="00532658" w:rsidP="00532658">
      <w:pPr>
        <w:spacing w:after="200"/>
        <w:ind w:left="360"/>
        <w:rPr>
          <w:rFonts w:ascii="Arial" w:hAnsi="Arial" w:cs="Arial"/>
          <w:sz w:val="20"/>
          <w:szCs w:val="20"/>
        </w:rPr>
      </w:pPr>
      <w:r w:rsidRPr="009D1AD4">
        <w:rPr>
          <w:rFonts w:ascii="Arial" w:hAnsi="Arial" w:cs="Arial"/>
          <w:sz w:val="20"/>
          <w:szCs w:val="20"/>
        </w:rPr>
        <w:t>In addition, if an employer first becomes “large,” it will have until April 1 following the year in which it becomes large to offer coverage. This special rule is only available once, even if the employer moves back and forth between large and small status.</w:t>
      </w:r>
    </w:p>
    <w:p w14:paraId="115E3611" w14:textId="05620E45" w:rsidR="00354D6A" w:rsidRDefault="00354D6A" w:rsidP="004C6CEA">
      <w:pPr>
        <w:spacing w:after="200"/>
        <w:rPr>
          <w:rFonts w:ascii="Arial" w:hAnsi="Arial" w:cs="Arial"/>
          <w:sz w:val="20"/>
          <w:szCs w:val="20"/>
        </w:rPr>
      </w:pPr>
    </w:p>
    <w:p w14:paraId="614E221D" w14:textId="77777777" w:rsidR="00354D6A" w:rsidRPr="009D1AD4" w:rsidRDefault="00354D6A" w:rsidP="004C6CEA">
      <w:pPr>
        <w:spacing w:after="200"/>
        <w:rPr>
          <w:rFonts w:ascii="Arial" w:hAnsi="Arial" w:cs="Arial"/>
          <w:sz w:val="20"/>
          <w:szCs w:val="20"/>
        </w:rPr>
      </w:pPr>
      <w:r w:rsidRPr="00C5063D">
        <w:rPr>
          <w:rFonts w:ascii="Arial" w:hAnsi="Arial" w:cs="Arial"/>
          <w:b/>
          <w:bCs/>
          <w:color w:val="001BBA"/>
          <w:sz w:val="22"/>
          <w:szCs w:val="22"/>
        </w:rPr>
        <w:t>Question:</w:t>
      </w:r>
      <w:r w:rsidRPr="009D1AD4">
        <w:rPr>
          <w:rFonts w:ascii="Arial" w:hAnsi="Arial" w:cs="Arial"/>
          <w:sz w:val="20"/>
          <w:szCs w:val="20"/>
        </w:rPr>
        <w:t xml:space="preserve"> What are the penalties for failing to file a correct information return or failing to furnish a correct payee statement under the play-or-pay rules?</w:t>
      </w:r>
    </w:p>
    <w:p w14:paraId="0D7F8C27" w14:textId="77777777" w:rsidR="00354D6A" w:rsidRPr="009D1AD4" w:rsidRDefault="00354D6A" w:rsidP="004C6CEA">
      <w:pPr>
        <w:spacing w:after="200"/>
        <w:rPr>
          <w:rFonts w:ascii="Arial" w:hAnsi="Arial" w:cs="Arial"/>
          <w:sz w:val="20"/>
          <w:szCs w:val="20"/>
        </w:rPr>
      </w:pPr>
      <w:r w:rsidRPr="009D1AD4">
        <w:rPr>
          <w:rFonts w:ascii="Arial" w:hAnsi="Arial" w:cs="Arial"/>
          <w:b/>
          <w:sz w:val="20"/>
          <w:szCs w:val="20"/>
        </w:rPr>
        <w:t>Answer:</w:t>
      </w:r>
      <w:r w:rsidRPr="009D1AD4">
        <w:rPr>
          <w:rFonts w:ascii="Arial" w:hAnsi="Arial" w:cs="Arial"/>
          <w:sz w:val="20"/>
          <w:szCs w:val="20"/>
        </w:rPr>
        <w:t xml:space="preserve"> Generally, the penalty for failing to file an information return is $250 per return and the penalty for failing to provide a correct payee statement is $250 per statement.</w:t>
      </w:r>
    </w:p>
    <w:p w14:paraId="6A696693" w14:textId="1EE75611" w:rsidR="00354D6A" w:rsidRPr="009D1AD4" w:rsidRDefault="00354D6A" w:rsidP="004C6CEA">
      <w:pPr>
        <w:spacing w:after="200"/>
        <w:rPr>
          <w:rFonts w:ascii="Arial" w:hAnsi="Arial" w:cs="Arial"/>
          <w:sz w:val="20"/>
          <w:szCs w:val="20"/>
        </w:rPr>
      </w:pPr>
      <w:r w:rsidRPr="009D1AD4">
        <w:rPr>
          <w:rFonts w:ascii="Arial" w:hAnsi="Arial" w:cs="Arial"/>
          <w:sz w:val="20"/>
          <w:szCs w:val="20"/>
        </w:rPr>
        <w:t>From the IRS’</w:t>
      </w:r>
      <w:r w:rsidR="00055049">
        <w:rPr>
          <w:rFonts w:ascii="Arial" w:hAnsi="Arial" w:cs="Arial"/>
          <w:sz w:val="20"/>
          <w:szCs w:val="20"/>
        </w:rPr>
        <w:t xml:space="preserve"> </w:t>
      </w:r>
      <w:hyperlink r:id="rId82" w:history="1">
        <w:r w:rsidRPr="009D1AD4">
          <w:rPr>
            <w:rStyle w:val="Hyperlink"/>
          </w:rPr>
          <w:t>Information Reporting by Applicable Large Employers</w:t>
        </w:r>
      </w:hyperlink>
      <w:r w:rsidRPr="009D1AD4">
        <w:rPr>
          <w:rFonts w:ascii="Arial" w:hAnsi="Arial" w:cs="Arial"/>
          <w:sz w:val="20"/>
          <w:szCs w:val="20"/>
        </w:rPr>
        <w:t>:</w:t>
      </w:r>
    </w:p>
    <w:p w14:paraId="1F13C2B6" w14:textId="77777777" w:rsidR="00354D6A" w:rsidRPr="009D1AD4" w:rsidRDefault="00354D6A" w:rsidP="004C6CEA">
      <w:pPr>
        <w:spacing w:after="200"/>
        <w:rPr>
          <w:rFonts w:ascii="Arial" w:hAnsi="Arial" w:cs="Arial"/>
          <w:sz w:val="20"/>
          <w:szCs w:val="20"/>
        </w:rPr>
      </w:pPr>
      <w:r w:rsidRPr="009D1AD4">
        <w:rPr>
          <w:rFonts w:ascii="Arial" w:hAnsi="Arial" w:cs="Arial"/>
          <w:b/>
          <w:bCs/>
          <w:sz w:val="20"/>
          <w:szCs w:val="20"/>
        </w:rPr>
        <w:t>Information Reporting Penalties</w:t>
      </w:r>
    </w:p>
    <w:p w14:paraId="22901D91" w14:textId="77777777" w:rsidR="00354D6A" w:rsidRPr="009D1AD4" w:rsidRDefault="00354D6A" w:rsidP="004C6CEA">
      <w:pPr>
        <w:spacing w:after="200"/>
        <w:rPr>
          <w:rFonts w:ascii="Arial" w:hAnsi="Arial" w:cs="Arial"/>
          <w:sz w:val="20"/>
          <w:szCs w:val="20"/>
        </w:rPr>
      </w:pPr>
      <w:r w:rsidRPr="009D1AD4">
        <w:rPr>
          <w:rFonts w:ascii="Arial" w:hAnsi="Arial" w:cs="Arial"/>
          <w:sz w:val="20"/>
          <w:szCs w:val="20"/>
        </w:rPr>
        <w:t>An ALE Member that fails to comply with the information reporting requirements may be subject to the general reporting penalty provisions under section 6721 (failure to file correct information returns) and section 6722 (failure to furnish correct payee statement).</w:t>
      </w:r>
    </w:p>
    <w:p w14:paraId="3EC8E138" w14:textId="2D1CA611" w:rsidR="00354D6A" w:rsidRPr="009D1AD4" w:rsidRDefault="00354D6A" w:rsidP="004C6CEA">
      <w:pPr>
        <w:pStyle w:val="ListParagraph"/>
        <w:numPr>
          <w:ilvl w:val="0"/>
          <w:numId w:val="3"/>
        </w:numPr>
        <w:spacing w:after="200"/>
        <w:contextualSpacing w:val="0"/>
        <w:rPr>
          <w:rFonts w:ascii="Arial" w:hAnsi="Arial" w:cs="Arial"/>
          <w:sz w:val="20"/>
          <w:szCs w:val="20"/>
        </w:rPr>
      </w:pPr>
      <w:r w:rsidRPr="009D1AD4">
        <w:rPr>
          <w:rFonts w:ascii="Arial" w:hAnsi="Arial" w:cs="Arial"/>
          <w:sz w:val="20"/>
          <w:szCs w:val="20"/>
        </w:rPr>
        <w:t>The penalty for failure to file an information return generally is $100 for each return for which such</w:t>
      </w:r>
      <w:r w:rsidR="00A56DAE">
        <w:rPr>
          <w:rFonts w:ascii="Arial" w:hAnsi="Arial" w:cs="Arial"/>
          <w:sz w:val="20"/>
          <w:szCs w:val="20"/>
        </w:rPr>
        <w:t> </w:t>
      </w:r>
      <w:r w:rsidRPr="009D1AD4">
        <w:rPr>
          <w:rFonts w:ascii="Arial" w:hAnsi="Arial" w:cs="Arial"/>
          <w:sz w:val="20"/>
          <w:szCs w:val="20"/>
        </w:rPr>
        <w:t>failure occurs.</w:t>
      </w:r>
      <w:r>
        <w:rPr>
          <w:rFonts w:ascii="Arial" w:hAnsi="Arial" w:cs="Arial"/>
          <w:sz w:val="20"/>
          <w:szCs w:val="20"/>
        </w:rPr>
        <w:t xml:space="preserve"> </w:t>
      </w:r>
      <w:r w:rsidRPr="009D1AD4">
        <w:rPr>
          <w:rFonts w:ascii="Arial" w:hAnsi="Arial" w:cs="Arial"/>
          <w:sz w:val="20"/>
          <w:szCs w:val="20"/>
        </w:rPr>
        <w:t>The total penalty imposed for all failures during a calendar year cannot exceed $1,500,000.</w:t>
      </w:r>
    </w:p>
    <w:p w14:paraId="3B74FA6F" w14:textId="77777777" w:rsidR="00354D6A" w:rsidRPr="009D1AD4" w:rsidRDefault="00354D6A" w:rsidP="004C6CEA">
      <w:pPr>
        <w:pStyle w:val="ListParagraph"/>
        <w:numPr>
          <w:ilvl w:val="0"/>
          <w:numId w:val="3"/>
        </w:numPr>
        <w:spacing w:after="200"/>
        <w:contextualSpacing w:val="0"/>
        <w:rPr>
          <w:rFonts w:ascii="Arial" w:hAnsi="Arial" w:cs="Arial"/>
          <w:sz w:val="20"/>
          <w:szCs w:val="20"/>
        </w:rPr>
      </w:pPr>
      <w:r w:rsidRPr="009D1AD4">
        <w:rPr>
          <w:rFonts w:ascii="Arial" w:hAnsi="Arial" w:cs="Arial"/>
          <w:sz w:val="20"/>
          <w:szCs w:val="20"/>
        </w:rPr>
        <w:t xml:space="preserve">For returns required to be filed after December 31, 2015, the penalty for failure to file an information return generally is increased from $100 to $250 for each return for which such failure </w:t>
      </w:r>
      <w:r w:rsidRPr="009D1AD4">
        <w:rPr>
          <w:rFonts w:ascii="Arial" w:hAnsi="Arial" w:cs="Arial"/>
          <w:sz w:val="20"/>
          <w:szCs w:val="20"/>
        </w:rPr>
        <w:lastRenderedPageBreak/>
        <w:t>occurs.</w:t>
      </w:r>
      <w:r>
        <w:rPr>
          <w:rFonts w:ascii="Arial" w:hAnsi="Arial" w:cs="Arial"/>
          <w:sz w:val="20"/>
          <w:szCs w:val="20"/>
        </w:rPr>
        <w:t xml:space="preserve"> </w:t>
      </w:r>
      <w:r w:rsidRPr="009D1AD4">
        <w:rPr>
          <w:rFonts w:ascii="Arial" w:hAnsi="Arial" w:cs="Arial"/>
          <w:sz w:val="20"/>
          <w:szCs w:val="20"/>
        </w:rPr>
        <w:t>The total penalty imposed for all failures during a calendar year after December 15, 2015 cannot exceed $3,000,000.</w:t>
      </w:r>
    </w:p>
    <w:p w14:paraId="11B84D0B" w14:textId="77777777" w:rsidR="00354D6A" w:rsidRPr="00A56DAE" w:rsidRDefault="00354D6A" w:rsidP="004C6CEA">
      <w:pPr>
        <w:pStyle w:val="ListParagraph"/>
        <w:numPr>
          <w:ilvl w:val="0"/>
          <w:numId w:val="3"/>
        </w:numPr>
        <w:spacing w:after="200"/>
        <w:contextualSpacing w:val="0"/>
        <w:rPr>
          <w:rFonts w:ascii="Arial" w:hAnsi="Arial" w:cs="Arial"/>
          <w:spacing w:val="-2"/>
          <w:sz w:val="20"/>
          <w:szCs w:val="20"/>
        </w:rPr>
      </w:pPr>
      <w:r w:rsidRPr="00A56DAE">
        <w:rPr>
          <w:rFonts w:ascii="Arial" w:hAnsi="Arial" w:cs="Arial"/>
          <w:spacing w:val="-2"/>
          <w:sz w:val="20"/>
          <w:szCs w:val="20"/>
        </w:rPr>
        <w:t>The penalty for failure to provide a correct payee statement is $100 for each statement with respect to which such failure occurs, with the total penalty for a calendar year not to exceed $1,500,000.</w:t>
      </w:r>
    </w:p>
    <w:p w14:paraId="667054DE" w14:textId="77777777" w:rsidR="00354D6A" w:rsidRPr="009D1AD4" w:rsidRDefault="00354D6A" w:rsidP="004C6CEA">
      <w:pPr>
        <w:pStyle w:val="ListParagraph"/>
        <w:numPr>
          <w:ilvl w:val="0"/>
          <w:numId w:val="3"/>
        </w:numPr>
        <w:spacing w:after="200"/>
        <w:contextualSpacing w:val="0"/>
        <w:rPr>
          <w:rFonts w:ascii="Arial" w:hAnsi="Arial" w:cs="Arial"/>
          <w:sz w:val="20"/>
          <w:szCs w:val="20"/>
        </w:rPr>
      </w:pPr>
      <w:r w:rsidRPr="009D1AD4">
        <w:rPr>
          <w:rFonts w:ascii="Arial" w:hAnsi="Arial" w:cs="Arial"/>
          <w:sz w:val="20"/>
          <w:szCs w:val="20"/>
        </w:rPr>
        <w:t>The penalty for failure to provide a correct payee statement is increased from $100 to $250 for each statement for which the failure occurs, with the total penalty for a calendar year not to exceed $3,000,000.</w:t>
      </w:r>
      <w:r>
        <w:rPr>
          <w:rFonts w:ascii="Arial" w:hAnsi="Arial" w:cs="Arial"/>
          <w:sz w:val="20"/>
          <w:szCs w:val="20"/>
        </w:rPr>
        <w:t xml:space="preserve"> </w:t>
      </w:r>
      <w:r w:rsidRPr="009D1AD4">
        <w:rPr>
          <w:rFonts w:ascii="Arial" w:hAnsi="Arial" w:cs="Arial"/>
          <w:sz w:val="20"/>
          <w:szCs w:val="20"/>
        </w:rPr>
        <w:t>The increased penalty amount applies to statements required to be provided after December 31, 2015.</w:t>
      </w:r>
    </w:p>
    <w:p w14:paraId="7E74B97D" w14:textId="77777777" w:rsidR="00354D6A" w:rsidRPr="009D1AD4" w:rsidRDefault="00354D6A" w:rsidP="004C6CEA">
      <w:pPr>
        <w:pStyle w:val="ListParagraph"/>
        <w:numPr>
          <w:ilvl w:val="0"/>
          <w:numId w:val="3"/>
        </w:numPr>
        <w:spacing w:after="200"/>
        <w:contextualSpacing w:val="0"/>
        <w:rPr>
          <w:rFonts w:ascii="Arial" w:hAnsi="Arial" w:cs="Arial"/>
          <w:sz w:val="20"/>
          <w:szCs w:val="20"/>
        </w:rPr>
      </w:pPr>
      <w:r w:rsidRPr="009D1AD4">
        <w:rPr>
          <w:rFonts w:ascii="Arial" w:hAnsi="Arial" w:cs="Arial"/>
          <w:sz w:val="20"/>
          <w:szCs w:val="20"/>
        </w:rPr>
        <w:t>Special rules apply that increase the per-statement and total penalties if there is intentional disregard of the requirement to furnish a payee statement.</w:t>
      </w:r>
    </w:p>
    <w:p w14:paraId="26126687" w14:textId="77777777" w:rsidR="00354D6A" w:rsidRPr="009D1AD4" w:rsidRDefault="00354D6A" w:rsidP="004C6CEA">
      <w:pPr>
        <w:spacing w:after="200"/>
        <w:rPr>
          <w:rFonts w:ascii="Arial" w:hAnsi="Arial" w:cs="Arial"/>
          <w:sz w:val="20"/>
          <w:szCs w:val="20"/>
        </w:rPr>
      </w:pPr>
      <w:r w:rsidRPr="009D1AD4">
        <w:rPr>
          <w:rFonts w:ascii="Arial" w:hAnsi="Arial" w:cs="Arial"/>
          <w:sz w:val="20"/>
          <w:szCs w:val="20"/>
        </w:rPr>
        <w:t>The waiver of penalty and special rules under section 6724 and the applicable regulations, including abatement of information return penalties for reasonable cause, may apply to certain failures under section 6721 or 6722.</w:t>
      </w:r>
    </w:p>
    <w:p w14:paraId="1DCA190D" w14:textId="77777777" w:rsidR="00354D6A" w:rsidRDefault="00354D6A" w:rsidP="004C6CEA">
      <w:pPr>
        <w:spacing w:after="200"/>
        <w:rPr>
          <w:rFonts w:ascii="Arial" w:hAnsi="Arial" w:cs="Arial"/>
          <w:sz w:val="20"/>
          <w:szCs w:val="20"/>
        </w:rPr>
      </w:pPr>
    </w:p>
    <w:tbl>
      <w:tblPr>
        <w:tblW w:w="9360" w:type="dxa"/>
        <w:shd w:val="clear" w:color="auto" w:fill="001BBA"/>
        <w:tblCellMar>
          <w:top w:w="86" w:type="dxa"/>
          <w:left w:w="115" w:type="dxa"/>
          <w:bottom w:w="86" w:type="dxa"/>
          <w:right w:w="115" w:type="dxa"/>
        </w:tblCellMar>
        <w:tblLook w:val="01E0" w:firstRow="1" w:lastRow="1" w:firstColumn="1" w:lastColumn="1" w:noHBand="0" w:noVBand="0"/>
      </w:tblPr>
      <w:tblGrid>
        <w:gridCol w:w="9360"/>
      </w:tblGrid>
      <w:tr w:rsidR="00FE74CA" w:rsidRPr="00C04F07" w14:paraId="3C71D227" w14:textId="77777777" w:rsidTr="00A14E50">
        <w:trPr>
          <w:trHeight w:val="144"/>
        </w:trPr>
        <w:tc>
          <w:tcPr>
            <w:tcW w:w="9360" w:type="dxa"/>
            <w:shd w:val="clear" w:color="auto" w:fill="001BBA"/>
            <w:vAlign w:val="center"/>
          </w:tcPr>
          <w:p w14:paraId="1D22004A" w14:textId="412B7511" w:rsidR="00FE74CA" w:rsidRPr="00C04F07" w:rsidRDefault="00FE74CA" w:rsidP="00A14E50">
            <w:pPr>
              <w:pStyle w:val="Heading2"/>
              <w:rPr>
                <w:i w:val="0"/>
                <w:iCs/>
                <w:color w:val="auto"/>
              </w:rPr>
            </w:pPr>
            <w:bookmarkStart w:id="36" w:name="_Toc12890046"/>
            <w:bookmarkStart w:id="37" w:name="_Toc12890162"/>
            <w:bookmarkStart w:id="38" w:name="_Toc12890543"/>
            <w:r>
              <w:rPr>
                <w:i w:val="0"/>
                <w:iCs/>
                <w:color w:val="auto"/>
                <w:szCs w:val="22"/>
              </w:rPr>
              <w:t>Wellness</w:t>
            </w:r>
            <w:bookmarkEnd w:id="36"/>
            <w:bookmarkEnd w:id="37"/>
            <w:bookmarkEnd w:id="38"/>
          </w:p>
        </w:tc>
      </w:tr>
    </w:tbl>
    <w:p w14:paraId="55294006" w14:textId="77777777" w:rsidR="00A703EE" w:rsidRPr="00535CAE" w:rsidRDefault="00A703EE" w:rsidP="00A56DAE">
      <w:pPr>
        <w:rPr>
          <w:rFonts w:ascii="Arial" w:hAnsi="Arial" w:cs="Arial"/>
          <w:sz w:val="20"/>
          <w:szCs w:val="20"/>
        </w:rPr>
      </w:pPr>
    </w:p>
    <w:p w14:paraId="23C57085" w14:textId="77777777" w:rsidR="00A703EE" w:rsidRPr="009D1AD4" w:rsidRDefault="00A703EE" w:rsidP="004C6CEA">
      <w:pPr>
        <w:spacing w:after="200"/>
        <w:rPr>
          <w:rFonts w:ascii="Arial" w:hAnsi="Arial" w:cs="Arial"/>
          <w:color w:val="000000"/>
          <w:sz w:val="20"/>
          <w:szCs w:val="20"/>
        </w:rPr>
      </w:pPr>
      <w:r w:rsidRPr="00C5063D">
        <w:rPr>
          <w:rFonts w:ascii="Arial" w:hAnsi="Arial" w:cs="Arial"/>
          <w:b/>
          <w:bCs/>
          <w:color w:val="001BBA"/>
          <w:sz w:val="22"/>
          <w:szCs w:val="22"/>
        </w:rPr>
        <w:t>Question:</w:t>
      </w:r>
      <w:r w:rsidRPr="009D1AD4">
        <w:rPr>
          <w:rFonts w:ascii="Arial" w:hAnsi="Arial" w:cs="Arial"/>
          <w:b/>
          <w:bCs/>
          <w:color w:val="000000"/>
          <w:sz w:val="20"/>
          <w:szCs w:val="20"/>
        </w:rPr>
        <w:t xml:space="preserve"> </w:t>
      </w:r>
      <w:r w:rsidRPr="009D1AD4">
        <w:rPr>
          <w:rFonts w:ascii="Arial" w:hAnsi="Arial" w:cs="Arial"/>
          <w:color w:val="000000"/>
          <w:sz w:val="20"/>
          <w:szCs w:val="20"/>
        </w:rPr>
        <w:t>If an employer wants to have a wellness program that offers premium incentive to employees who get a medical exam and biometric screening from their doctor, does the employer have to pay the cost of the medical exam and biometric screening?</w:t>
      </w:r>
    </w:p>
    <w:p w14:paraId="383BE36F" w14:textId="77777777" w:rsidR="00A703EE" w:rsidRPr="009D1AD4" w:rsidRDefault="00A703EE" w:rsidP="004C6CEA">
      <w:pPr>
        <w:spacing w:after="200"/>
        <w:rPr>
          <w:rFonts w:ascii="Arial" w:hAnsi="Arial" w:cs="Arial"/>
          <w:sz w:val="20"/>
          <w:szCs w:val="20"/>
        </w:rPr>
      </w:pPr>
      <w:r w:rsidRPr="009D1AD4">
        <w:rPr>
          <w:rFonts w:ascii="Arial" w:hAnsi="Arial" w:cs="Arial"/>
          <w:b/>
          <w:bCs/>
          <w:sz w:val="20"/>
          <w:szCs w:val="20"/>
        </w:rPr>
        <w:t>Answer:</w:t>
      </w:r>
      <w:r w:rsidRPr="009D1AD4">
        <w:rPr>
          <w:rFonts w:ascii="Arial" w:hAnsi="Arial" w:cs="Arial"/>
          <w:sz w:val="20"/>
          <w:szCs w:val="20"/>
        </w:rPr>
        <w:t xml:space="preserve"> No, an employer is not required to pay for the medical exam and biometric screening. However, the employer needs to evaluate whether the cost would be overly burdensome. If there are significant costs related to the medical exams or biometric screenings, then the wellness program design may not meet the ADA’s and GINA’s reasonable design requirement.</w:t>
      </w:r>
    </w:p>
    <w:p w14:paraId="10E15785" w14:textId="2E34117E" w:rsidR="00A703EE" w:rsidRPr="009D1AD4" w:rsidRDefault="00A703EE" w:rsidP="004C6CEA">
      <w:pPr>
        <w:spacing w:after="200"/>
        <w:rPr>
          <w:rFonts w:ascii="Arial" w:hAnsi="Arial" w:cs="Arial"/>
          <w:sz w:val="20"/>
          <w:szCs w:val="20"/>
        </w:rPr>
      </w:pPr>
      <w:r w:rsidRPr="009D1AD4">
        <w:rPr>
          <w:rFonts w:ascii="Arial" w:hAnsi="Arial" w:cs="Arial"/>
          <w:sz w:val="20"/>
          <w:szCs w:val="20"/>
        </w:rPr>
        <w:t>From our UBA Advisor “</w:t>
      </w:r>
      <w:hyperlink r:id="rId83" w:history="1">
        <w:r w:rsidRPr="009F7B70">
          <w:rPr>
            <w:rStyle w:val="Hyperlink"/>
          </w:rPr>
          <w:t>Understanding Wellness Programs and their Legal Requirements</w:t>
        </w:r>
      </w:hyperlink>
      <w:r w:rsidRPr="009D1AD4">
        <w:rPr>
          <w:rFonts w:ascii="Arial" w:hAnsi="Arial" w:cs="Arial"/>
          <w:sz w:val="20"/>
          <w:szCs w:val="20"/>
        </w:rPr>
        <w:t>”:</w:t>
      </w:r>
    </w:p>
    <w:p w14:paraId="533C9EA0" w14:textId="77777777" w:rsidR="00A703EE" w:rsidRPr="009D1AD4" w:rsidRDefault="00A703EE" w:rsidP="00A56DAE">
      <w:pPr>
        <w:spacing w:after="200"/>
        <w:ind w:left="360"/>
        <w:rPr>
          <w:rFonts w:ascii="Arial" w:hAnsi="Arial" w:cs="Arial"/>
          <w:sz w:val="20"/>
          <w:szCs w:val="20"/>
        </w:rPr>
      </w:pPr>
      <w:r w:rsidRPr="009D1AD4">
        <w:rPr>
          <w:rFonts w:ascii="Arial" w:hAnsi="Arial" w:cs="Arial"/>
          <w:b/>
          <w:bCs/>
          <w:sz w:val="20"/>
          <w:szCs w:val="20"/>
        </w:rPr>
        <w:t>Reasonable Design</w:t>
      </w:r>
    </w:p>
    <w:p w14:paraId="6F9DA24F" w14:textId="6EFB955E" w:rsidR="00A703EE" w:rsidRPr="009D1AD4" w:rsidRDefault="00A703EE" w:rsidP="00A56DAE">
      <w:pPr>
        <w:spacing w:after="200"/>
        <w:ind w:left="360"/>
        <w:rPr>
          <w:rFonts w:ascii="Arial" w:hAnsi="Arial" w:cs="Arial"/>
          <w:sz w:val="20"/>
          <w:szCs w:val="20"/>
        </w:rPr>
      </w:pPr>
      <w:r w:rsidRPr="009D1AD4">
        <w:rPr>
          <w:rFonts w:ascii="Arial" w:hAnsi="Arial" w:cs="Arial"/>
          <w:sz w:val="20"/>
          <w:szCs w:val="20"/>
        </w:rPr>
        <w:t>Like the ADA, GINA requires wellness programs that collect genetic information to be reasonably designed.</w:t>
      </w:r>
      <w:r w:rsidR="00055049">
        <w:rPr>
          <w:rFonts w:ascii="Arial" w:hAnsi="Arial" w:cs="Arial"/>
          <w:sz w:val="20"/>
          <w:szCs w:val="20"/>
        </w:rPr>
        <w:t xml:space="preserve"> </w:t>
      </w:r>
      <w:r w:rsidRPr="009D1AD4">
        <w:rPr>
          <w:rFonts w:ascii="Arial" w:hAnsi="Arial" w:cs="Arial"/>
          <w:sz w:val="20"/>
          <w:szCs w:val="20"/>
        </w:rPr>
        <w:t>A program is considered reasonably designed to promote health or prevent disease if it:</w:t>
      </w:r>
    </w:p>
    <w:p w14:paraId="0D68A4EB" w14:textId="67E1158D" w:rsidR="00A703EE" w:rsidRPr="009F7B70" w:rsidRDefault="00A703EE" w:rsidP="00A56DAE">
      <w:pPr>
        <w:pStyle w:val="ListParagraph"/>
        <w:numPr>
          <w:ilvl w:val="1"/>
          <w:numId w:val="29"/>
        </w:numPr>
        <w:spacing w:after="200"/>
        <w:ind w:left="1080"/>
        <w:rPr>
          <w:rFonts w:ascii="Arial" w:hAnsi="Arial" w:cs="Arial"/>
          <w:sz w:val="20"/>
          <w:szCs w:val="20"/>
        </w:rPr>
      </w:pPr>
      <w:r w:rsidRPr="009F7B70">
        <w:rPr>
          <w:rFonts w:ascii="Arial" w:hAnsi="Arial" w:cs="Arial"/>
          <w:sz w:val="20"/>
          <w:szCs w:val="20"/>
        </w:rPr>
        <w:t>Has a reasonable chance of improving the health of, or preventing disease in, the participating individual;</w:t>
      </w:r>
    </w:p>
    <w:p w14:paraId="028B745C" w14:textId="49F631B1" w:rsidR="00A703EE" w:rsidRPr="009F7B70" w:rsidRDefault="00A703EE" w:rsidP="00A56DAE">
      <w:pPr>
        <w:pStyle w:val="ListParagraph"/>
        <w:numPr>
          <w:ilvl w:val="1"/>
          <w:numId w:val="29"/>
        </w:numPr>
        <w:spacing w:after="200"/>
        <w:ind w:left="1080"/>
        <w:rPr>
          <w:rFonts w:ascii="Arial" w:hAnsi="Arial" w:cs="Arial"/>
          <w:sz w:val="20"/>
          <w:szCs w:val="20"/>
        </w:rPr>
      </w:pPr>
      <w:r w:rsidRPr="009F7B70">
        <w:rPr>
          <w:rFonts w:ascii="Arial" w:hAnsi="Arial" w:cs="Arial"/>
          <w:sz w:val="20"/>
          <w:szCs w:val="20"/>
        </w:rPr>
        <w:t>Is not overly burdensome;</w:t>
      </w:r>
    </w:p>
    <w:p w14:paraId="3AFBAE9C" w14:textId="416E7E55" w:rsidR="00A703EE" w:rsidRPr="009F7B70" w:rsidRDefault="00A703EE" w:rsidP="00A56DAE">
      <w:pPr>
        <w:pStyle w:val="ListParagraph"/>
        <w:numPr>
          <w:ilvl w:val="1"/>
          <w:numId w:val="29"/>
        </w:numPr>
        <w:spacing w:after="200"/>
        <w:ind w:left="1080"/>
        <w:rPr>
          <w:rFonts w:ascii="Arial" w:hAnsi="Arial" w:cs="Arial"/>
          <w:sz w:val="20"/>
          <w:szCs w:val="20"/>
        </w:rPr>
      </w:pPr>
      <w:r w:rsidRPr="009F7B70">
        <w:rPr>
          <w:rFonts w:ascii="Arial" w:hAnsi="Arial" w:cs="Arial"/>
          <w:sz w:val="20"/>
          <w:szCs w:val="20"/>
        </w:rPr>
        <w:t>Is not a subterfuge for discriminating on the basis of a health factor; and</w:t>
      </w:r>
    </w:p>
    <w:p w14:paraId="6466718F" w14:textId="7E01B44C" w:rsidR="00A703EE" w:rsidRPr="009F7B70" w:rsidRDefault="00A703EE" w:rsidP="00A56DAE">
      <w:pPr>
        <w:pStyle w:val="ListParagraph"/>
        <w:numPr>
          <w:ilvl w:val="1"/>
          <w:numId w:val="29"/>
        </w:numPr>
        <w:spacing w:after="200"/>
        <w:ind w:left="1080"/>
        <w:rPr>
          <w:rFonts w:ascii="Arial" w:hAnsi="Arial" w:cs="Arial"/>
          <w:sz w:val="20"/>
          <w:szCs w:val="20"/>
        </w:rPr>
      </w:pPr>
      <w:r w:rsidRPr="009F7B70">
        <w:rPr>
          <w:rFonts w:ascii="Arial" w:hAnsi="Arial" w:cs="Arial"/>
          <w:sz w:val="20"/>
          <w:szCs w:val="20"/>
        </w:rPr>
        <w:t>Is not highly suspect in its methods.</w:t>
      </w:r>
    </w:p>
    <w:p w14:paraId="575CDD7F" w14:textId="1A46A2A5" w:rsidR="00A703EE" w:rsidRPr="009D1AD4" w:rsidRDefault="00A703EE" w:rsidP="00A56DAE">
      <w:pPr>
        <w:spacing w:after="200"/>
        <w:ind w:left="360"/>
        <w:rPr>
          <w:rFonts w:ascii="Arial" w:hAnsi="Arial" w:cs="Arial"/>
          <w:sz w:val="20"/>
          <w:szCs w:val="20"/>
        </w:rPr>
      </w:pPr>
      <w:r w:rsidRPr="009D1AD4">
        <w:rPr>
          <w:rFonts w:ascii="Arial" w:hAnsi="Arial" w:cs="Arial"/>
          <w:sz w:val="20"/>
          <w:szCs w:val="20"/>
        </w:rPr>
        <w:t>Wellness programs are not reasonable if they</w:t>
      </w:r>
      <w:r w:rsidR="00055049">
        <w:rPr>
          <w:rFonts w:ascii="Arial" w:hAnsi="Arial" w:cs="Arial"/>
          <w:sz w:val="20"/>
          <w:szCs w:val="20"/>
        </w:rPr>
        <w:t xml:space="preserve"> </w:t>
      </w:r>
      <w:r w:rsidRPr="009D1AD4">
        <w:rPr>
          <w:rFonts w:ascii="Arial" w:hAnsi="Arial" w:cs="Arial"/>
          <w:sz w:val="20"/>
          <w:szCs w:val="20"/>
        </w:rPr>
        <w:t>are designed to shift costs from an employer to employees based on their health, are used only to predict future health costs, are unreasonably intrusive, overly burdensome, or</w:t>
      </w:r>
      <w:r w:rsidR="00055049">
        <w:rPr>
          <w:rFonts w:ascii="Arial" w:hAnsi="Arial" w:cs="Arial"/>
          <w:sz w:val="20"/>
          <w:szCs w:val="20"/>
        </w:rPr>
        <w:t xml:space="preserve"> </w:t>
      </w:r>
      <w:r w:rsidRPr="009D1AD4">
        <w:rPr>
          <w:rFonts w:ascii="Arial" w:hAnsi="Arial" w:cs="Arial"/>
          <w:sz w:val="20"/>
          <w:szCs w:val="20"/>
        </w:rPr>
        <w:t>have significant costs related to medical exams. Wellness programs are not reasonable if health information is collected and is not used to provide results, follow-up information, or advice to</w:t>
      </w:r>
      <w:r w:rsidR="00055049">
        <w:rPr>
          <w:rFonts w:ascii="Arial" w:hAnsi="Arial" w:cs="Arial"/>
          <w:sz w:val="20"/>
          <w:szCs w:val="20"/>
        </w:rPr>
        <w:t xml:space="preserve"> </w:t>
      </w:r>
      <w:r w:rsidRPr="009D1AD4">
        <w:rPr>
          <w:rFonts w:ascii="Arial" w:hAnsi="Arial" w:cs="Arial"/>
          <w:sz w:val="20"/>
          <w:szCs w:val="20"/>
        </w:rPr>
        <w:t>participants.</w:t>
      </w:r>
    </w:p>
    <w:sectPr w:rsidR="00A703EE" w:rsidRPr="009D1AD4" w:rsidSect="00004129">
      <w:headerReference w:type="default" r:id="rId84"/>
      <w:footerReference w:type="default" r:id="rId85"/>
      <w:footerReference w:type="first" r:id="rId86"/>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463AF" w14:textId="77777777" w:rsidR="004C14AA" w:rsidRDefault="004C14AA">
      <w:r>
        <w:separator/>
      </w:r>
    </w:p>
  </w:endnote>
  <w:endnote w:type="continuationSeparator" w:id="0">
    <w:p w14:paraId="3EE52CAF" w14:textId="77777777" w:rsidR="004C14AA" w:rsidRDefault="004C1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C1B13" w14:textId="6A2F70F7" w:rsidR="001204C3" w:rsidRDefault="001204C3" w:rsidP="00A14E50">
    <w:pPr>
      <w:pStyle w:val="Footer"/>
      <w:tabs>
        <w:tab w:val="clear" w:pos="4680"/>
        <w:tab w:val="center" w:pos="4320"/>
      </w:tabs>
    </w:pPr>
    <w:r>
      <w:rPr>
        <w:sz w:val="18"/>
      </w:rPr>
      <w:tab/>
    </w:r>
    <w:r w:rsidRPr="00097113">
      <w:rPr>
        <w:sz w:val="18"/>
      </w:rPr>
      <w:fldChar w:fldCharType="begin"/>
    </w:r>
    <w:r w:rsidRPr="00097113">
      <w:rPr>
        <w:sz w:val="18"/>
      </w:rPr>
      <w:instrText xml:space="preserve"> PAGE   \* MERGEFORMAT </w:instrText>
    </w:r>
    <w:r w:rsidRPr="00097113">
      <w:rPr>
        <w:sz w:val="18"/>
      </w:rPr>
      <w:fldChar w:fldCharType="separate"/>
    </w:r>
    <w:r>
      <w:rPr>
        <w:sz w:val="18"/>
      </w:rPr>
      <w:t>1</w:t>
    </w:r>
    <w:r w:rsidRPr="00097113">
      <w:rPr>
        <w:noProof/>
        <w:sz w:val="18"/>
      </w:rPr>
      <w:fldChar w:fldCharType="end"/>
    </w:r>
    <w:r w:rsidRPr="0033264D">
      <w:rPr>
        <w:sz w:val="18"/>
      </w:rPr>
      <w:tab/>
    </w:r>
    <w:r w:rsidRPr="0033264D">
      <w:rPr>
        <w:sz w:val="14"/>
      </w:rPr>
      <w:t>©201</w:t>
    </w:r>
    <w:r>
      <w:rPr>
        <w:sz w:val="14"/>
      </w:rPr>
      <w:t>9</w:t>
    </w:r>
    <w:r w:rsidRPr="0033264D">
      <w:rPr>
        <w:sz w:val="14"/>
      </w:rPr>
      <w:t xml:space="preserve"> United Benefit Advisors, LLC.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94FF9" w14:textId="5039293C" w:rsidR="001204C3" w:rsidRPr="00FE74CA" w:rsidRDefault="001204C3" w:rsidP="00FE74CA">
    <w:pPr>
      <w:pStyle w:val="Footer"/>
      <w:tabs>
        <w:tab w:val="clear" w:pos="4680"/>
        <w:tab w:val="center" w:pos="4320"/>
      </w:tabs>
    </w:pPr>
    <w:r>
      <w:rPr>
        <w:sz w:val="18"/>
      </w:rPr>
      <w:tab/>
    </w:r>
    <w:r w:rsidRPr="00097113">
      <w:rPr>
        <w:sz w:val="18"/>
      </w:rPr>
      <w:fldChar w:fldCharType="begin"/>
    </w:r>
    <w:r w:rsidRPr="00097113">
      <w:rPr>
        <w:sz w:val="18"/>
      </w:rPr>
      <w:instrText xml:space="preserve"> PAGE   \* MERGEFORMAT </w:instrText>
    </w:r>
    <w:r w:rsidRPr="00097113">
      <w:rPr>
        <w:sz w:val="18"/>
      </w:rPr>
      <w:fldChar w:fldCharType="separate"/>
    </w:r>
    <w:r>
      <w:rPr>
        <w:sz w:val="18"/>
      </w:rPr>
      <w:t>1</w:t>
    </w:r>
    <w:r w:rsidRPr="00097113">
      <w:rPr>
        <w:noProof/>
        <w:sz w:val="18"/>
      </w:rPr>
      <w:fldChar w:fldCharType="end"/>
    </w:r>
    <w:r w:rsidRPr="0033264D">
      <w:rPr>
        <w:sz w:val="18"/>
      </w:rPr>
      <w:tab/>
    </w:r>
    <w:r w:rsidRPr="0033264D">
      <w:rPr>
        <w:sz w:val="14"/>
      </w:rPr>
      <w:t>©201</w:t>
    </w:r>
    <w:r>
      <w:rPr>
        <w:sz w:val="14"/>
      </w:rPr>
      <w:t>9</w:t>
    </w:r>
    <w:r w:rsidRPr="0033264D">
      <w:rPr>
        <w:sz w:val="14"/>
      </w:rPr>
      <w:t xml:space="preserve"> United Benefit Advisors, LLC.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EADB1" w14:textId="77777777" w:rsidR="004C14AA" w:rsidRDefault="004C14AA">
      <w:r>
        <w:separator/>
      </w:r>
    </w:p>
  </w:footnote>
  <w:footnote w:type="continuationSeparator" w:id="0">
    <w:p w14:paraId="2C75DC11" w14:textId="77777777" w:rsidR="004C14AA" w:rsidRDefault="004C1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93B38" w14:textId="02D5C6AA" w:rsidR="001204C3" w:rsidRDefault="001204C3" w:rsidP="00E35DC1">
    <w:pPr>
      <w:pStyle w:val="Header"/>
    </w:pPr>
    <w:r>
      <w:rPr>
        <w:noProof/>
      </w:rPr>
      <w:drawing>
        <wp:inline distT="0" distB="0" distL="0" distR="0" wp14:anchorId="1BB38B17" wp14:editId="4C8B9642">
          <wp:extent cx="5943600" cy="394970"/>
          <wp:effectExtent l="0" t="0" r="0" b="5080"/>
          <wp:docPr id="2" name="Picture 2"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pliance_MSWORDMasthead_PAGE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394970"/>
                  </a:xfrm>
                  <a:prstGeom prst="rect">
                    <a:avLst/>
                  </a:prstGeom>
                </pic:spPr>
              </pic:pic>
            </a:graphicData>
          </a:graphic>
        </wp:inline>
      </w:drawing>
    </w:r>
  </w:p>
  <w:p w14:paraId="5E330E58" w14:textId="77777777" w:rsidR="001204C3" w:rsidRDefault="001204C3" w:rsidP="00E35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65D3"/>
    <w:multiLevelType w:val="hybridMultilevel"/>
    <w:tmpl w:val="5184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8327E"/>
    <w:multiLevelType w:val="hybridMultilevel"/>
    <w:tmpl w:val="A55064D0"/>
    <w:lvl w:ilvl="0" w:tplc="E5A0C82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A1484"/>
    <w:multiLevelType w:val="multilevel"/>
    <w:tmpl w:val="FC3041A8"/>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359BE"/>
    <w:multiLevelType w:val="hybridMultilevel"/>
    <w:tmpl w:val="169A6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A377AC"/>
    <w:multiLevelType w:val="hybridMultilevel"/>
    <w:tmpl w:val="8C28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87E40"/>
    <w:multiLevelType w:val="hybridMultilevel"/>
    <w:tmpl w:val="1CE01E0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E4D33"/>
    <w:multiLevelType w:val="hybridMultilevel"/>
    <w:tmpl w:val="E9980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70025"/>
    <w:multiLevelType w:val="hybridMultilevel"/>
    <w:tmpl w:val="676C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0214D"/>
    <w:multiLevelType w:val="hybridMultilevel"/>
    <w:tmpl w:val="BE88E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F5793"/>
    <w:multiLevelType w:val="hybridMultilevel"/>
    <w:tmpl w:val="28C0D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937AE5"/>
    <w:multiLevelType w:val="multilevel"/>
    <w:tmpl w:val="E604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6C6AE0"/>
    <w:multiLevelType w:val="multilevel"/>
    <w:tmpl w:val="BB006FD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620" w:hanging="54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DE7DF0"/>
    <w:multiLevelType w:val="multilevel"/>
    <w:tmpl w:val="47808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4D6CFF"/>
    <w:multiLevelType w:val="hybridMultilevel"/>
    <w:tmpl w:val="8A02127C"/>
    <w:lvl w:ilvl="0" w:tplc="04090001">
      <w:start w:val="1"/>
      <w:numFmt w:val="bullet"/>
      <w:lvlText w:val=""/>
      <w:lvlJc w:val="left"/>
      <w:pPr>
        <w:ind w:left="720" w:hanging="360"/>
      </w:pPr>
      <w:rPr>
        <w:rFonts w:ascii="Symbol" w:hAnsi="Symbol" w:hint="default"/>
      </w:rPr>
    </w:lvl>
    <w:lvl w:ilvl="1" w:tplc="7B10A1A0">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2360A7"/>
    <w:multiLevelType w:val="multilevel"/>
    <w:tmpl w:val="5BA08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2B0E10"/>
    <w:multiLevelType w:val="hybridMultilevel"/>
    <w:tmpl w:val="3BC2D874"/>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74045A"/>
    <w:multiLevelType w:val="multilevel"/>
    <w:tmpl w:val="3CD65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837672"/>
    <w:multiLevelType w:val="hybridMultilevel"/>
    <w:tmpl w:val="8086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6A6EDC"/>
    <w:multiLevelType w:val="hybridMultilevel"/>
    <w:tmpl w:val="9280DE28"/>
    <w:lvl w:ilvl="0" w:tplc="E5A0C826">
      <w:start w:val="1"/>
      <w:numFmt w:val="decimal"/>
      <w:lvlText w:val="%1."/>
      <w:lvlJc w:val="right"/>
      <w:pPr>
        <w:ind w:left="720" w:hanging="360"/>
      </w:pPr>
      <w:rPr>
        <w:rFonts w:hint="default"/>
      </w:rPr>
    </w:lvl>
    <w:lvl w:ilvl="1" w:tplc="E5A0C826">
      <w:start w:val="1"/>
      <w:numFmt w:val="decimal"/>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DD1C4E"/>
    <w:multiLevelType w:val="hybridMultilevel"/>
    <w:tmpl w:val="11F0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C40178"/>
    <w:multiLevelType w:val="hybridMultilevel"/>
    <w:tmpl w:val="002A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6219D5"/>
    <w:multiLevelType w:val="hybridMultilevel"/>
    <w:tmpl w:val="55FAB1F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D72D3B"/>
    <w:multiLevelType w:val="multilevel"/>
    <w:tmpl w:val="9A289C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635" w:hanging="55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6C120A"/>
    <w:multiLevelType w:val="hybridMultilevel"/>
    <w:tmpl w:val="5C7C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0F3FF8"/>
    <w:multiLevelType w:val="hybridMultilevel"/>
    <w:tmpl w:val="B8B0AE88"/>
    <w:lvl w:ilvl="0" w:tplc="E5A0C826">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D95EB1"/>
    <w:multiLevelType w:val="hybridMultilevel"/>
    <w:tmpl w:val="0E2277C2"/>
    <w:lvl w:ilvl="0" w:tplc="DA385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C10310"/>
    <w:multiLevelType w:val="multilevel"/>
    <w:tmpl w:val="7A70B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AD3FBC"/>
    <w:multiLevelType w:val="hybridMultilevel"/>
    <w:tmpl w:val="8208D2F0"/>
    <w:lvl w:ilvl="0" w:tplc="0409000F">
      <w:start w:val="1"/>
      <w:numFmt w:val="decimal"/>
      <w:lvlText w:val="%1."/>
      <w:lvlJc w:val="left"/>
      <w:pPr>
        <w:ind w:left="720" w:hanging="360"/>
      </w:pPr>
    </w:lvl>
    <w:lvl w:ilvl="1" w:tplc="DFCE83C0">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E86090"/>
    <w:multiLevelType w:val="hybridMultilevel"/>
    <w:tmpl w:val="5B08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1"/>
  </w:num>
  <w:num w:numId="4">
    <w:abstractNumId w:val="26"/>
  </w:num>
  <w:num w:numId="5">
    <w:abstractNumId w:val="17"/>
  </w:num>
  <w:num w:numId="6">
    <w:abstractNumId w:val="12"/>
  </w:num>
  <w:num w:numId="7">
    <w:abstractNumId w:val="23"/>
  </w:num>
  <w:num w:numId="8">
    <w:abstractNumId w:val="14"/>
  </w:num>
  <w:num w:numId="9">
    <w:abstractNumId w:val="0"/>
  </w:num>
  <w:num w:numId="10">
    <w:abstractNumId w:val="28"/>
  </w:num>
  <w:num w:numId="11">
    <w:abstractNumId w:val="10"/>
  </w:num>
  <w:num w:numId="12">
    <w:abstractNumId w:val="7"/>
  </w:num>
  <w:num w:numId="13">
    <w:abstractNumId w:val="19"/>
  </w:num>
  <w:num w:numId="14">
    <w:abstractNumId w:val="3"/>
  </w:num>
  <w:num w:numId="15">
    <w:abstractNumId w:val="20"/>
  </w:num>
  <w:num w:numId="16">
    <w:abstractNumId w:val="27"/>
  </w:num>
  <w:num w:numId="17">
    <w:abstractNumId w:val="6"/>
  </w:num>
  <w:num w:numId="18">
    <w:abstractNumId w:val="9"/>
  </w:num>
  <w:num w:numId="19">
    <w:abstractNumId w:val="2"/>
  </w:num>
  <w:num w:numId="20">
    <w:abstractNumId w:val="22"/>
  </w:num>
  <w:num w:numId="21">
    <w:abstractNumId w:val="16"/>
  </w:num>
  <w:num w:numId="22">
    <w:abstractNumId w:val="4"/>
  </w:num>
  <w:num w:numId="23">
    <w:abstractNumId w:val="1"/>
  </w:num>
  <w:num w:numId="24">
    <w:abstractNumId w:val="25"/>
  </w:num>
  <w:num w:numId="25">
    <w:abstractNumId w:val="24"/>
  </w:num>
  <w:num w:numId="26">
    <w:abstractNumId w:val="18"/>
  </w:num>
  <w:num w:numId="27">
    <w:abstractNumId w:val="5"/>
  </w:num>
  <w:num w:numId="28">
    <w:abstractNumId w:val="2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DB1"/>
    <w:rsid w:val="00004129"/>
    <w:rsid w:val="000118BE"/>
    <w:rsid w:val="0001307F"/>
    <w:rsid w:val="000223A0"/>
    <w:rsid w:val="000257E9"/>
    <w:rsid w:val="0002676B"/>
    <w:rsid w:val="00042130"/>
    <w:rsid w:val="00044355"/>
    <w:rsid w:val="000446D0"/>
    <w:rsid w:val="00055049"/>
    <w:rsid w:val="000605C7"/>
    <w:rsid w:val="00070729"/>
    <w:rsid w:val="000749B0"/>
    <w:rsid w:val="00083F89"/>
    <w:rsid w:val="0008502B"/>
    <w:rsid w:val="000F3688"/>
    <w:rsid w:val="000F51E5"/>
    <w:rsid w:val="0011049A"/>
    <w:rsid w:val="001147BB"/>
    <w:rsid w:val="001204C3"/>
    <w:rsid w:val="001248FE"/>
    <w:rsid w:val="00124C83"/>
    <w:rsid w:val="00133154"/>
    <w:rsid w:val="00137150"/>
    <w:rsid w:val="00141BD4"/>
    <w:rsid w:val="00151D2F"/>
    <w:rsid w:val="00153546"/>
    <w:rsid w:val="00157C96"/>
    <w:rsid w:val="00160883"/>
    <w:rsid w:val="00160F5A"/>
    <w:rsid w:val="00166A91"/>
    <w:rsid w:val="00171CCC"/>
    <w:rsid w:val="00196B24"/>
    <w:rsid w:val="001A17BF"/>
    <w:rsid w:val="001A2731"/>
    <w:rsid w:val="001B6943"/>
    <w:rsid w:val="001B6FC1"/>
    <w:rsid w:val="001C5824"/>
    <w:rsid w:val="001D382E"/>
    <w:rsid w:val="001E0B6F"/>
    <w:rsid w:val="001F1668"/>
    <w:rsid w:val="00213112"/>
    <w:rsid w:val="002152AC"/>
    <w:rsid w:val="00216A92"/>
    <w:rsid w:val="00230DDD"/>
    <w:rsid w:val="00232162"/>
    <w:rsid w:val="00237DFE"/>
    <w:rsid w:val="002570C9"/>
    <w:rsid w:val="002B05B5"/>
    <w:rsid w:val="002C1AF0"/>
    <w:rsid w:val="002C2B0A"/>
    <w:rsid w:val="002C7271"/>
    <w:rsid w:val="002D5D67"/>
    <w:rsid w:val="002E1AEC"/>
    <w:rsid w:val="002E1E1C"/>
    <w:rsid w:val="002E40B0"/>
    <w:rsid w:val="002E778B"/>
    <w:rsid w:val="002F02EF"/>
    <w:rsid w:val="002F4043"/>
    <w:rsid w:val="002F43AF"/>
    <w:rsid w:val="00300113"/>
    <w:rsid w:val="00304B3D"/>
    <w:rsid w:val="003176A8"/>
    <w:rsid w:val="00324B8B"/>
    <w:rsid w:val="00346C80"/>
    <w:rsid w:val="00346D2F"/>
    <w:rsid w:val="00350203"/>
    <w:rsid w:val="003549E0"/>
    <w:rsid w:val="00354D6A"/>
    <w:rsid w:val="00362854"/>
    <w:rsid w:val="003673F3"/>
    <w:rsid w:val="00387E59"/>
    <w:rsid w:val="00390488"/>
    <w:rsid w:val="00391C61"/>
    <w:rsid w:val="0039370F"/>
    <w:rsid w:val="003B12E5"/>
    <w:rsid w:val="003B5870"/>
    <w:rsid w:val="003C25B0"/>
    <w:rsid w:val="003D25D2"/>
    <w:rsid w:val="003D50A7"/>
    <w:rsid w:val="003E35A8"/>
    <w:rsid w:val="003F7407"/>
    <w:rsid w:val="003F7D70"/>
    <w:rsid w:val="00402494"/>
    <w:rsid w:val="00402FFB"/>
    <w:rsid w:val="00414990"/>
    <w:rsid w:val="00420A39"/>
    <w:rsid w:val="00420CD7"/>
    <w:rsid w:val="004260F4"/>
    <w:rsid w:val="00430655"/>
    <w:rsid w:val="0044356C"/>
    <w:rsid w:val="00456F81"/>
    <w:rsid w:val="00461829"/>
    <w:rsid w:val="00465A35"/>
    <w:rsid w:val="004755DE"/>
    <w:rsid w:val="0049445B"/>
    <w:rsid w:val="0049629D"/>
    <w:rsid w:val="004A44C3"/>
    <w:rsid w:val="004A7843"/>
    <w:rsid w:val="004B08EA"/>
    <w:rsid w:val="004B7A4F"/>
    <w:rsid w:val="004C14AA"/>
    <w:rsid w:val="004C6CEA"/>
    <w:rsid w:val="004D2AC7"/>
    <w:rsid w:val="004D5BE8"/>
    <w:rsid w:val="004F16F0"/>
    <w:rsid w:val="004F1DC7"/>
    <w:rsid w:val="00512737"/>
    <w:rsid w:val="005254A0"/>
    <w:rsid w:val="00532658"/>
    <w:rsid w:val="0053286B"/>
    <w:rsid w:val="00535CAE"/>
    <w:rsid w:val="0053748A"/>
    <w:rsid w:val="0055387C"/>
    <w:rsid w:val="00563FA2"/>
    <w:rsid w:val="005662A2"/>
    <w:rsid w:val="0057406A"/>
    <w:rsid w:val="00576900"/>
    <w:rsid w:val="00585637"/>
    <w:rsid w:val="005861E8"/>
    <w:rsid w:val="005916AF"/>
    <w:rsid w:val="005A315F"/>
    <w:rsid w:val="005A40C1"/>
    <w:rsid w:val="005C2281"/>
    <w:rsid w:val="005C53C3"/>
    <w:rsid w:val="005D31C4"/>
    <w:rsid w:val="005D590C"/>
    <w:rsid w:val="005D676D"/>
    <w:rsid w:val="005F2B00"/>
    <w:rsid w:val="00604332"/>
    <w:rsid w:val="00606C8A"/>
    <w:rsid w:val="00625226"/>
    <w:rsid w:val="006368DF"/>
    <w:rsid w:val="00642DA0"/>
    <w:rsid w:val="0067433F"/>
    <w:rsid w:val="00687A00"/>
    <w:rsid w:val="006A0565"/>
    <w:rsid w:val="006B3DBE"/>
    <w:rsid w:val="006B48BA"/>
    <w:rsid w:val="006C498D"/>
    <w:rsid w:val="006E00BF"/>
    <w:rsid w:val="006E7881"/>
    <w:rsid w:val="006F0702"/>
    <w:rsid w:val="006F2DBC"/>
    <w:rsid w:val="006F4603"/>
    <w:rsid w:val="006F5CC0"/>
    <w:rsid w:val="00702E66"/>
    <w:rsid w:val="007046C3"/>
    <w:rsid w:val="00716B1A"/>
    <w:rsid w:val="00727034"/>
    <w:rsid w:val="00727375"/>
    <w:rsid w:val="00733E95"/>
    <w:rsid w:val="00737A3A"/>
    <w:rsid w:val="0074298F"/>
    <w:rsid w:val="00747401"/>
    <w:rsid w:val="007520F8"/>
    <w:rsid w:val="00767F62"/>
    <w:rsid w:val="00770057"/>
    <w:rsid w:val="007845B9"/>
    <w:rsid w:val="00794B2A"/>
    <w:rsid w:val="00796BB0"/>
    <w:rsid w:val="007A6BA3"/>
    <w:rsid w:val="007A7B9B"/>
    <w:rsid w:val="007B1565"/>
    <w:rsid w:val="007D413B"/>
    <w:rsid w:val="007F13AB"/>
    <w:rsid w:val="00814868"/>
    <w:rsid w:val="00816E8F"/>
    <w:rsid w:val="00840630"/>
    <w:rsid w:val="00843754"/>
    <w:rsid w:val="00854B47"/>
    <w:rsid w:val="00867EA8"/>
    <w:rsid w:val="00881A09"/>
    <w:rsid w:val="008A7528"/>
    <w:rsid w:val="008C1831"/>
    <w:rsid w:val="008C2E24"/>
    <w:rsid w:val="008C3007"/>
    <w:rsid w:val="008D14D3"/>
    <w:rsid w:val="008D41EC"/>
    <w:rsid w:val="008D5D43"/>
    <w:rsid w:val="008E58FC"/>
    <w:rsid w:val="008E7D00"/>
    <w:rsid w:val="008E7DB0"/>
    <w:rsid w:val="00901F4A"/>
    <w:rsid w:val="009077B3"/>
    <w:rsid w:val="00915BFD"/>
    <w:rsid w:val="009308C1"/>
    <w:rsid w:val="009345BC"/>
    <w:rsid w:val="00935174"/>
    <w:rsid w:val="00944EC4"/>
    <w:rsid w:val="009519FC"/>
    <w:rsid w:val="00953ACC"/>
    <w:rsid w:val="00954325"/>
    <w:rsid w:val="00970299"/>
    <w:rsid w:val="00974DE4"/>
    <w:rsid w:val="00984758"/>
    <w:rsid w:val="009A3D98"/>
    <w:rsid w:val="009B0355"/>
    <w:rsid w:val="009C0059"/>
    <w:rsid w:val="009D1AD4"/>
    <w:rsid w:val="009E2B50"/>
    <w:rsid w:val="009E6378"/>
    <w:rsid w:val="009E6892"/>
    <w:rsid w:val="009F5C2B"/>
    <w:rsid w:val="009F7B70"/>
    <w:rsid w:val="00A10D74"/>
    <w:rsid w:val="00A14E50"/>
    <w:rsid w:val="00A21059"/>
    <w:rsid w:val="00A2244A"/>
    <w:rsid w:val="00A26D11"/>
    <w:rsid w:val="00A43E9A"/>
    <w:rsid w:val="00A51618"/>
    <w:rsid w:val="00A54D1B"/>
    <w:rsid w:val="00A56DAE"/>
    <w:rsid w:val="00A5769A"/>
    <w:rsid w:val="00A622F1"/>
    <w:rsid w:val="00A703EE"/>
    <w:rsid w:val="00A842E2"/>
    <w:rsid w:val="00A85E84"/>
    <w:rsid w:val="00A90CD8"/>
    <w:rsid w:val="00A92862"/>
    <w:rsid w:val="00A92E32"/>
    <w:rsid w:val="00AB18C6"/>
    <w:rsid w:val="00AC37CF"/>
    <w:rsid w:val="00AC4093"/>
    <w:rsid w:val="00AC5E76"/>
    <w:rsid w:val="00AE62CC"/>
    <w:rsid w:val="00AE6735"/>
    <w:rsid w:val="00B00518"/>
    <w:rsid w:val="00B239ED"/>
    <w:rsid w:val="00B409E8"/>
    <w:rsid w:val="00B416D3"/>
    <w:rsid w:val="00B43F3A"/>
    <w:rsid w:val="00B44611"/>
    <w:rsid w:val="00B54D4A"/>
    <w:rsid w:val="00B6311F"/>
    <w:rsid w:val="00B65BD7"/>
    <w:rsid w:val="00B70C5E"/>
    <w:rsid w:val="00B86F43"/>
    <w:rsid w:val="00B901DF"/>
    <w:rsid w:val="00B95F49"/>
    <w:rsid w:val="00B96898"/>
    <w:rsid w:val="00BA3D5D"/>
    <w:rsid w:val="00BA7787"/>
    <w:rsid w:val="00BC7A71"/>
    <w:rsid w:val="00BD0A58"/>
    <w:rsid w:val="00BE0146"/>
    <w:rsid w:val="00BE385C"/>
    <w:rsid w:val="00BE4452"/>
    <w:rsid w:val="00BE500A"/>
    <w:rsid w:val="00C00BD0"/>
    <w:rsid w:val="00C02B84"/>
    <w:rsid w:val="00C04F07"/>
    <w:rsid w:val="00C06EFA"/>
    <w:rsid w:val="00C1109D"/>
    <w:rsid w:val="00C13D7D"/>
    <w:rsid w:val="00C13DCE"/>
    <w:rsid w:val="00C5063D"/>
    <w:rsid w:val="00C76514"/>
    <w:rsid w:val="00C8460E"/>
    <w:rsid w:val="00C91763"/>
    <w:rsid w:val="00C96FBE"/>
    <w:rsid w:val="00CA2D97"/>
    <w:rsid w:val="00CB4EA2"/>
    <w:rsid w:val="00CB619D"/>
    <w:rsid w:val="00CC0ED9"/>
    <w:rsid w:val="00CD43FB"/>
    <w:rsid w:val="00CD62DD"/>
    <w:rsid w:val="00CE0AA6"/>
    <w:rsid w:val="00CE1DF4"/>
    <w:rsid w:val="00CE6288"/>
    <w:rsid w:val="00CF0614"/>
    <w:rsid w:val="00CF3D95"/>
    <w:rsid w:val="00D04EB9"/>
    <w:rsid w:val="00D40223"/>
    <w:rsid w:val="00D42F6D"/>
    <w:rsid w:val="00D43256"/>
    <w:rsid w:val="00D454C7"/>
    <w:rsid w:val="00D46DB1"/>
    <w:rsid w:val="00D4777C"/>
    <w:rsid w:val="00D62171"/>
    <w:rsid w:val="00D75D56"/>
    <w:rsid w:val="00D8792D"/>
    <w:rsid w:val="00D96FEF"/>
    <w:rsid w:val="00DA089B"/>
    <w:rsid w:val="00DA36BB"/>
    <w:rsid w:val="00DA54E5"/>
    <w:rsid w:val="00DA6177"/>
    <w:rsid w:val="00DB06B4"/>
    <w:rsid w:val="00DB29F5"/>
    <w:rsid w:val="00DB7D98"/>
    <w:rsid w:val="00DC2FE4"/>
    <w:rsid w:val="00DC6B37"/>
    <w:rsid w:val="00DD4482"/>
    <w:rsid w:val="00DE0ED8"/>
    <w:rsid w:val="00DE4034"/>
    <w:rsid w:val="00DE525E"/>
    <w:rsid w:val="00DF709B"/>
    <w:rsid w:val="00E11220"/>
    <w:rsid w:val="00E118A8"/>
    <w:rsid w:val="00E35DC1"/>
    <w:rsid w:val="00E4273F"/>
    <w:rsid w:val="00E53BA4"/>
    <w:rsid w:val="00E5412E"/>
    <w:rsid w:val="00E5721F"/>
    <w:rsid w:val="00E62646"/>
    <w:rsid w:val="00E63270"/>
    <w:rsid w:val="00E63E68"/>
    <w:rsid w:val="00E65A8A"/>
    <w:rsid w:val="00E673E2"/>
    <w:rsid w:val="00E73AA6"/>
    <w:rsid w:val="00E858EB"/>
    <w:rsid w:val="00E86BAB"/>
    <w:rsid w:val="00E87823"/>
    <w:rsid w:val="00E90FB9"/>
    <w:rsid w:val="00EA04BF"/>
    <w:rsid w:val="00EA6628"/>
    <w:rsid w:val="00EB48F8"/>
    <w:rsid w:val="00EC15C6"/>
    <w:rsid w:val="00EF0E15"/>
    <w:rsid w:val="00EF42D2"/>
    <w:rsid w:val="00EF5115"/>
    <w:rsid w:val="00F02A5C"/>
    <w:rsid w:val="00F0741D"/>
    <w:rsid w:val="00F07A30"/>
    <w:rsid w:val="00F16C81"/>
    <w:rsid w:val="00F22967"/>
    <w:rsid w:val="00F242C3"/>
    <w:rsid w:val="00F27338"/>
    <w:rsid w:val="00F35D20"/>
    <w:rsid w:val="00F44803"/>
    <w:rsid w:val="00F50D32"/>
    <w:rsid w:val="00F70E86"/>
    <w:rsid w:val="00F75E1A"/>
    <w:rsid w:val="00F764A3"/>
    <w:rsid w:val="00F9624F"/>
    <w:rsid w:val="00F96968"/>
    <w:rsid w:val="00FA51CA"/>
    <w:rsid w:val="00FB52D0"/>
    <w:rsid w:val="00FB7FA0"/>
    <w:rsid w:val="00FD36CB"/>
    <w:rsid w:val="00FE01C3"/>
    <w:rsid w:val="00FE74CA"/>
    <w:rsid w:val="00FF05AF"/>
    <w:rsid w:val="00FF1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3C39C"/>
  <w14:defaultImageDpi w14:val="32767"/>
  <w15:chartTrackingRefBased/>
  <w15:docId w15:val="{A4DD03DA-5C21-E445-B36D-0A853F08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48F8"/>
    <w:rPr>
      <w:rFonts w:ascii="Times New Roman" w:eastAsia="Times New Roman" w:hAnsi="Times New Roman" w:cs="Times New Roman"/>
    </w:rPr>
  </w:style>
  <w:style w:type="paragraph" w:styleId="Heading1">
    <w:name w:val="heading 1"/>
    <w:basedOn w:val="Normal"/>
    <w:next w:val="Normal"/>
    <w:link w:val="Heading1Char"/>
    <w:uiPriority w:val="9"/>
    <w:qFormat/>
    <w:rsid w:val="009C00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qFormat/>
    <w:rsid w:val="00C04F07"/>
    <w:pPr>
      <w:keepNext/>
      <w:autoSpaceDE w:val="0"/>
      <w:autoSpaceDN w:val="0"/>
      <w:adjustRightInd w:val="0"/>
      <w:outlineLvl w:val="1"/>
    </w:pPr>
    <w:rPr>
      <w:rFonts w:ascii="Arial" w:eastAsia="Times New Roman" w:hAnsi="Arial" w:cs="Arial"/>
      <w:b/>
      <w:i/>
      <w:color w:val="FFFFFF" w:themeColor="background1"/>
      <w:sz w:val="22"/>
      <w:szCs w:val="18"/>
    </w:rPr>
  </w:style>
  <w:style w:type="paragraph" w:styleId="Heading3">
    <w:name w:val="heading 3"/>
    <w:basedOn w:val="Normal"/>
    <w:next w:val="Normal"/>
    <w:link w:val="Heading3Char"/>
    <w:uiPriority w:val="9"/>
    <w:semiHidden/>
    <w:unhideWhenUsed/>
    <w:qFormat/>
    <w:rsid w:val="009C005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43FB"/>
  </w:style>
  <w:style w:type="character" w:styleId="Hyperlink">
    <w:name w:val="Hyperlink"/>
    <w:basedOn w:val="DefaultParagraphFont"/>
    <w:uiPriority w:val="99"/>
    <w:unhideWhenUsed/>
    <w:rsid w:val="00A10D74"/>
    <w:rPr>
      <w:rFonts w:ascii="Arial" w:hAnsi="Arial" w:cs="Arial"/>
      <w:color w:val="001BBA"/>
      <w:sz w:val="20"/>
      <w:szCs w:val="20"/>
      <w:u w:val="single"/>
    </w:rPr>
  </w:style>
  <w:style w:type="table" w:styleId="TableGrid">
    <w:name w:val="Table Grid"/>
    <w:basedOn w:val="TableNormal"/>
    <w:uiPriority w:val="59"/>
    <w:rsid w:val="00CD4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CD43FB"/>
    <w:rPr>
      <w:color w:val="605E5C"/>
      <w:shd w:val="clear" w:color="auto" w:fill="E1DFDD"/>
    </w:rPr>
  </w:style>
  <w:style w:type="character" w:styleId="FollowedHyperlink">
    <w:name w:val="FollowedHyperlink"/>
    <w:basedOn w:val="DefaultParagraphFont"/>
    <w:uiPriority w:val="99"/>
    <w:semiHidden/>
    <w:unhideWhenUsed/>
    <w:rsid w:val="00F50D32"/>
    <w:rPr>
      <w:color w:val="954F72" w:themeColor="followedHyperlink"/>
      <w:u w:val="single"/>
    </w:rPr>
  </w:style>
  <w:style w:type="paragraph" w:styleId="NormalWeb">
    <w:name w:val="Normal (Web)"/>
    <w:basedOn w:val="Normal"/>
    <w:uiPriority w:val="99"/>
    <w:semiHidden/>
    <w:unhideWhenUsed/>
    <w:rsid w:val="000605C7"/>
  </w:style>
  <w:style w:type="paragraph" w:styleId="ListParagraph">
    <w:name w:val="List Paragraph"/>
    <w:basedOn w:val="Normal"/>
    <w:uiPriority w:val="34"/>
    <w:qFormat/>
    <w:rsid w:val="00770057"/>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6368DF"/>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6368DF"/>
    <w:rPr>
      <w:rFonts w:eastAsiaTheme="minorEastAsia"/>
    </w:rPr>
  </w:style>
  <w:style w:type="paragraph" w:styleId="Footer">
    <w:name w:val="footer"/>
    <w:basedOn w:val="Normal"/>
    <w:link w:val="FooterChar"/>
    <w:uiPriority w:val="99"/>
    <w:unhideWhenUsed/>
    <w:rsid w:val="00070729"/>
    <w:pPr>
      <w:tabs>
        <w:tab w:val="center" w:pos="4680"/>
        <w:tab w:val="right" w:pos="9360"/>
      </w:tabs>
    </w:pPr>
    <w:rPr>
      <w:rFonts w:ascii="Arial" w:eastAsiaTheme="minorHAnsi" w:hAnsi="Arial" w:cs="Arial"/>
      <w:sz w:val="22"/>
      <w:szCs w:val="22"/>
    </w:rPr>
  </w:style>
  <w:style w:type="character" w:customStyle="1" w:styleId="FooterChar">
    <w:name w:val="Footer Char"/>
    <w:basedOn w:val="DefaultParagraphFont"/>
    <w:link w:val="Footer"/>
    <w:uiPriority w:val="99"/>
    <w:rsid w:val="00070729"/>
    <w:rPr>
      <w:rFonts w:ascii="Arial" w:hAnsi="Arial" w:cs="Arial"/>
      <w:sz w:val="22"/>
      <w:szCs w:val="22"/>
    </w:rPr>
  </w:style>
  <w:style w:type="character" w:styleId="CommentReference">
    <w:name w:val="annotation reference"/>
    <w:basedOn w:val="DefaultParagraphFont"/>
    <w:uiPriority w:val="99"/>
    <w:semiHidden/>
    <w:unhideWhenUsed/>
    <w:rsid w:val="00642DA0"/>
    <w:rPr>
      <w:sz w:val="16"/>
      <w:szCs w:val="16"/>
    </w:rPr>
  </w:style>
  <w:style w:type="paragraph" w:styleId="CommentText">
    <w:name w:val="annotation text"/>
    <w:basedOn w:val="Normal"/>
    <w:link w:val="CommentTextChar"/>
    <w:uiPriority w:val="99"/>
    <w:semiHidden/>
    <w:unhideWhenUsed/>
    <w:rsid w:val="00642DA0"/>
    <w:rPr>
      <w:sz w:val="20"/>
      <w:szCs w:val="20"/>
    </w:rPr>
  </w:style>
  <w:style w:type="character" w:customStyle="1" w:styleId="CommentTextChar">
    <w:name w:val="Comment Text Char"/>
    <w:basedOn w:val="DefaultParagraphFont"/>
    <w:link w:val="CommentText"/>
    <w:uiPriority w:val="99"/>
    <w:semiHidden/>
    <w:rsid w:val="00642D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2DA0"/>
    <w:rPr>
      <w:b/>
      <w:bCs/>
    </w:rPr>
  </w:style>
  <w:style w:type="character" w:customStyle="1" w:styleId="CommentSubjectChar">
    <w:name w:val="Comment Subject Char"/>
    <w:basedOn w:val="CommentTextChar"/>
    <w:link w:val="CommentSubject"/>
    <w:uiPriority w:val="99"/>
    <w:semiHidden/>
    <w:rsid w:val="00642DA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2D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DA0"/>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C04F07"/>
    <w:rPr>
      <w:rFonts w:ascii="Arial" w:eastAsia="Times New Roman" w:hAnsi="Arial" w:cs="Arial"/>
      <w:b/>
      <w:i/>
      <w:color w:val="FFFFFF" w:themeColor="background1"/>
      <w:sz w:val="22"/>
      <w:szCs w:val="18"/>
    </w:rPr>
  </w:style>
  <w:style w:type="character" w:customStyle="1" w:styleId="Heading1Char">
    <w:name w:val="Heading 1 Char"/>
    <w:basedOn w:val="DefaultParagraphFont"/>
    <w:link w:val="Heading1"/>
    <w:uiPriority w:val="9"/>
    <w:rsid w:val="009C005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C0059"/>
    <w:pPr>
      <w:spacing w:line="259" w:lineRule="auto"/>
      <w:outlineLvl w:val="9"/>
    </w:pPr>
  </w:style>
  <w:style w:type="paragraph" w:styleId="TOC2">
    <w:name w:val="toc 2"/>
    <w:basedOn w:val="Normal"/>
    <w:next w:val="Normal"/>
    <w:autoRedefine/>
    <w:uiPriority w:val="39"/>
    <w:unhideWhenUsed/>
    <w:rsid w:val="009C0059"/>
    <w:pPr>
      <w:tabs>
        <w:tab w:val="right" w:leader="dot" w:pos="9090"/>
      </w:tabs>
      <w:spacing w:after="100"/>
      <w:ind w:left="240"/>
    </w:pPr>
    <w:rPr>
      <w:rFonts w:ascii="Arial" w:hAnsi="Arial"/>
      <w:iCs/>
      <w:noProof/>
      <w:sz w:val="22"/>
      <w:szCs w:val="22"/>
    </w:rPr>
  </w:style>
  <w:style w:type="paragraph" w:styleId="TOC1">
    <w:name w:val="toc 1"/>
    <w:basedOn w:val="Normal"/>
    <w:next w:val="Normal"/>
    <w:autoRedefine/>
    <w:uiPriority w:val="39"/>
    <w:unhideWhenUsed/>
    <w:rsid w:val="009C0059"/>
    <w:pPr>
      <w:spacing w:after="100" w:line="259" w:lineRule="auto"/>
    </w:pPr>
    <w:rPr>
      <w:rFonts w:ascii="Arial" w:eastAsiaTheme="minorEastAsia" w:hAnsi="Arial"/>
      <w:sz w:val="22"/>
      <w:szCs w:val="22"/>
    </w:rPr>
  </w:style>
  <w:style w:type="paragraph" w:styleId="TOC3">
    <w:name w:val="toc 3"/>
    <w:basedOn w:val="Normal"/>
    <w:next w:val="Normal"/>
    <w:autoRedefine/>
    <w:uiPriority w:val="39"/>
    <w:unhideWhenUsed/>
    <w:rsid w:val="009C0059"/>
    <w:pPr>
      <w:spacing w:after="100" w:line="259" w:lineRule="auto"/>
      <w:ind w:left="440"/>
    </w:pPr>
    <w:rPr>
      <w:rFonts w:asciiTheme="minorHAnsi" w:eastAsiaTheme="minorEastAsia" w:hAnsiTheme="minorHAnsi"/>
      <w:sz w:val="22"/>
      <w:szCs w:val="22"/>
    </w:rPr>
  </w:style>
  <w:style w:type="character" w:customStyle="1" w:styleId="Heading3Char">
    <w:name w:val="Heading 3 Char"/>
    <w:basedOn w:val="DefaultParagraphFont"/>
    <w:link w:val="Heading3"/>
    <w:uiPriority w:val="9"/>
    <w:semiHidden/>
    <w:rsid w:val="009C005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6288">
      <w:bodyDiv w:val="1"/>
      <w:marLeft w:val="0"/>
      <w:marRight w:val="0"/>
      <w:marTop w:val="0"/>
      <w:marBottom w:val="0"/>
      <w:divBdr>
        <w:top w:val="none" w:sz="0" w:space="0" w:color="auto"/>
        <w:left w:val="none" w:sz="0" w:space="0" w:color="auto"/>
        <w:bottom w:val="none" w:sz="0" w:space="0" w:color="auto"/>
        <w:right w:val="none" w:sz="0" w:space="0" w:color="auto"/>
      </w:divBdr>
    </w:div>
    <w:div w:id="31268769">
      <w:bodyDiv w:val="1"/>
      <w:marLeft w:val="0"/>
      <w:marRight w:val="0"/>
      <w:marTop w:val="0"/>
      <w:marBottom w:val="0"/>
      <w:divBdr>
        <w:top w:val="none" w:sz="0" w:space="0" w:color="auto"/>
        <w:left w:val="none" w:sz="0" w:space="0" w:color="auto"/>
        <w:bottom w:val="none" w:sz="0" w:space="0" w:color="auto"/>
        <w:right w:val="none" w:sz="0" w:space="0" w:color="auto"/>
      </w:divBdr>
    </w:div>
    <w:div w:id="55865261">
      <w:bodyDiv w:val="1"/>
      <w:marLeft w:val="0"/>
      <w:marRight w:val="0"/>
      <w:marTop w:val="0"/>
      <w:marBottom w:val="0"/>
      <w:divBdr>
        <w:top w:val="none" w:sz="0" w:space="0" w:color="auto"/>
        <w:left w:val="none" w:sz="0" w:space="0" w:color="auto"/>
        <w:bottom w:val="none" w:sz="0" w:space="0" w:color="auto"/>
        <w:right w:val="none" w:sz="0" w:space="0" w:color="auto"/>
      </w:divBdr>
    </w:div>
    <w:div w:id="64034934">
      <w:bodyDiv w:val="1"/>
      <w:marLeft w:val="0"/>
      <w:marRight w:val="0"/>
      <w:marTop w:val="0"/>
      <w:marBottom w:val="0"/>
      <w:divBdr>
        <w:top w:val="none" w:sz="0" w:space="0" w:color="auto"/>
        <w:left w:val="none" w:sz="0" w:space="0" w:color="auto"/>
        <w:bottom w:val="none" w:sz="0" w:space="0" w:color="auto"/>
        <w:right w:val="none" w:sz="0" w:space="0" w:color="auto"/>
      </w:divBdr>
    </w:div>
    <w:div w:id="74016874">
      <w:bodyDiv w:val="1"/>
      <w:marLeft w:val="0"/>
      <w:marRight w:val="0"/>
      <w:marTop w:val="0"/>
      <w:marBottom w:val="0"/>
      <w:divBdr>
        <w:top w:val="none" w:sz="0" w:space="0" w:color="auto"/>
        <w:left w:val="none" w:sz="0" w:space="0" w:color="auto"/>
        <w:bottom w:val="none" w:sz="0" w:space="0" w:color="auto"/>
        <w:right w:val="none" w:sz="0" w:space="0" w:color="auto"/>
      </w:divBdr>
    </w:div>
    <w:div w:id="87236943">
      <w:bodyDiv w:val="1"/>
      <w:marLeft w:val="0"/>
      <w:marRight w:val="0"/>
      <w:marTop w:val="0"/>
      <w:marBottom w:val="0"/>
      <w:divBdr>
        <w:top w:val="none" w:sz="0" w:space="0" w:color="auto"/>
        <w:left w:val="none" w:sz="0" w:space="0" w:color="auto"/>
        <w:bottom w:val="none" w:sz="0" w:space="0" w:color="auto"/>
        <w:right w:val="none" w:sz="0" w:space="0" w:color="auto"/>
      </w:divBdr>
    </w:div>
    <w:div w:id="99952928">
      <w:bodyDiv w:val="1"/>
      <w:marLeft w:val="0"/>
      <w:marRight w:val="0"/>
      <w:marTop w:val="0"/>
      <w:marBottom w:val="0"/>
      <w:divBdr>
        <w:top w:val="none" w:sz="0" w:space="0" w:color="auto"/>
        <w:left w:val="none" w:sz="0" w:space="0" w:color="auto"/>
        <w:bottom w:val="none" w:sz="0" w:space="0" w:color="auto"/>
        <w:right w:val="none" w:sz="0" w:space="0" w:color="auto"/>
      </w:divBdr>
    </w:div>
    <w:div w:id="112096779">
      <w:bodyDiv w:val="1"/>
      <w:marLeft w:val="0"/>
      <w:marRight w:val="0"/>
      <w:marTop w:val="0"/>
      <w:marBottom w:val="0"/>
      <w:divBdr>
        <w:top w:val="none" w:sz="0" w:space="0" w:color="auto"/>
        <w:left w:val="none" w:sz="0" w:space="0" w:color="auto"/>
        <w:bottom w:val="none" w:sz="0" w:space="0" w:color="auto"/>
        <w:right w:val="none" w:sz="0" w:space="0" w:color="auto"/>
      </w:divBdr>
    </w:div>
    <w:div w:id="152568843">
      <w:bodyDiv w:val="1"/>
      <w:marLeft w:val="0"/>
      <w:marRight w:val="0"/>
      <w:marTop w:val="0"/>
      <w:marBottom w:val="0"/>
      <w:divBdr>
        <w:top w:val="none" w:sz="0" w:space="0" w:color="auto"/>
        <w:left w:val="none" w:sz="0" w:space="0" w:color="auto"/>
        <w:bottom w:val="none" w:sz="0" w:space="0" w:color="auto"/>
        <w:right w:val="none" w:sz="0" w:space="0" w:color="auto"/>
      </w:divBdr>
    </w:div>
    <w:div w:id="176777369">
      <w:bodyDiv w:val="1"/>
      <w:marLeft w:val="0"/>
      <w:marRight w:val="0"/>
      <w:marTop w:val="0"/>
      <w:marBottom w:val="0"/>
      <w:divBdr>
        <w:top w:val="none" w:sz="0" w:space="0" w:color="auto"/>
        <w:left w:val="none" w:sz="0" w:space="0" w:color="auto"/>
        <w:bottom w:val="none" w:sz="0" w:space="0" w:color="auto"/>
        <w:right w:val="none" w:sz="0" w:space="0" w:color="auto"/>
      </w:divBdr>
    </w:div>
    <w:div w:id="243800473">
      <w:bodyDiv w:val="1"/>
      <w:marLeft w:val="0"/>
      <w:marRight w:val="0"/>
      <w:marTop w:val="0"/>
      <w:marBottom w:val="0"/>
      <w:divBdr>
        <w:top w:val="none" w:sz="0" w:space="0" w:color="auto"/>
        <w:left w:val="none" w:sz="0" w:space="0" w:color="auto"/>
        <w:bottom w:val="none" w:sz="0" w:space="0" w:color="auto"/>
        <w:right w:val="none" w:sz="0" w:space="0" w:color="auto"/>
      </w:divBdr>
    </w:div>
    <w:div w:id="291323942">
      <w:bodyDiv w:val="1"/>
      <w:marLeft w:val="0"/>
      <w:marRight w:val="0"/>
      <w:marTop w:val="0"/>
      <w:marBottom w:val="0"/>
      <w:divBdr>
        <w:top w:val="none" w:sz="0" w:space="0" w:color="auto"/>
        <w:left w:val="none" w:sz="0" w:space="0" w:color="auto"/>
        <w:bottom w:val="none" w:sz="0" w:space="0" w:color="auto"/>
        <w:right w:val="none" w:sz="0" w:space="0" w:color="auto"/>
      </w:divBdr>
    </w:div>
    <w:div w:id="301424316">
      <w:bodyDiv w:val="1"/>
      <w:marLeft w:val="0"/>
      <w:marRight w:val="0"/>
      <w:marTop w:val="0"/>
      <w:marBottom w:val="0"/>
      <w:divBdr>
        <w:top w:val="none" w:sz="0" w:space="0" w:color="auto"/>
        <w:left w:val="none" w:sz="0" w:space="0" w:color="auto"/>
        <w:bottom w:val="none" w:sz="0" w:space="0" w:color="auto"/>
        <w:right w:val="none" w:sz="0" w:space="0" w:color="auto"/>
      </w:divBdr>
    </w:div>
    <w:div w:id="311253373">
      <w:bodyDiv w:val="1"/>
      <w:marLeft w:val="0"/>
      <w:marRight w:val="0"/>
      <w:marTop w:val="0"/>
      <w:marBottom w:val="0"/>
      <w:divBdr>
        <w:top w:val="none" w:sz="0" w:space="0" w:color="auto"/>
        <w:left w:val="none" w:sz="0" w:space="0" w:color="auto"/>
        <w:bottom w:val="none" w:sz="0" w:space="0" w:color="auto"/>
        <w:right w:val="none" w:sz="0" w:space="0" w:color="auto"/>
      </w:divBdr>
    </w:div>
    <w:div w:id="316764827">
      <w:bodyDiv w:val="1"/>
      <w:marLeft w:val="0"/>
      <w:marRight w:val="0"/>
      <w:marTop w:val="0"/>
      <w:marBottom w:val="0"/>
      <w:divBdr>
        <w:top w:val="none" w:sz="0" w:space="0" w:color="auto"/>
        <w:left w:val="none" w:sz="0" w:space="0" w:color="auto"/>
        <w:bottom w:val="none" w:sz="0" w:space="0" w:color="auto"/>
        <w:right w:val="none" w:sz="0" w:space="0" w:color="auto"/>
      </w:divBdr>
    </w:div>
    <w:div w:id="331684697">
      <w:bodyDiv w:val="1"/>
      <w:marLeft w:val="0"/>
      <w:marRight w:val="0"/>
      <w:marTop w:val="0"/>
      <w:marBottom w:val="0"/>
      <w:divBdr>
        <w:top w:val="none" w:sz="0" w:space="0" w:color="auto"/>
        <w:left w:val="none" w:sz="0" w:space="0" w:color="auto"/>
        <w:bottom w:val="none" w:sz="0" w:space="0" w:color="auto"/>
        <w:right w:val="none" w:sz="0" w:space="0" w:color="auto"/>
      </w:divBdr>
    </w:div>
    <w:div w:id="354504457">
      <w:bodyDiv w:val="1"/>
      <w:marLeft w:val="0"/>
      <w:marRight w:val="0"/>
      <w:marTop w:val="0"/>
      <w:marBottom w:val="0"/>
      <w:divBdr>
        <w:top w:val="none" w:sz="0" w:space="0" w:color="auto"/>
        <w:left w:val="none" w:sz="0" w:space="0" w:color="auto"/>
        <w:bottom w:val="none" w:sz="0" w:space="0" w:color="auto"/>
        <w:right w:val="none" w:sz="0" w:space="0" w:color="auto"/>
      </w:divBdr>
    </w:div>
    <w:div w:id="383219878">
      <w:bodyDiv w:val="1"/>
      <w:marLeft w:val="0"/>
      <w:marRight w:val="0"/>
      <w:marTop w:val="0"/>
      <w:marBottom w:val="0"/>
      <w:divBdr>
        <w:top w:val="none" w:sz="0" w:space="0" w:color="auto"/>
        <w:left w:val="none" w:sz="0" w:space="0" w:color="auto"/>
        <w:bottom w:val="none" w:sz="0" w:space="0" w:color="auto"/>
        <w:right w:val="none" w:sz="0" w:space="0" w:color="auto"/>
      </w:divBdr>
    </w:div>
    <w:div w:id="448813860">
      <w:bodyDiv w:val="1"/>
      <w:marLeft w:val="0"/>
      <w:marRight w:val="0"/>
      <w:marTop w:val="0"/>
      <w:marBottom w:val="0"/>
      <w:divBdr>
        <w:top w:val="none" w:sz="0" w:space="0" w:color="auto"/>
        <w:left w:val="none" w:sz="0" w:space="0" w:color="auto"/>
        <w:bottom w:val="none" w:sz="0" w:space="0" w:color="auto"/>
        <w:right w:val="none" w:sz="0" w:space="0" w:color="auto"/>
      </w:divBdr>
    </w:div>
    <w:div w:id="456411738">
      <w:bodyDiv w:val="1"/>
      <w:marLeft w:val="0"/>
      <w:marRight w:val="0"/>
      <w:marTop w:val="0"/>
      <w:marBottom w:val="0"/>
      <w:divBdr>
        <w:top w:val="none" w:sz="0" w:space="0" w:color="auto"/>
        <w:left w:val="none" w:sz="0" w:space="0" w:color="auto"/>
        <w:bottom w:val="none" w:sz="0" w:space="0" w:color="auto"/>
        <w:right w:val="none" w:sz="0" w:space="0" w:color="auto"/>
      </w:divBdr>
    </w:div>
    <w:div w:id="463353160">
      <w:bodyDiv w:val="1"/>
      <w:marLeft w:val="0"/>
      <w:marRight w:val="0"/>
      <w:marTop w:val="0"/>
      <w:marBottom w:val="0"/>
      <w:divBdr>
        <w:top w:val="none" w:sz="0" w:space="0" w:color="auto"/>
        <w:left w:val="none" w:sz="0" w:space="0" w:color="auto"/>
        <w:bottom w:val="none" w:sz="0" w:space="0" w:color="auto"/>
        <w:right w:val="none" w:sz="0" w:space="0" w:color="auto"/>
      </w:divBdr>
    </w:div>
    <w:div w:id="468130361">
      <w:bodyDiv w:val="1"/>
      <w:marLeft w:val="0"/>
      <w:marRight w:val="0"/>
      <w:marTop w:val="0"/>
      <w:marBottom w:val="0"/>
      <w:divBdr>
        <w:top w:val="none" w:sz="0" w:space="0" w:color="auto"/>
        <w:left w:val="none" w:sz="0" w:space="0" w:color="auto"/>
        <w:bottom w:val="none" w:sz="0" w:space="0" w:color="auto"/>
        <w:right w:val="none" w:sz="0" w:space="0" w:color="auto"/>
      </w:divBdr>
    </w:div>
    <w:div w:id="471290525">
      <w:bodyDiv w:val="1"/>
      <w:marLeft w:val="0"/>
      <w:marRight w:val="0"/>
      <w:marTop w:val="0"/>
      <w:marBottom w:val="0"/>
      <w:divBdr>
        <w:top w:val="none" w:sz="0" w:space="0" w:color="auto"/>
        <w:left w:val="none" w:sz="0" w:space="0" w:color="auto"/>
        <w:bottom w:val="none" w:sz="0" w:space="0" w:color="auto"/>
        <w:right w:val="none" w:sz="0" w:space="0" w:color="auto"/>
      </w:divBdr>
    </w:div>
    <w:div w:id="485632557">
      <w:bodyDiv w:val="1"/>
      <w:marLeft w:val="0"/>
      <w:marRight w:val="0"/>
      <w:marTop w:val="0"/>
      <w:marBottom w:val="0"/>
      <w:divBdr>
        <w:top w:val="none" w:sz="0" w:space="0" w:color="auto"/>
        <w:left w:val="none" w:sz="0" w:space="0" w:color="auto"/>
        <w:bottom w:val="none" w:sz="0" w:space="0" w:color="auto"/>
        <w:right w:val="none" w:sz="0" w:space="0" w:color="auto"/>
      </w:divBdr>
    </w:div>
    <w:div w:id="505484225">
      <w:bodyDiv w:val="1"/>
      <w:marLeft w:val="0"/>
      <w:marRight w:val="0"/>
      <w:marTop w:val="0"/>
      <w:marBottom w:val="0"/>
      <w:divBdr>
        <w:top w:val="none" w:sz="0" w:space="0" w:color="auto"/>
        <w:left w:val="none" w:sz="0" w:space="0" w:color="auto"/>
        <w:bottom w:val="none" w:sz="0" w:space="0" w:color="auto"/>
        <w:right w:val="none" w:sz="0" w:space="0" w:color="auto"/>
      </w:divBdr>
    </w:div>
    <w:div w:id="531069326">
      <w:bodyDiv w:val="1"/>
      <w:marLeft w:val="0"/>
      <w:marRight w:val="0"/>
      <w:marTop w:val="0"/>
      <w:marBottom w:val="0"/>
      <w:divBdr>
        <w:top w:val="none" w:sz="0" w:space="0" w:color="auto"/>
        <w:left w:val="none" w:sz="0" w:space="0" w:color="auto"/>
        <w:bottom w:val="none" w:sz="0" w:space="0" w:color="auto"/>
        <w:right w:val="none" w:sz="0" w:space="0" w:color="auto"/>
      </w:divBdr>
      <w:divsChild>
        <w:div w:id="1670134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174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1235182">
      <w:bodyDiv w:val="1"/>
      <w:marLeft w:val="0"/>
      <w:marRight w:val="0"/>
      <w:marTop w:val="0"/>
      <w:marBottom w:val="0"/>
      <w:divBdr>
        <w:top w:val="none" w:sz="0" w:space="0" w:color="auto"/>
        <w:left w:val="none" w:sz="0" w:space="0" w:color="auto"/>
        <w:bottom w:val="none" w:sz="0" w:space="0" w:color="auto"/>
        <w:right w:val="none" w:sz="0" w:space="0" w:color="auto"/>
      </w:divBdr>
    </w:div>
    <w:div w:id="585727545">
      <w:bodyDiv w:val="1"/>
      <w:marLeft w:val="0"/>
      <w:marRight w:val="0"/>
      <w:marTop w:val="0"/>
      <w:marBottom w:val="0"/>
      <w:divBdr>
        <w:top w:val="none" w:sz="0" w:space="0" w:color="auto"/>
        <w:left w:val="none" w:sz="0" w:space="0" w:color="auto"/>
        <w:bottom w:val="none" w:sz="0" w:space="0" w:color="auto"/>
        <w:right w:val="none" w:sz="0" w:space="0" w:color="auto"/>
      </w:divBdr>
    </w:div>
    <w:div w:id="607078162">
      <w:bodyDiv w:val="1"/>
      <w:marLeft w:val="0"/>
      <w:marRight w:val="0"/>
      <w:marTop w:val="0"/>
      <w:marBottom w:val="0"/>
      <w:divBdr>
        <w:top w:val="none" w:sz="0" w:space="0" w:color="auto"/>
        <w:left w:val="none" w:sz="0" w:space="0" w:color="auto"/>
        <w:bottom w:val="none" w:sz="0" w:space="0" w:color="auto"/>
        <w:right w:val="none" w:sz="0" w:space="0" w:color="auto"/>
      </w:divBdr>
    </w:div>
    <w:div w:id="626859543">
      <w:bodyDiv w:val="1"/>
      <w:marLeft w:val="0"/>
      <w:marRight w:val="0"/>
      <w:marTop w:val="0"/>
      <w:marBottom w:val="0"/>
      <w:divBdr>
        <w:top w:val="none" w:sz="0" w:space="0" w:color="auto"/>
        <w:left w:val="none" w:sz="0" w:space="0" w:color="auto"/>
        <w:bottom w:val="none" w:sz="0" w:space="0" w:color="auto"/>
        <w:right w:val="none" w:sz="0" w:space="0" w:color="auto"/>
      </w:divBdr>
    </w:div>
    <w:div w:id="627971261">
      <w:bodyDiv w:val="1"/>
      <w:marLeft w:val="0"/>
      <w:marRight w:val="0"/>
      <w:marTop w:val="0"/>
      <w:marBottom w:val="0"/>
      <w:divBdr>
        <w:top w:val="none" w:sz="0" w:space="0" w:color="auto"/>
        <w:left w:val="none" w:sz="0" w:space="0" w:color="auto"/>
        <w:bottom w:val="none" w:sz="0" w:space="0" w:color="auto"/>
        <w:right w:val="none" w:sz="0" w:space="0" w:color="auto"/>
      </w:divBdr>
      <w:divsChild>
        <w:div w:id="1675305240">
          <w:marLeft w:val="0"/>
          <w:marRight w:val="0"/>
          <w:marTop w:val="0"/>
          <w:marBottom w:val="0"/>
          <w:divBdr>
            <w:top w:val="none" w:sz="0" w:space="0" w:color="auto"/>
            <w:left w:val="none" w:sz="0" w:space="0" w:color="auto"/>
            <w:bottom w:val="none" w:sz="0" w:space="0" w:color="auto"/>
            <w:right w:val="none" w:sz="0" w:space="0" w:color="auto"/>
          </w:divBdr>
          <w:divsChild>
            <w:div w:id="2035574907">
              <w:marLeft w:val="0"/>
              <w:marRight w:val="0"/>
              <w:marTop w:val="0"/>
              <w:marBottom w:val="0"/>
              <w:divBdr>
                <w:top w:val="none" w:sz="0" w:space="0" w:color="auto"/>
                <w:left w:val="none" w:sz="0" w:space="0" w:color="auto"/>
                <w:bottom w:val="none" w:sz="0" w:space="0" w:color="auto"/>
                <w:right w:val="none" w:sz="0" w:space="0" w:color="auto"/>
              </w:divBdr>
              <w:divsChild>
                <w:div w:id="385640528">
                  <w:marLeft w:val="0"/>
                  <w:marRight w:val="0"/>
                  <w:marTop w:val="0"/>
                  <w:marBottom w:val="0"/>
                  <w:divBdr>
                    <w:top w:val="none" w:sz="0" w:space="0" w:color="auto"/>
                    <w:left w:val="none" w:sz="0" w:space="0" w:color="auto"/>
                    <w:bottom w:val="none" w:sz="0" w:space="0" w:color="auto"/>
                    <w:right w:val="none" w:sz="0" w:space="0" w:color="auto"/>
                  </w:divBdr>
                  <w:divsChild>
                    <w:div w:id="205248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557167">
      <w:bodyDiv w:val="1"/>
      <w:marLeft w:val="0"/>
      <w:marRight w:val="0"/>
      <w:marTop w:val="0"/>
      <w:marBottom w:val="0"/>
      <w:divBdr>
        <w:top w:val="none" w:sz="0" w:space="0" w:color="auto"/>
        <w:left w:val="none" w:sz="0" w:space="0" w:color="auto"/>
        <w:bottom w:val="none" w:sz="0" w:space="0" w:color="auto"/>
        <w:right w:val="none" w:sz="0" w:space="0" w:color="auto"/>
      </w:divBdr>
    </w:div>
    <w:div w:id="635720930">
      <w:bodyDiv w:val="1"/>
      <w:marLeft w:val="0"/>
      <w:marRight w:val="0"/>
      <w:marTop w:val="0"/>
      <w:marBottom w:val="0"/>
      <w:divBdr>
        <w:top w:val="none" w:sz="0" w:space="0" w:color="auto"/>
        <w:left w:val="none" w:sz="0" w:space="0" w:color="auto"/>
        <w:bottom w:val="none" w:sz="0" w:space="0" w:color="auto"/>
        <w:right w:val="none" w:sz="0" w:space="0" w:color="auto"/>
      </w:divBdr>
    </w:div>
    <w:div w:id="641271093">
      <w:bodyDiv w:val="1"/>
      <w:marLeft w:val="0"/>
      <w:marRight w:val="0"/>
      <w:marTop w:val="0"/>
      <w:marBottom w:val="0"/>
      <w:divBdr>
        <w:top w:val="none" w:sz="0" w:space="0" w:color="auto"/>
        <w:left w:val="none" w:sz="0" w:space="0" w:color="auto"/>
        <w:bottom w:val="none" w:sz="0" w:space="0" w:color="auto"/>
        <w:right w:val="none" w:sz="0" w:space="0" w:color="auto"/>
      </w:divBdr>
    </w:div>
    <w:div w:id="662122045">
      <w:bodyDiv w:val="1"/>
      <w:marLeft w:val="0"/>
      <w:marRight w:val="0"/>
      <w:marTop w:val="0"/>
      <w:marBottom w:val="0"/>
      <w:divBdr>
        <w:top w:val="none" w:sz="0" w:space="0" w:color="auto"/>
        <w:left w:val="none" w:sz="0" w:space="0" w:color="auto"/>
        <w:bottom w:val="none" w:sz="0" w:space="0" w:color="auto"/>
        <w:right w:val="none" w:sz="0" w:space="0" w:color="auto"/>
      </w:divBdr>
    </w:div>
    <w:div w:id="680015438">
      <w:bodyDiv w:val="1"/>
      <w:marLeft w:val="0"/>
      <w:marRight w:val="0"/>
      <w:marTop w:val="0"/>
      <w:marBottom w:val="0"/>
      <w:divBdr>
        <w:top w:val="none" w:sz="0" w:space="0" w:color="auto"/>
        <w:left w:val="none" w:sz="0" w:space="0" w:color="auto"/>
        <w:bottom w:val="none" w:sz="0" w:space="0" w:color="auto"/>
        <w:right w:val="none" w:sz="0" w:space="0" w:color="auto"/>
      </w:divBdr>
    </w:div>
    <w:div w:id="703602496">
      <w:bodyDiv w:val="1"/>
      <w:marLeft w:val="0"/>
      <w:marRight w:val="0"/>
      <w:marTop w:val="0"/>
      <w:marBottom w:val="0"/>
      <w:divBdr>
        <w:top w:val="none" w:sz="0" w:space="0" w:color="auto"/>
        <w:left w:val="none" w:sz="0" w:space="0" w:color="auto"/>
        <w:bottom w:val="none" w:sz="0" w:space="0" w:color="auto"/>
        <w:right w:val="none" w:sz="0" w:space="0" w:color="auto"/>
      </w:divBdr>
    </w:div>
    <w:div w:id="707073033">
      <w:bodyDiv w:val="1"/>
      <w:marLeft w:val="0"/>
      <w:marRight w:val="0"/>
      <w:marTop w:val="0"/>
      <w:marBottom w:val="0"/>
      <w:divBdr>
        <w:top w:val="none" w:sz="0" w:space="0" w:color="auto"/>
        <w:left w:val="none" w:sz="0" w:space="0" w:color="auto"/>
        <w:bottom w:val="none" w:sz="0" w:space="0" w:color="auto"/>
        <w:right w:val="none" w:sz="0" w:space="0" w:color="auto"/>
      </w:divBdr>
    </w:div>
    <w:div w:id="721632584">
      <w:bodyDiv w:val="1"/>
      <w:marLeft w:val="0"/>
      <w:marRight w:val="0"/>
      <w:marTop w:val="0"/>
      <w:marBottom w:val="0"/>
      <w:divBdr>
        <w:top w:val="none" w:sz="0" w:space="0" w:color="auto"/>
        <w:left w:val="none" w:sz="0" w:space="0" w:color="auto"/>
        <w:bottom w:val="none" w:sz="0" w:space="0" w:color="auto"/>
        <w:right w:val="none" w:sz="0" w:space="0" w:color="auto"/>
      </w:divBdr>
    </w:div>
    <w:div w:id="730737181">
      <w:bodyDiv w:val="1"/>
      <w:marLeft w:val="0"/>
      <w:marRight w:val="0"/>
      <w:marTop w:val="0"/>
      <w:marBottom w:val="0"/>
      <w:divBdr>
        <w:top w:val="none" w:sz="0" w:space="0" w:color="auto"/>
        <w:left w:val="none" w:sz="0" w:space="0" w:color="auto"/>
        <w:bottom w:val="none" w:sz="0" w:space="0" w:color="auto"/>
        <w:right w:val="none" w:sz="0" w:space="0" w:color="auto"/>
      </w:divBdr>
    </w:div>
    <w:div w:id="742872758">
      <w:bodyDiv w:val="1"/>
      <w:marLeft w:val="0"/>
      <w:marRight w:val="0"/>
      <w:marTop w:val="0"/>
      <w:marBottom w:val="0"/>
      <w:divBdr>
        <w:top w:val="none" w:sz="0" w:space="0" w:color="auto"/>
        <w:left w:val="none" w:sz="0" w:space="0" w:color="auto"/>
        <w:bottom w:val="none" w:sz="0" w:space="0" w:color="auto"/>
        <w:right w:val="none" w:sz="0" w:space="0" w:color="auto"/>
      </w:divBdr>
      <w:divsChild>
        <w:div w:id="1712149434">
          <w:marLeft w:val="0"/>
          <w:marRight w:val="0"/>
          <w:marTop w:val="0"/>
          <w:marBottom w:val="0"/>
          <w:divBdr>
            <w:top w:val="none" w:sz="0" w:space="0" w:color="auto"/>
            <w:left w:val="none" w:sz="0" w:space="0" w:color="auto"/>
            <w:bottom w:val="none" w:sz="0" w:space="0" w:color="auto"/>
            <w:right w:val="none" w:sz="0" w:space="0" w:color="auto"/>
          </w:divBdr>
          <w:divsChild>
            <w:div w:id="674114956">
              <w:marLeft w:val="0"/>
              <w:marRight w:val="0"/>
              <w:marTop w:val="0"/>
              <w:marBottom w:val="0"/>
              <w:divBdr>
                <w:top w:val="none" w:sz="0" w:space="0" w:color="auto"/>
                <w:left w:val="none" w:sz="0" w:space="0" w:color="auto"/>
                <w:bottom w:val="none" w:sz="0" w:space="0" w:color="auto"/>
                <w:right w:val="none" w:sz="0" w:space="0" w:color="auto"/>
              </w:divBdr>
              <w:divsChild>
                <w:div w:id="425927093">
                  <w:marLeft w:val="0"/>
                  <w:marRight w:val="0"/>
                  <w:marTop w:val="0"/>
                  <w:marBottom w:val="0"/>
                  <w:divBdr>
                    <w:top w:val="none" w:sz="0" w:space="0" w:color="auto"/>
                    <w:left w:val="none" w:sz="0" w:space="0" w:color="auto"/>
                    <w:bottom w:val="none" w:sz="0" w:space="0" w:color="auto"/>
                    <w:right w:val="none" w:sz="0" w:space="0" w:color="auto"/>
                  </w:divBdr>
                  <w:divsChild>
                    <w:div w:id="3250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727237">
      <w:bodyDiv w:val="1"/>
      <w:marLeft w:val="0"/>
      <w:marRight w:val="0"/>
      <w:marTop w:val="0"/>
      <w:marBottom w:val="0"/>
      <w:divBdr>
        <w:top w:val="none" w:sz="0" w:space="0" w:color="auto"/>
        <w:left w:val="none" w:sz="0" w:space="0" w:color="auto"/>
        <w:bottom w:val="none" w:sz="0" w:space="0" w:color="auto"/>
        <w:right w:val="none" w:sz="0" w:space="0" w:color="auto"/>
      </w:divBdr>
    </w:div>
    <w:div w:id="753166562">
      <w:bodyDiv w:val="1"/>
      <w:marLeft w:val="0"/>
      <w:marRight w:val="0"/>
      <w:marTop w:val="0"/>
      <w:marBottom w:val="0"/>
      <w:divBdr>
        <w:top w:val="none" w:sz="0" w:space="0" w:color="auto"/>
        <w:left w:val="none" w:sz="0" w:space="0" w:color="auto"/>
        <w:bottom w:val="none" w:sz="0" w:space="0" w:color="auto"/>
        <w:right w:val="none" w:sz="0" w:space="0" w:color="auto"/>
      </w:divBdr>
    </w:div>
    <w:div w:id="771516869">
      <w:bodyDiv w:val="1"/>
      <w:marLeft w:val="0"/>
      <w:marRight w:val="0"/>
      <w:marTop w:val="0"/>
      <w:marBottom w:val="0"/>
      <w:divBdr>
        <w:top w:val="none" w:sz="0" w:space="0" w:color="auto"/>
        <w:left w:val="none" w:sz="0" w:space="0" w:color="auto"/>
        <w:bottom w:val="none" w:sz="0" w:space="0" w:color="auto"/>
        <w:right w:val="none" w:sz="0" w:space="0" w:color="auto"/>
      </w:divBdr>
    </w:div>
    <w:div w:id="794562909">
      <w:bodyDiv w:val="1"/>
      <w:marLeft w:val="0"/>
      <w:marRight w:val="0"/>
      <w:marTop w:val="0"/>
      <w:marBottom w:val="0"/>
      <w:divBdr>
        <w:top w:val="none" w:sz="0" w:space="0" w:color="auto"/>
        <w:left w:val="none" w:sz="0" w:space="0" w:color="auto"/>
        <w:bottom w:val="none" w:sz="0" w:space="0" w:color="auto"/>
        <w:right w:val="none" w:sz="0" w:space="0" w:color="auto"/>
      </w:divBdr>
    </w:div>
    <w:div w:id="838010534">
      <w:bodyDiv w:val="1"/>
      <w:marLeft w:val="0"/>
      <w:marRight w:val="0"/>
      <w:marTop w:val="0"/>
      <w:marBottom w:val="0"/>
      <w:divBdr>
        <w:top w:val="none" w:sz="0" w:space="0" w:color="auto"/>
        <w:left w:val="none" w:sz="0" w:space="0" w:color="auto"/>
        <w:bottom w:val="none" w:sz="0" w:space="0" w:color="auto"/>
        <w:right w:val="none" w:sz="0" w:space="0" w:color="auto"/>
      </w:divBdr>
    </w:div>
    <w:div w:id="838468754">
      <w:bodyDiv w:val="1"/>
      <w:marLeft w:val="0"/>
      <w:marRight w:val="0"/>
      <w:marTop w:val="0"/>
      <w:marBottom w:val="0"/>
      <w:divBdr>
        <w:top w:val="none" w:sz="0" w:space="0" w:color="auto"/>
        <w:left w:val="none" w:sz="0" w:space="0" w:color="auto"/>
        <w:bottom w:val="none" w:sz="0" w:space="0" w:color="auto"/>
        <w:right w:val="none" w:sz="0" w:space="0" w:color="auto"/>
      </w:divBdr>
    </w:div>
    <w:div w:id="842545901">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82253889">
      <w:bodyDiv w:val="1"/>
      <w:marLeft w:val="0"/>
      <w:marRight w:val="0"/>
      <w:marTop w:val="0"/>
      <w:marBottom w:val="0"/>
      <w:divBdr>
        <w:top w:val="none" w:sz="0" w:space="0" w:color="auto"/>
        <w:left w:val="none" w:sz="0" w:space="0" w:color="auto"/>
        <w:bottom w:val="none" w:sz="0" w:space="0" w:color="auto"/>
        <w:right w:val="none" w:sz="0" w:space="0" w:color="auto"/>
      </w:divBdr>
    </w:div>
    <w:div w:id="884483008">
      <w:bodyDiv w:val="1"/>
      <w:marLeft w:val="0"/>
      <w:marRight w:val="0"/>
      <w:marTop w:val="0"/>
      <w:marBottom w:val="0"/>
      <w:divBdr>
        <w:top w:val="none" w:sz="0" w:space="0" w:color="auto"/>
        <w:left w:val="none" w:sz="0" w:space="0" w:color="auto"/>
        <w:bottom w:val="none" w:sz="0" w:space="0" w:color="auto"/>
        <w:right w:val="none" w:sz="0" w:space="0" w:color="auto"/>
      </w:divBdr>
    </w:div>
    <w:div w:id="892547412">
      <w:bodyDiv w:val="1"/>
      <w:marLeft w:val="0"/>
      <w:marRight w:val="0"/>
      <w:marTop w:val="0"/>
      <w:marBottom w:val="0"/>
      <w:divBdr>
        <w:top w:val="none" w:sz="0" w:space="0" w:color="auto"/>
        <w:left w:val="none" w:sz="0" w:space="0" w:color="auto"/>
        <w:bottom w:val="none" w:sz="0" w:space="0" w:color="auto"/>
        <w:right w:val="none" w:sz="0" w:space="0" w:color="auto"/>
      </w:divBdr>
    </w:div>
    <w:div w:id="898133764">
      <w:bodyDiv w:val="1"/>
      <w:marLeft w:val="0"/>
      <w:marRight w:val="0"/>
      <w:marTop w:val="0"/>
      <w:marBottom w:val="0"/>
      <w:divBdr>
        <w:top w:val="none" w:sz="0" w:space="0" w:color="auto"/>
        <w:left w:val="none" w:sz="0" w:space="0" w:color="auto"/>
        <w:bottom w:val="none" w:sz="0" w:space="0" w:color="auto"/>
        <w:right w:val="none" w:sz="0" w:space="0" w:color="auto"/>
      </w:divBdr>
    </w:div>
    <w:div w:id="919674223">
      <w:bodyDiv w:val="1"/>
      <w:marLeft w:val="0"/>
      <w:marRight w:val="0"/>
      <w:marTop w:val="0"/>
      <w:marBottom w:val="0"/>
      <w:divBdr>
        <w:top w:val="none" w:sz="0" w:space="0" w:color="auto"/>
        <w:left w:val="none" w:sz="0" w:space="0" w:color="auto"/>
        <w:bottom w:val="none" w:sz="0" w:space="0" w:color="auto"/>
        <w:right w:val="none" w:sz="0" w:space="0" w:color="auto"/>
      </w:divBdr>
    </w:div>
    <w:div w:id="934165250">
      <w:bodyDiv w:val="1"/>
      <w:marLeft w:val="0"/>
      <w:marRight w:val="0"/>
      <w:marTop w:val="0"/>
      <w:marBottom w:val="0"/>
      <w:divBdr>
        <w:top w:val="none" w:sz="0" w:space="0" w:color="auto"/>
        <w:left w:val="none" w:sz="0" w:space="0" w:color="auto"/>
        <w:bottom w:val="none" w:sz="0" w:space="0" w:color="auto"/>
        <w:right w:val="none" w:sz="0" w:space="0" w:color="auto"/>
      </w:divBdr>
    </w:div>
    <w:div w:id="957880036">
      <w:bodyDiv w:val="1"/>
      <w:marLeft w:val="0"/>
      <w:marRight w:val="0"/>
      <w:marTop w:val="0"/>
      <w:marBottom w:val="0"/>
      <w:divBdr>
        <w:top w:val="none" w:sz="0" w:space="0" w:color="auto"/>
        <w:left w:val="none" w:sz="0" w:space="0" w:color="auto"/>
        <w:bottom w:val="none" w:sz="0" w:space="0" w:color="auto"/>
        <w:right w:val="none" w:sz="0" w:space="0" w:color="auto"/>
      </w:divBdr>
    </w:div>
    <w:div w:id="971137867">
      <w:bodyDiv w:val="1"/>
      <w:marLeft w:val="0"/>
      <w:marRight w:val="0"/>
      <w:marTop w:val="0"/>
      <w:marBottom w:val="0"/>
      <w:divBdr>
        <w:top w:val="none" w:sz="0" w:space="0" w:color="auto"/>
        <w:left w:val="none" w:sz="0" w:space="0" w:color="auto"/>
        <w:bottom w:val="none" w:sz="0" w:space="0" w:color="auto"/>
        <w:right w:val="none" w:sz="0" w:space="0" w:color="auto"/>
      </w:divBdr>
      <w:divsChild>
        <w:div w:id="1326276059">
          <w:marLeft w:val="0"/>
          <w:marRight w:val="0"/>
          <w:marTop w:val="0"/>
          <w:marBottom w:val="0"/>
          <w:divBdr>
            <w:top w:val="none" w:sz="0" w:space="0" w:color="auto"/>
            <w:left w:val="none" w:sz="0" w:space="0" w:color="auto"/>
            <w:bottom w:val="none" w:sz="0" w:space="0" w:color="auto"/>
            <w:right w:val="none" w:sz="0" w:space="0" w:color="auto"/>
          </w:divBdr>
          <w:divsChild>
            <w:div w:id="1166633870">
              <w:marLeft w:val="0"/>
              <w:marRight w:val="0"/>
              <w:marTop w:val="0"/>
              <w:marBottom w:val="0"/>
              <w:divBdr>
                <w:top w:val="none" w:sz="0" w:space="0" w:color="auto"/>
                <w:left w:val="none" w:sz="0" w:space="0" w:color="auto"/>
                <w:bottom w:val="none" w:sz="0" w:space="0" w:color="auto"/>
                <w:right w:val="none" w:sz="0" w:space="0" w:color="auto"/>
              </w:divBdr>
              <w:divsChild>
                <w:div w:id="898633070">
                  <w:marLeft w:val="0"/>
                  <w:marRight w:val="0"/>
                  <w:marTop w:val="0"/>
                  <w:marBottom w:val="0"/>
                  <w:divBdr>
                    <w:top w:val="none" w:sz="0" w:space="0" w:color="auto"/>
                    <w:left w:val="none" w:sz="0" w:space="0" w:color="auto"/>
                    <w:bottom w:val="none" w:sz="0" w:space="0" w:color="auto"/>
                    <w:right w:val="none" w:sz="0" w:space="0" w:color="auto"/>
                  </w:divBdr>
                  <w:divsChild>
                    <w:div w:id="154478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967408">
      <w:bodyDiv w:val="1"/>
      <w:marLeft w:val="0"/>
      <w:marRight w:val="0"/>
      <w:marTop w:val="0"/>
      <w:marBottom w:val="0"/>
      <w:divBdr>
        <w:top w:val="none" w:sz="0" w:space="0" w:color="auto"/>
        <w:left w:val="none" w:sz="0" w:space="0" w:color="auto"/>
        <w:bottom w:val="none" w:sz="0" w:space="0" w:color="auto"/>
        <w:right w:val="none" w:sz="0" w:space="0" w:color="auto"/>
      </w:divBdr>
    </w:div>
    <w:div w:id="1019500709">
      <w:bodyDiv w:val="1"/>
      <w:marLeft w:val="0"/>
      <w:marRight w:val="0"/>
      <w:marTop w:val="0"/>
      <w:marBottom w:val="0"/>
      <w:divBdr>
        <w:top w:val="none" w:sz="0" w:space="0" w:color="auto"/>
        <w:left w:val="none" w:sz="0" w:space="0" w:color="auto"/>
        <w:bottom w:val="none" w:sz="0" w:space="0" w:color="auto"/>
        <w:right w:val="none" w:sz="0" w:space="0" w:color="auto"/>
      </w:divBdr>
    </w:div>
    <w:div w:id="1033074157">
      <w:bodyDiv w:val="1"/>
      <w:marLeft w:val="0"/>
      <w:marRight w:val="0"/>
      <w:marTop w:val="0"/>
      <w:marBottom w:val="0"/>
      <w:divBdr>
        <w:top w:val="none" w:sz="0" w:space="0" w:color="auto"/>
        <w:left w:val="none" w:sz="0" w:space="0" w:color="auto"/>
        <w:bottom w:val="none" w:sz="0" w:space="0" w:color="auto"/>
        <w:right w:val="none" w:sz="0" w:space="0" w:color="auto"/>
      </w:divBdr>
    </w:div>
    <w:div w:id="1055856089">
      <w:bodyDiv w:val="1"/>
      <w:marLeft w:val="0"/>
      <w:marRight w:val="0"/>
      <w:marTop w:val="0"/>
      <w:marBottom w:val="0"/>
      <w:divBdr>
        <w:top w:val="none" w:sz="0" w:space="0" w:color="auto"/>
        <w:left w:val="none" w:sz="0" w:space="0" w:color="auto"/>
        <w:bottom w:val="none" w:sz="0" w:space="0" w:color="auto"/>
        <w:right w:val="none" w:sz="0" w:space="0" w:color="auto"/>
      </w:divBdr>
      <w:divsChild>
        <w:div w:id="1007555700">
          <w:marLeft w:val="0"/>
          <w:marRight w:val="0"/>
          <w:marTop w:val="0"/>
          <w:marBottom w:val="0"/>
          <w:divBdr>
            <w:top w:val="none" w:sz="0" w:space="0" w:color="auto"/>
            <w:left w:val="none" w:sz="0" w:space="0" w:color="auto"/>
            <w:bottom w:val="none" w:sz="0" w:space="0" w:color="auto"/>
            <w:right w:val="none" w:sz="0" w:space="0" w:color="auto"/>
          </w:divBdr>
          <w:divsChild>
            <w:div w:id="611864576">
              <w:marLeft w:val="0"/>
              <w:marRight w:val="0"/>
              <w:marTop w:val="0"/>
              <w:marBottom w:val="0"/>
              <w:divBdr>
                <w:top w:val="none" w:sz="0" w:space="0" w:color="auto"/>
                <w:left w:val="none" w:sz="0" w:space="0" w:color="auto"/>
                <w:bottom w:val="none" w:sz="0" w:space="0" w:color="auto"/>
                <w:right w:val="none" w:sz="0" w:space="0" w:color="auto"/>
              </w:divBdr>
              <w:divsChild>
                <w:div w:id="1639993928">
                  <w:marLeft w:val="0"/>
                  <w:marRight w:val="0"/>
                  <w:marTop w:val="0"/>
                  <w:marBottom w:val="0"/>
                  <w:divBdr>
                    <w:top w:val="none" w:sz="0" w:space="0" w:color="auto"/>
                    <w:left w:val="none" w:sz="0" w:space="0" w:color="auto"/>
                    <w:bottom w:val="none" w:sz="0" w:space="0" w:color="auto"/>
                    <w:right w:val="none" w:sz="0" w:space="0" w:color="auto"/>
                  </w:divBdr>
                  <w:divsChild>
                    <w:div w:id="186956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936775">
      <w:bodyDiv w:val="1"/>
      <w:marLeft w:val="0"/>
      <w:marRight w:val="0"/>
      <w:marTop w:val="0"/>
      <w:marBottom w:val="0"/>
      <w:divBdr>
        <w:top w:val="none" w:sz="0" w:space="0" w:color="auto"/>
        <w:left w:val="none" w:sz="0" w:space="0" w:color="auto"/>
        <w:bottom w:val="none" w:sz="0" w:space="0" w:color="auto"/>
        <w:right w:val="none" w:sz="0" w:space="0" w:color="auto"/>
      </w:divBdr>
    </w:div>
    <w:div w:id="1125270860">
      <w:bodyDiv w:val="1"/>
      <w:marLeft w:val="0"/>
      <w:marRight w:val="0"/>
      <w:marTop w:val="0"/>
      <w:marBottom w:val="0"/>
      <w:divBdr>
        <w:top w:val="none" w:sz="0" w:space="0" w:color="auto"/>
        <w:left w:val="none" w:sz="0" w:space="0" w:color="auto"/>
        <w:bottom w:val="none" w:sz="0" w:space="0" w:color="auto"/>
        <w:right w:val="none" w:sz="0" w:space="0" w:color="auto"/>
      </w:divBdr>
    </w:div>
    <w:div w:id="1150440112">
      <w:bodyDiv w:val="1"/>
      <w:marLeft w:val="0"/>
      <w:marRight w:val="0"/>
      <w:marTop w:val="0"/>
      <w:marBottom w:val="0"/>
      <w:divBdr>
        <w:top w:val="none" w:sz="0" w:space="0" w:color="auto"/>
        <w:left w:val="none" w:sz="0" w:space="0" w:color="auto"/>
        <w:bottom w:val="none" w:sz="0" w:space="0" w:color="auto"/>
        <w:right w:val="none" w:sz="0" w:space="0" w:color="auto"/>
      </w:divBdr>
    </w:div>
    <w:div w:id="1179320593">
      <w:bodyDiv w:val="1"/>
      <w:marLeft w:val="0"/>
      <w:marRight w:val="0"/>
      <w:marTop w:val="0"/>
      <w:marBottom w:val="0"/>
      <w:divBdr>
        <w:top w:val="none" w:sz="0" w:space="0" w:color="auto"/>
        <w:left w:val="none" w:sz="0" w:space="0" w:color="auto"/>
        <w:bottom w:val="none" w:sz="0" w:space="0" w:color="auto"/>
        <w:right w:val="none" w:sz="0" w:space="0" w:color="auto"/>
      </w:divBdr>
    </w:div>
    <w:div w:id="1205747838">
      <w:bodyDiv w:val="1"/>
      <w:marLeft w:val="0"/>
      <w:marRight w:val="0"/>
      <w:marTop w:val="0"/>
      <w:marBottom w:val="0"/>
      <w:divBdr>
        <w:top w:val="none" w:sz="0" w:space="0" w:color="auto"/>
        <w:left w:val="none" w:sz="0" w:space="0" w:color="auto"/>
        <w:bottom w:val="none" w:sz="0" w:space="0" w:color="auto"/>
        <w:right w:val="none" w:sz="0" w:space="0" w:color="auto"/>
      </w:divBdr>
    </w:div>
    <w:div w:id="1216577490">
      <w:bodyDiv w:val="1"/>
      <w:marLeft w:val="0"/>
      <w:marRight w:val="0"/>
      <w:marTop w:val="0"/>
      <w:marBottom w:val="0"/>
      <w:divBdr>
        <w:top w:val="none" w:sz="0" w:space="0" w:color="auto"/>
        <w:left w:val="none" w:sz="0" w:space="0" w:color="auto"/>
        <w:bottom w:val="none" w:sz="0" w:space="0" w:color="auto"/>
        <w:right w:val="none" w:sz="0" w:space="0" w:color="auto"/>
      </w:divBdr>
    </w:div>
    <w:div w:id="1218249000">
      <w:bodyDiv w:val="1"/>
      <w:marLeft w:val="0"/>
      <w:marRight w:val="0"/>
      <w:marTop w:val="0"/>
      <w:marBottom w:val="0"/>
      <w:divBdr>
        <w:top w:val="none" w:sz="0" w:space="0" w:color="auto"/>
        <w:left w:val="none" w:sz="0" w:space="0" w:color="auto"/>
        <w:bottom w:val="none" w:sz="0" w:space="0" w:color="auto"/>
        <w:right w:val="none" w:sz="0" w:space="0" w:color="auto"/>
      </w:divBdr>
    </w:div>
    <w:div w:id="1289970173">
      <w:bodyDiv w:val="1"/>
      <w:marLeft w:val="0"/>
      <w:marRight w:val="0"/>
      <w:marTop w:val="0"/>
      <w:marBottom w:val="0"/>
      <w:divBdr>
        <w:top w:val="none" w:sz="0" w:space="0" w:color="auto"/>
        <w:left w:val="none" w:sz="0" w:space="0" w:color="auto"/>
        <w:bottom w:val="none" w:sz="0" w:space="0" w:color="auto"/>
        <w:right w:val="none" w:sz="0" w:space="0" w:color="auto"/>
      </w:divBdr>
    </w:div>
    <w:div w:id="1292906549">
      <w:bodyDiv w:val="1"/>
      <w:marLeft w:val="0"/>
      <w:marRight w:val="0"/>
      <w:marTop w:val="0"/>
      <w:marBottom w:val="0"/>
      <w:divBdr>
        <w:top w:val="none" w:sz="0" w:space="0" w:color="auto"/>
        <w:left w:val="none" w:sz="0" w:space="0" w:color="auto"/>
        <w:bottom w:val="none" w:sz="0" w:space="0" w:color="auto"/>
        <w:right w:val="none" w:sz="0" w:space="0" w:color="auto"/>
      </w:divBdr>
    </w:div>
    <w:div w:id="1315912296">
      <w:bodyDiv w:val="1"/>
      <w:marLeft w:val="0"/>
      <w:marRight w:val="0"/>
      <w:marTop w:val="0"/>
      <w:marBottom w:val="0"/>
      <w:divBdr>
        <w:top w:val="none" w:sz="0" w:space="0" w:color="auto"/>
        <w:left w:val="none" w:sz="0" w:space="0" w:color="auto"/>
        <w:bottom w:val="none" w:sz="0" w:space="0" w:color="auto"/>
        <w:right w:val="none" w:sz="0" w:space="0" w:color="auto"/>
      </w:divBdr>
    </w:div>
    <w:div w:id="1319192752">
      <w:bodyDiv w:val="1"/>
      <w:marLeft w:val="0"/>
      <w:marRight w:val="0"/>
      <w:marTop w:val="0"/>
      <w:marBottom w:val="0"/>
      <w:divBdr>
        <w:top w:val="none" w:sz="0" w:space="0" w:color="auto"/>
        <w:left w:val="none" w:sz="0" w:space="0" w:color="auto"/>
        <w:bottom w:val="none" w:sz="0" w:space="0" w:color="auto"/>
        <w:right w:val="none" w:sz="0" w:space="0" w:color="auto"/>
      </w:divBdr>
    </w:div>
    <w:div w:id="1319574023">
      <w:bodyDiv w:val="1"/>
      <w:marLeft w:val="0"/>
      <w:marRight w:val="0"/>
      <w:marTop w:val="0"/>
      <w:marBottom w:val="0"/>
      <w:divBdr>
        <w:top w:val="none" w:sz="0" w:space="0" w:color="auto"/>
        <w:left w:val="none" w:sz="0" w:space="0" w:color="auto"/>
        <w:bottom w:val="none" w:sz="0" w:space="0" w:color="auto"/>
        <w:right w:val="none" w:sz="0" w:space="0" w:color="auto"/>
      </w:divBdr>
      <w:divsChild>
        <w:div w:id="1580093131">
          <w:marLeft w:val="0"/>
          <w:marRight w:val="0"/>
          <w:marTop w:val="0"/>
          <w:marBottom w:val="0"/>
          <w:divBdr>
            <w:top w:val="none" w:sz="0" w:space="0" w:color="auto"/>
            <w:left w:val="none" w:sz="0" w:space="0" w:color="auto"/>
            <w:bottom w:val="none" w:sz="0" w:space="0" w:color="auto"/>
            <w:right w:val="none" w:sz="0" w:space="0" w:color="auto"/>
          </w:divBdr>
          <w:divsChild>
            <w:div w:id="715935552">
              <w:marLeft w:val="0"/>
              <w:marRight w:val="0"/>
              <w:marTop w:val="0"/>
              <w:marBottom w:val="0"/>
              <w:divBdr>
                <w:top w:val="none" w:sz="0" w:space="0" w:color="auto"/>
                <w:left w:val="none" w:sz="0" w:space="0" w:color="auto"/>
                <w:bottom w:val="none" w:sz="0" w:space="0" w:color="auto"/>
                <w:right w:val="none" w:sz="0" w:space="0" w:color="auto"/>
              </w:divBdr>
              <w:divsChild>
                <w:div w:id="66926320">
                  <w:marLeft w:val="0"/>
                  <w:marRight w:val="0"/>
                  <w:marTop w:val="0"/>
                  <w:marBottom w:val="0"/>
                  <w:divBdr>
                    <w:top w:val="none" w:sz="0" w:space="0" w:color="auto"/>
                    <w:left w:val="none" w:sz="0" w:space="0" w:color="auto"/>
                    <w:bottom w:val="none" w:sz="0" w:space="0" w:color="auto"/>
                    <w:right w:val="none" w:sz="0" w:space="0" w:color="auto"/>
                  </w:divBdr>
                  <w:divsChild>
                    <w:div w:id="23706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734697">
      <w:bodyDiv w:val="1"/>
      <w:marLeft w:val="0"/>
      <w:marRight w:val="0"/>
      <w:marTop w:val="0"/>
      <w:marBottom w:val="0"/>
      <w:divBdr>
        <w:top w:val="none" w:sz="0" w:space="0" w:color="auto"/>
        <w:left w:val="none" w:sz="0" w:space="0" w:color="auto"/>
        <w:bottom w:val="none" w:sz="0" w:space="0" w:color="auto"/>
        <w:right w:val="none" w:sz="0" w:space="0" w:color="auto"/>
      </w:divBdr>
    </w:div>
    <w:div w:id="1334911649">
      <w:bodyDiv w:val="1"/>
      <w:marLeft w:val="0"/>
      <w:marRight w:val="0"/>
      <w:marTop w:val="0"/>
      <w:marBottom w:val="0"/>
      <w:divBdr>
        <w:top w:val="none" w:sz="0" w:space="0" w:color="auto"/>
        <w:left w:val="none" w:sz="0" w:space="0" w:color="auto"/>
        <w:bottom w:val="none" w:sz="0" w:space="0" w:color="auto"/>
        <w:right w:val="none" w:sz="0" w:space="0" w:color="auto"/>
      </w:divBdr>
    </w:div>
    <w:div w:id="1343162084">
      <w:bodyDiv w:val="1"/>
      <w:marLeft w:val="0"/>
      <w:marRight w:val="0"/>
      <w:marTop w:val="0"/>
      <w:marBottom w:val="0"/>
      <w:divBdr>
        <w:top w:val="none" w:sz="0" w:space="0" w:color="auto"/>
        <w:left w:val="none" w:sz="0" w:space="0" w:color="auto"/>
        <w:bottom w:val="none" w:sz="0" w:space="0" w:color="auto"/>
        <w:right w:val="none" w:sz="0" w:space="0" w:color="auto"/>
      </w:divBdr>
      <w:divsChild>
        <w:div w:id="153493778">
          <w:marLeft w:val="0"/>
          <w:marRight w:val="0"/>
          <w:marTop w:val="0"/>
          <w:marBottom w:val="0"/>
          <w:divBdr>
            <w:top w:val="none" w:sz="0" w:space="0" w:color="auto"/>
            <w:left w:val="none" w:sz="0" w:space="0" w:color="auto"/>
            <w:bottom w:val="none" w:sz="0" w:space="0" w:color="auto"/>
            <w:right w:val="none" w:sz="0" w:space="0" w:color="auto"/>
          </w:divBdr>
          <w:divsChild>
            <w:div w:id="2074228353">
              <w:marLeft w:val="0"/>
              <w:marRight w:val="0"/>
              <w:marTop w:val="0"/>
              <w:marBottom w:val="0"/>
              <w:divBdr>
                <w:top w:val="none" w:sz="0" w:space="0" w:color="auto"/>
                <w:left w:val="none" w:sz="0" w:space="0" w:color="auto"/>
                <w:bottom w:val="none" w:sz="0" w:space="0" w:color="auto"/>
                <w:right w:val="none" w:sz="0" w:space="0" w:color="auto"/>
              </w:divBdr>
              <w:divsChild>
                <w:div w:id="1115058164">
                  <w:marLeft w:val="0"/>
                  <w:marRight w:val="0"/>
                  <w:marTop w:val="0"/>
                  <w:marBottom w:val="0"/>
                  <w:divBdr>
                    <w:top w:val="none" w:sz="0" w:space="0" w:color="auto"/>
                    <w:left w:val="none" w:sz="0" w:space="0" w:color="auto"/>
                    <w:bottom w:val="none" w:sz="0" w:space="0" w:color="auto"/>
                    <w:right w:val="none" w:sz="0" w:space="0" w:color="auto"/>
                  </w:divBdr>
                  <w:divsChild>
                    <w:div w:id="59540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984739">
      <w:bodyDiv w:val="1"/>
      <w:marLeft w:val="0"/>
      <w:marRight w:val="0"/>
      <w:marTop w:val="0"/>
      <w:marBottom w:val="0"/>
      <w:divBdr>
        <w:top w:val="none" w:sz="0" w:space="0" w:color="auto"/>
        <w:left w:val="none" w:sz="0" w:space="0" w:color="auto"/>
        <w:bottom w:val="none" w:sz="0" w:space="0" w:color="auto"/>
        <w:right w:val="none" w:sz="0" w:space="0" w:color="auto"/>
      </w:divBdr>
    </w:div>
    <w:div w:id="1346590763">
      <w:bodyDiv w:val="1"/>
      <w:marLeft w:val="0"/>
      <w:marRight w:val="0"/>
      <w:marTop w:val="0"/>
      <w:marBottom w:val="0"/>
      <w:divBdr>
        <w:top w:val="none" w:sz="0" w:space="0" w:color="auto"/>
        <w:left w:val="none" w:sz="0" w:space="0" w:color="auto"/>
        <w:bottom w:val="none" w:sz="0" w:space="0" w:color="auto"/>
        <w:right w:val="none" w:sz="0" w:space="0" w:color="auto"/>
      </w:divBdr>
    </w:div>
    <w:div w:id="1352534662">
      <w:bodyDiv w:val="1"/>
      <w:marLeft w:val="0"/>
      <w:marRight w:val="0"/>
      <w:marTop w:val="0"/>
      <w:marBottom w:val="0"/>
      <w:divBdr>
        <w:top w:val="none" w:sz="0" w:space="0" w:color="auto"/>
        <w:left w:val="none" w:sz="0" w:space="0" w:color="auto"/>
        <w:bottom w:val="none" w:sz="0" w:space="0" w:color="auto"/>
        <w:right w:val="none" w:sz="0" w:space="0" w:color="auto"/>
      </w:divBdr>
    </w:div>
    <w:div w:id="1359938363">
      <w:bodyDiv w:val="1"/>
      <w:marLeft w:val="0"/>
      <w:marRight w:val="0"/>
      <w:marTop w:val="0"/>
      <w:marBottom w:val="0"/>
      <w:divBdr>
        <w:top w:val="none" w:sz="0" w:space="0" w:color="auto"/>
        <w:left w:val="none" w:sz="0" w:space="0" w:color="auto"/>
        <w:bottom w:val="none" w:sz="0" w:space="0" w:color="auto"/>
        <w:right w:val="none" w:sz="0" w:space="0" w:color="auto"/>
      </w:divBdr>
    </w:div>
    <w:div w:id="1397820787">
      <w:bodyDiv w:val="1"/>
      <w:marLeft w:val="0"/>
      <w:marRight w:val="0"/>
      <w:marTop w:val="0"/>
      <w:marBottom w:val="0"/>
      <w:divBdr>
        <w:top w:val="none" w:sz="0" w:space="0" w:color="auto"/>
        <w:left w:val="none" w:sz="0" w:space="0" w:color="auto"/>
        <w:bottom w:val="none" w:sz="0" w:space="0" w:color="auto"/>
        <w:right w:val="none" w:sz="0" w:space="0" w:color="auto"/>
      </w:divBdr>
    </w:div>
    <w:div w:id="1412432323">
      <w:bodyDiv w:val="1"/>
      <w:marLeft w:val="0"/>
      <w:marRight w:val="0"/>
      <w:marTop w:val="0"/>
      <w:marBottom w:val="0"/>
      <w:divBdr>
        <w:top w:val="none" w:sz="0" w:space="0" w:color="auto"/>
        <w:left w:val="none" w:sz="0" w:space="0" w:color="auto"/>
        <w:bottom w:val="none" w:sz="0" w:space="0" w:color="auto"/>
        <w:right w:val="none" w:sz="0" w:space="0" w:color="auto"/>
      </w:divBdr>
    </w:div>
    <w:div w:id="1433436056">
      <w:bodyDiv w:val="1"/>
      <w:marLeft w:val="0"/>
      <w:marRight w:val="0"/>
      <w:marTop w:val="0"/>
      <w:marBottom w:val="0"/>
      <w:divBdr>
        <w:top w:val="none" w:sz="0" w:space="0" w:color="auto"/>
        <w:left w:val="none" w:sz="0" w:space="0" w:color="auto"/>
        <w:bottom w:val="none" w:sz="0" w:space="0" w:color="auto"/>
        <w:right w:val="none" w:sz="0" w:space="0" w:color="auto"/>
      </w:divBdr>
    </w:div>
    <w:div w:id="1459185176">
      <w:bodyDiv w:val="1"/>
      <w:marLeft w:val="0"/>
      <w:marRight w:val="0"/>
      <w:marTop w:val="0"/>
      <w:marBottom w:val="0"/>
      <w:divBdr>
        <w:top w:val="none" w:sz="0" w:space="0" w:color="auto"/>
        <w:left w:val="none" w:sz="0" w:space="0" w:color="auto"/>
        <w:bottom w:val="none" w:sz="0" w:space="0" w:color="auto"/>
        <w:right w:val="none" w:sz="0" w:space="0" w:color="auto"/>
      </w:divBdr>
    </w:div>
    <w:div w:id="1491363144">
      <w:bodyDiv w:val="1"/>
      <w:marLeft w:val="0"/>
      <w:marRight w:val="0"/>
      <w:marTop w:val="0"/>
      <w:marBottom w:val="0"/>
      <w:divBdr>
        <w:top w:val="none" w:sz="0" w:space="0" w:color="auto"/>
        <w:left w:val="none" w:sz="0" w:space="0" w:color="auto"/>
        <w:bottom w:val="none" w:sz="0" w:space="0" w:color="auto"/>
        <w:right w:val="none" w:sz="0" w:space="0" w:color="auto"/>
      </w:divBdr>
    </w:div>
    <w:div w:id="1524006111">
      <w:bodyDiv w:val="1"/>
      <w:marLeft w:val="0"/>
      <w:marRight w:val="0"/>
      <w:marTop w:val="0"/>
      <w:marBottom w:val="0"/>
      <w:divBdr>
        <w:top w:val="none" w:sz="0" w:space="0" w:color="auto"/>
        <w:left w:val="none" w:sz="0" w:space="0" w:color="auto"/>
        <w:bottom w:val="none" w:sz="0" w:space="0" w:color="auto"/>
        <w:right w:val="none" w:sz="0" w:space="0" w:color="auto"/>
      </w:divBdr>
    </w:div>
    <w:div w:id="1525824765">
      <w:bodyDiv w:val="1"/>
      <w:marLeft w:val="0"/>
      <w:marRight w:val="0"/>
      <w:marTop w:val="0"/>
      <w:marBottom w:val="0"/>
      <w:divBdr>
        <w:top w:val="none" w:sz="0" w:space="0" w:color="auto"/>
        <w:left w:val="none" w:sz="0" w:space="0" w:color="auto"/>
        <w:bottom w:val="none" w:sz="0" w:space="0" w:color="auto"/>
        <w:right w:val="none" w:sz="0" w:space="0" w:color="auto"/>
      </w:divBdr>
    </w:div>
    <w:div w:id="1532452749">
      <w:bodyDiv w:val="1"/>
      <w:marLeft w:val="0"/>
      <w:marRight w:val="0"/>
      <w:marTop w:val="0"/>
      <w:marBottom w:val="0"/>
      <w:divBdr>
        <w:top w:val="none" w:sz="0" w:space="0" w:color="auto"/>
        <w:left w:val="none" w:sz="0" w:space="0" w:color="auto"/>
        <w:bottom w:val="none" w:sz="0" w:space="0" w:color="auto"/>
        <w:right w:val="none" w:sz="0" w:space="0" w:color="auto"/>
      </w:divBdr>
    </w:div>
    <w:div w:id="1588415466">
      <w:bodyDiv w:val="1"/>
      <w:marLeft w:val="0"/>
      <w:marRight w:val="0"/>
      <w:marTop w:val="0"/>
      <w:marBottom w:val="0"/>
      <w:divBdr>
        <w:top w:val="none" w:sz="0" w:space="0" w:color="auto"/>
        <w:left w:val="none" w:sz="0" w:space="0" w:color="auto"/>
        <w:bottom w:val="none" w:sz="0" w:space="0" w:color="auto"/>
        <w:right w:val="none" w:sz="0" w:space="0" w:color="auto"/>
      </w:divBdr>
    </w:div>
    <w:div w:id="1604800336">
      <w:bodyDiv w:val="1"/>
      <w:marLeft w:val="0"/>
      <w:marRight w:val="0"/>
      <w:marTop w:val="0"/>
      <w:marBottom w:val="0"/>
      <w:divBdr>
        <w:top w:val="none" w:sz="0" w:space="0" w:color="auto"/>
        <w:left w:val="none" w:sz="0" w:space="0" w:color="auto"/>
        <w:bottom w:val="none" w:sz="0" w:space="0" w:color="auto"/>
        <w:right w:val="none" w:sz="0" w:space="0" w:color="auto"/>
      </w:divBdr>
      <w:divsChild>
        <w:div w:id="584219052">
          <w:marLeft w:val="0"/>
          <w:marRight w:val="0"/>
          <w:marTop w:val="0"/>
          <w:marBottom w:val="0"/>
          <w:divBdr>
            <w:top w:val="none" w:sz="0" w:space="0" w:color="auto"/>
            <w:left w:val="none" w:sz="0" w:space="0" w:color="auto"/>
            <w:bottom w:val="none" w:sz="0" w:space="0" w:color="auto"/>
            <w:right w:val="none" w:sz="0" w:space="0" w:color="auto"/>
          </w:divBdr>
          <w:divsChild>
            <w:div w:id="141893498">
              <w:marLeft w:val="0"/>
              <w:marRight w:val="0"/>
              <w:marTop w:val="0"/>
              <w:marBottom w:val="0"/>
              <w:divBdr>
                <w:top w:val="none" w:sz="0" w:space="0" w:color="auto"/>
                <w:left w:val="none" w:sz="0" w:space="0" w:color="auto"/>
                <w:bottom w:val="none" w:sz="0" w:space="0" w:color="auto"/>
                <w:right w:val="none" w:sz="0" w:space="0" w:color="auto"/>
              </w:divBdr>
              <w:divsChild>
                <w:div w:id="399718367">
                  <w:marLeft w:val="0"/>
                  <w:marRight w:val="0"/>
                  <w:marTop w:val="0"/>
                  <w:marBottom w:val="0"/>
                  <w:divBdr>
                    <w:top w:val="none" w:sz="0" w:space="0" w:color="auto"/>
                    <w:left w:val="none" w:sz="0" w:space="0" w:color="auto"/>
                    <w:bottom w:val="none" w:sz="0" w:space="0" w:color="auto"/>
                    <w:right w:val="none" w:sz="0" w:space="0" w:color="auto"/>
                  </w:divBdr>
                  <w:divsChild>
                    <w:div w:id="150203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014227">
      <w:bodyDiv w:val="1"/>
      <w:marLeft w:val="0"/>
      <w:marRight w:val="0"/>
      <w:marTop w:val="0"/>
      <w:marBottom w:val="0"/>
      <w:divBdr>
        <w:top w:val="none" w:sz="0" w:space="0" w:color="auto"/>
        <w:left w:val="none" w:sz="0" w:space="0" w:color="auto"/>
        <w:bottom w:val="none" w:sz="0" w:space="0" w:color="auto"/>
        <w:right w:val="none" w:sz="0" w:space="0" w:color="auto"/>
      </w:divBdr>
    </w:div>
    <w:div w:id="1618441880">
      <w:bodyDiv w:val="1"/>
      <w:marLeft w:val="0"/>
      <w:marRight w:val="0"/>
      <w:marTop w:val="0"/>
      <w:marBottom w:val="0"/>
      <w:divBdr>
        <w:top w:val="none" w:sz="0" w:space="0" w:color="auto"/>
        <w:left w:val="none" w:sz="0" w:space="0" w:color="auto"/>
        <w:bottom w:val="none" w:sz="0" w:space="0" w:color="auto"/>
        <w:right w:val="none" w:sz="0" w:space="0" w:color="auto"/>
      </w:divBdr>
      <w:divsChild>
        <w:div w:id="1319310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640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259387">
      <w:bodyDiv w:val="1"/>
      <w:marLeft w:val="0"/>
      <w:marRight w:val="0"/>
      <w:marTop w:val="0"/>
      <w:marBottom w:val="0"/>
      <w:divBdr>
        <w:top w:val="none" w:sz="0" w:space="0" w:color="auto"/>
        <w:left w:val="none" w:sz="0" w:space="0" w:color="auto"/>
        <w:bottom w:val="none" w:sz="0" w:space="0" w:color="auto"/>
        <w:right w:val="none" w:sz="0" w:space="0" w:color="auto"/>
      </w:divBdr>
    </w:div>
    <w:div w:id="1625161932">
      <w:bodyDiv w:val="1"/>
      <w:marLeft w:val="0"/>
      <w:marRight w:val="0"/>
      <w:marTop w:val="0"/>
      <w:marBottom w:val="0"/>
      <w:divBdr>
        <w:top w:val="none" w:sz="0" w:space="0" w:color="auto"/>
        <w:left w:val="none" w:sz="0" w:space="0" w:color="auto"/>
        <w:bottom w:val="none" w:sz="0" w:space="0" w:color="auto"/>
        <w:right w:val="none" w:sz="0" w:space="0" w:color="auto"/>
      </w:divBdr>
    </w:div>
    <w:div w:id="1665887861">
      <w:bodyDiv w:val="1"/>
      <w:marLeft w:val="0"/>
      <w:marRight w:val="0"/>
      <w:marTop w:val="0"/>
      <w:marBottom w:val="0"/>
      <w:divBdr>
        <w:top w:val="none" w:sz="0" w:space="0" w:color="auto"/>
        <w:left w:val="none" w:sz="0" w:space="0" w:color="auto"/>
        <w:bottom w:val="none" w:sz="0" w:space="0" w:color="auto"/>
        <w:right w:val="none" w:sz="0" w:space="0" w:color="auto"/>
      </w:divBdr>
    </w:div>
    <w:div w:id="1700862212">
      <w:bodyDiv w:val="1"/>
      <w:marLeft w:val="0"/>
      <w:marRight w:val="0"/>
      <w:marTop w:val="0"/>
      <w:marBottom w:val="0"/>
      <w:divBdr>
        <w:top w:val="none" w:sz="0" w:space="0" w:color="auto"/>
        <w:left w:val="none" w:sz="0" w:space="0" w:color="auto"/>
        <w:bottom w:val="none" w:sz="0" w:space="0" w:color="auto"/>
        <w:right w:val="none" w:sz="0" w:space="0" w:color="auto"/>
      </w:divBdr>
    </w:div>
    <w:div w:id="1706059940">
      <w:bodyDiv w:val="1"/>
      <w:marLeft w:val="0"/>
      <w:marRight w:val="0"/>
      <w:marTop w:val="0"/>
      <w:marBottom w:val="0"/>
      <w:divBdr>
        <w:top w:val="none" w:sz="0" w:space="0" w:color="auto"/>
        <w:left w:val="none" w:sz="0" w:space="0" w:color="auto"/>
        <w:bottom w:val="none" w:sz="0" w:space="0" w:color="auto"/>
        <w:right w:val="none" w:sz="0" w:space="0" w:color="auto"/>
      </w:divBdr>
    </w:div>
    <w:div w:id="1717509229">
      <w:bodyDiv w:val="1"/>
      <w:marLeft w:val="0"/>
      <w:marRight w:val="0"/>
      <w:marTop w:val="0"/>
      <w:marBottom w:val="0"/>
      <w:divBdr>
        <w:top w:val="none" w:sz="0" w:space="0" w:color="auto"/>
        <w:left w:val="none" w:sz="0" w:space="0" w:color="auto"/>
        <w:bottom w:val="none" w:sz="0" w:space="0" w:color="auto"/>
        <w:right w:val="none" w:sz="0" w:space="0" w:color="auto"/>
      </w:divBdr>
    </w:div>
    <w:div w:id="1732659213">
      <w:bodyDiv w:val="1"/>
      <w:marLeft w:val="0"/>
      <w:marRight w:val="0"/>
      <w:marTop w:val="0"/>
      <w:marBottom w:val="0"/>
      <w:divBdr>
        <w:top w:val="none" w:sz="0" w:space="0" w:color="auto"/>
        <w:left w:val="none" w:sz="0" w:space="0" w:color="auto"/>
        <w:bottom w:val="none" w:sz="0" w:space="0" w:color="auto"/>
        <w:right w:val="none" w:sz="0" w:space="0" w:color="auto"/>
      </w:divBdr>
    </w:div>
    <w:div w:id="1755004339">
      <w:bodyDiv w:val="1"/>
      <w:marLeft w:val="0"/>
      <w:marRight w:val="0"/>
      <w:marTop w:val="0"/>
      <w:marBottom w:val="0"/>
      <w:divBdr>
        <w:top w:val="none" w:sz="0" w:space="0" w:color="auto"/>
        <w:left w:val="none" w:sz="0" w:space="0" w:color="auto"/>
        <w:bottom w:val="none" w:sz="0" w:space="0" w:color="auto"/>
        <w:right w:val="none" w:sz="0" w:space="0" w:color="auto"/>
      </w:divBdr>
    </w:div>
    <w:div w:id="1758551823">
      <w:bodyDiv w:val="1"/>
      <w:marLeft w:val="0"/>
      <w:marRight w:val="0"/>
      <w:marTop w:val="0"/>
      <w:marBottom w:val="0"/>
      <w:divBdr>
        <w:top w:val="none" w:sz="0" w:space="0" w:color="auto"/>
        <w:left w:val="none" w:sz="0" w:space="0" w:color="auto"/>
        <w:bottom w:val="none" w:sz="0" w:space="0" w:color="auto"/>
        <w:right w:val="none" w:sz="0" w:space="0" w:color="auto"/>
      </w:divBdr>
    </w:div>
    <w:div w:id="1780756259">
      <w:bodyDiv w:val="1"/>
      <w:marLeft w:val="0"/>
      <w:marRight w:val="0"/>
      <w:marTop w:val="0"/>
      <w:marBottom w:val="0"/>
      <w:divBdr>
        <w:top w:val="none" w:sz="0" w:space="0" w:color="auto"/>
        <w:left w:val="none" w:sz="0" w:space="0" w:color="auto"/>
        <w:bottom w:val="none" w:sz="0" w:space="0" w:color="auto"/>
        <w:right w:val="none" w:sz="0" w:space="0" w:color="auto"/>
      </w:divBdr>
    </w:div>
    <w:div w:id="1833251516">
      <w:bodyDiv w:val="1"/>
      <w:marLeft w:val="0"/>
      <w:marRight w:val="0"/>
      <w:marTop w:val="0"/>
      <w:marBottom w:val="0"/>
      <w:divBdr>
        <w:top w:val="none" w:sz="0" w:space="0" w:color="auto"/>
        <w:left w:val="none" w:sz="0" w:space="0" w:color="auto"/>
        <w:bottom w:val="none" w:sz="0" w:space="0" w:color="auto"/>
        <w:right w:val="none" w:sz="0" w:space="0" w:color="auto"/>
      </w:divBdr>
      <w:divsChild>
        <w:div w:id="879710633">
          <w:marLeft w:val="0"/>
          <w:marRight w:val="0"/>
          <w:marTop w:val="0"/>
          <w:marBottom w:val="0"/>
          <w:divBdr>
            <w:top w:val="none" w:sz="0" w:space="0" w:color="auto"/>
            <w:left w:val="none" w:sz="0" w:space="0" w:color="auto"/>
            <w:bottom w:val="none" w:sz="0" w:space="0" w:color="auto"/>
            <w:right w:val="none" w:sz="0" w:space="0" w:color="auto"/>
          </w:divBdr>
          <w:divsChild>
            <w:div w:id="803037606">
              <w:marLeft w:val="0"/>
              <w:marRight w:val="0"/>
              <w:marTop w:val="0"/>
              <w:marBottom w:val="0"/>
              <w:divBdr>
                <w:top w:val="none" w:sz="0" w:space="0" w:color="auto"/>
                <w:left w:val="none" w:sz="0" w:space="0" w:color="auto"/>
                <w:bottom w:val="none" w:sz="0" w:space="0" w:color="auto"/>
                <w:right w:val="none" w:sz="0" w:space="0" w:color="auto"/>
              </w:divBdr>
              <w:divsChild>
                <w:div w:id="645625659">
                  <w:marLeft w:val="0"/>
                  <w:marRight w:val="0"/>
                  <w:marTop w:val="0"/>
                  <w:marBottom w:val="0"/>
                  <w:divBdr>
                    <w:top w:val="none" w:sz="0" w:space="0" w:color="auto"/>
                    <w:left w:val="none" w:sz="0" w:space="0" w:color="auto"/>
                    <w:bottom w:val="none" w:sz="0" w:space="0" w:color="auto"/>
                    <w:right w:val="none" w:sz="0" w:space="0" w:color="auto"/>
                  </w:divBdr>
                  <w:divsChild>
                    <w:div w:id="42376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97753">
      <w:bodyDiv w:val="1"/>
      <w:marLeft w:val="0"/>
      <w:marRight w:val="0"/>
      <w:marTop w:val="0"/>
      <w:marBottom w:val="0"/>
      <w:divBdr>
        <w:top w:val="none" w:sz="0" w:space="0" w:color="auto"/>
        <w:left w:val="none" w:sz="0" w:space="0" w:color="auto"/>
        <w:bottom w:val="none" w:sz="0" w:space="0" w:color="auto"/>
        <w:right w:val="none" w:sz="0" w:space="0" w:color="auto"/>
      </w:divBdr>
    </w:div>
    <w:div w:id="1846507101">
      <w:bodyDiv w:val="1"/>
      <w:marLeft w:val="0"/>
      <w:marRight w:val="0"/>
      <w:marTop w:val="0"/>
      <w:marBottom w:val="0"/>
      <w:divBdr>
        <w:top w:val="none" w:sz="0" w:space="0" w:color="auto"/>
        <w:left w:val="none" w:sz="0" w:space="0" w:color="auto"/>
        <w:bottom w:val="none" w:sz="0" w:space="0" w:color="auto"/>
        <w:right w:val="none" w:sz="0" w:space="0" w:color="auto"/>
      </w:divBdr>
    </w:div>
    <w:div w:id="1848013321">
      <w:bodyDiv w:val="1"/>
      <w:marLeft w:val="0"/>
      <w:marRight w:val="0"/>
      <w:marTop w:val="0"/>
      <w:marBottom w:val="0"/>
      <w:divBdr>
        <w:top w:val="none" w:sz="0" w:space="0" w:color="auto"/>
        <w:left w:val="none" w:sz="0" w:space="0" w:color="auto"/>
        <w:bottom w:val="none" w:sz="0" w:space="0" w:color="auto"/>
        <w:right w:val="none" w:sz="0" w:space="0" w:color="auto"/>
      </w:divBdr>
    </w:div>
    <w:div w:id="1903565906">
      <w:bodyDiv w:val="1"/>
      <w:marLeft w:val="0"/>
      <w:marRight w:val="0"/>
      <w:marTop w:val="0"/>
      <w:marBottom w:val="0"/>
      <w:divBdr>
        <w:top w:val="none" w:sz="0" w:space="0" w:color="auto"/>
        <w:left w:val="none" w:sz="0" w:space="0" w:color="auto"/>
        <w:bottom w:val="none" w:sz="0" w:space="0" w:color="auto"/>
        <w:right w:val="none" w:sz="0" w:space="0" w:color="auto"/>
      </w:divBdr>
    </w:div>
    <w:div w:id="1925527706">
      <w:bodyDiv w:val="1"/>
      <w:marLeft w:val="0"/>
      <w:marRight w:val="0"/>
      <w:marTop w:val="0"/>
      <w:marBottom w:val="0"/>
      <w:divBdr>
        <w:top w:val="none" w:sz="0" w:space="0" w:color="auto"/>
        <w:left w:val="none" w:sz="0" w:space="0" w:color="auto"/>
        <w:bottom w:val="none" w:sz="0" w:space="0" w:color="auto"/>
        <w:right w:val="none" w:sz="0" w:space="0" w:color="auto"/>
      </w:divBdr>
    </w:div>
    <w:div w:id="1928927603">
      <w:bodyDiv w:val="1"/>
      <w:marLeft w:val="0"/>
      <w:marRight w:val="0"/>
      <w:marTop w:val="0"/>
      <w:marBottom w:val="0"/>
      <w:divBdr>
        <w:top w:val="none" w:sz="0" w:space="0" w:color="auto"/>
        <w:left w:val="none" w:sz="0" w:space="0" w:color="auto"/>
        <w:bottom w:val="none" w:sz="0" w:space="0" w:color="auto"/>
        <w:right w:val="none" w:sz="0" w:space="0" w:color="auto"/>
      </w:divBdr>
    </w:div>
    <w:div w:id="1958095008">
      <w:bodyDiv w:val="1"/>
      <w:marLeft w:val="0"/>
      <w:marRight w:val="0"/>
      <w:marTop w:val="0"/>
      <w:marBottom w:val="0"/>
      <w:divBdr>
        <w:top w:val="none" w:sz="0" w:space="0" w:color="auto"/>
        <w:left w:val="none" w:sz="0" w:space="0" w:color="auto"/>
        <w:bottom w:val="none" w:sz="0" w:space="0" w:color="auto"/>
        <w:right w:val="none" w:sz="0" w:space="0" w:color="auto"/>
      </w:divBdr>
    </w:div>
    <w:div w:id="1970820571">
      <w:bodyDiv w:val="1"/>
      <w:marLeft w:val="0"/>
      <w:marRight w:val="0"/>
      <w:marTop w:val="0"/>
      <w:marBottom w:val="0"/>
      <w:divBdr>
        <w:top w:val="none" w:sz="0" w:space="0" w:color="auto"/>
        <w:left w:val="none" w:sz="0" w:space="0" w:color="auto"/>
        <w:bottom w:val="none" w:sz="0" w:space="0" w:color="auto"/>
        <w:right w:val="none" w:sz="0" w:space="0" w:color="auto"/>
      </w:divBdr>
    </w:div>
    <w:div w:id="1975595016">
      <w:bodyDiv w:val="1"/>
      <w:marLeft w:val="0"/>
      <w:marRight w:val="0"/>
      <w:marTop w:val="0"/>
      <w:marBottom w:val="0"/>
      <w:divBdr>
        <w:top w:val="none" w:sz="0" w:space="0" w:color="auto"/>
        <w:left w:val="none" w:sz="0" w:space="0" w:color="auto"/>
        <w:bottom w:val="none" w:sz="0" w:space="0" w:color="auto"/>
        <w:right w:val="none" w:sz="0" w:space="0" w:color="auto"/>
      </w:divBdr>
    </w:div>
    <w:div w:id="2014718321">
      <w:bodyDiv w:val="1"/>
      <w:marLeft w:val="0"/>
      <w:marRight w:val="0"/>
      <w:marTop w:val="0"/>
      <w:marBottom w:val="0"/>
      <w:divBdr>
        <w:top w:val="none" w:sz="0" w:space="0" w:color="auto"/>
        <w:left w:val="none" w:sz="0" w:space="0" w:color="auto"/>
        <w:bottom w:val="none" w:sz="0" w:space="0" w:color="auto"/>
        <w:right w:val="none" w:sz="0" w:space="0" w:color="auto"/>
      </w:divBdr>
    </w:div>
    <w:div w:id="2038193676">
      <w:bodyDiv w:val="1"/>
      <w:marLeft w:val="0"/>
      <w:marRight w:val="0"/>
      <w:marTop w:val="0"/>
      <w:marBottom w:val="0"/>
      <w:divBdr>
        <w:top w:val="none" w:sz="0" w:space="0" w:color="auto"/>
        <w:left w:val="none" w:sz="0" w:space="0" w:color="auto"/>
        <w:bottom w:val="none" w:sz="0" w:space="0" w:color="auto"/>
        <w:right w:val="none" w:sz="0" w:space="0" w:color="auto"/>
      </w:divBdr>
    </w:div>
    <w:div w:id="2055695365">
      <w:bodyDiv w:val="1"/>
      <w:marLeft w:val="0"/>
      <w:marRight w:val="0"/>
      <w:marTop w:val="0"/>
      <w:marBottom w:val="0"/>
      <w:divBdr>
        <w:top w:val="none" w:sz="0" w:space="0" w:color="auto"/>
        <w:left w:val="none" w:sz="0" w:space="0" w:color="auto"/>
        <w:bottom w:val="none" w:sz="0" w:space="0" w:color="auto"/>
        <w:right w:val="none" w:sz="0" w:space="0" w:color="auto"/>
      </w:divBdr>
    </w:div>
    <w:div w:id="2056848535">
      <w:bodyDiv w:val="1"/>
      <w:marLeft w:val="0"/>
      <w:marRight w:val="0"/>
      <w:marTop w:val="0"/>
      <w:marBottom w:val="0"/>
      <w:divBdr>
        <w:top w:val="none" w:sz="0" w:space="0" w:color="auto"/>
        <w:left w:val="none" w:sz="0" w:space="0" w:color="auto"/>
        <w:bottom w:val="none" w:sz="0" w:space="0" w:color="auto"/>
        <w:right w:val="none" w:sz="0" w:space="0" w:color="auto"/>
      </w:divBdr>
    </w:div>
    <w:div w:id="2086950084">
      <w:bodyDiv w:val="1"/>
      <w:marLeft w:val="0"/>
      <w:marRight w:val="0"/>
      <w:marTop w:val="0"/>
      <w:marBottom w:val="0"/>
      <w:divBdr>
        <w:top w:val="none" w:sz="0" w:space="0" w:color="auto"/>
        <w:left w:val="none" w:sz="0" w:space="0" w:color="auto"/>
        <w:bottom w:val="none" w:sz="0" w:space="0" w:color="auto"/>
        <w:right w:val="none" w:sz="0" w:space="0" w:color="auto"/>
      </w:divBdr>
    </w:div>
    <w:div w:id="2098015364">
      <w:bodyDiv w:val="1"/>
      <w:marLeft w:val="0"/>
      <w:marRight w:val="0"/>
      <w:marTop w:val="0"/>
      <w:marBottom w:val="0"/>
      <w:divBdr>
        <w:top w:val="none" w:sz="0" w:space="0" w:color="auto"/>
        <w:left w:val="none" w:sz="0" w:space="0" w:color="auto"/>
        <w:bottom w:val="none" w:sz="0" w:space="0" w:color="auto"/>
        <w:right w:val="none" w:sz="0" w:space="0" w:color="auto"/>
      </w:divBdr>
    </w:div>
    <w:div w:id="2098556488">
      <w:bodyDiv w:val="1"/>
      <w:marLeft w:val="0"/>
      <w:marRight w:val="0"/>
      <w:marTop w:val="0"/>
      <w:marBottom w:val="0"/>
      <w:divBdr>
        <w:top w:val="none" w:sz="0" w:space="0" w:color="auto"/>
        <w:left w:val="none" w:sz="0" w:space="0" w:color="auto"/>
        <w:bottom w:val="none" w:sz="0" w:space="0" w:color="auto"/>
        <w:right w:val="none" w:sz="0" w:space="0" w:color="auto"/>
      </w:divBdr>
    </w:div>
    <w:div w:id="2104063628">
      <w:bodyDiv w:val="1"/>
      <w:marLeft w:val="0"/>
      <w:marRight w:val="0"/>
      <w:marTop w:val="0"/>
      <w:marBottom w:val="0"/>
      <w:divBdr>
        <w:top w:val="none" w:sz="0" w:space="0" w:color="auto"/>
        <w:left w:val="none" w:sz="0" w:space="0" w:color="auto"/>
        <w:bottom w:val="none" w:sz="0" w:space="0" w:color="auto"/>
        <w:right w:val="none" w:sz="0" w:space="0" w:color="auto"/>
      </w:divBdr>
    </w:div>
    <w:div w:id="2120177582">
      <w:bodyDiv w:val="1"/>
      <w:marLeft w:val="0"/>
      <w:marRight w:val="0"/>
      <w:marTop w:val="0"/>
      <w:marBottom w:val="0"/>
      <w:divBdr>
        <w:top w:val="none" w:sz="0" w:space="0" w:color="auto"/>
        <w:left w:val="none" w:sz="0" w:space="0" w:color="auto"/>
        <w:bottom w:val="none" w:sz="0" w:space="0" w:color="auto"/>
        <w:right w:val="none" w:sz="0" w:space="0" w:color="auto"/>
      </w:divBdr>
    </w:div>
    <w:div w:id="2139488315">
      <w:bodyDiv w:val="1"/>
      <w:marLeft w:val="0"/>
      <w:marRight w:val="0"/>
      <w:marTop w:val="0"/>
      <w:marBottom w:val="0"/>
      <w:divBdr>
        <w:top w:val="none" w:sz="0" w:space="0" w:color="auto"/>
        <w:left w:val="none" w:sz="0" w:space="0" w:color="auto"/>
        <w:bottom w:val="none" w:sz="0" w:space="0" w:color="auto"/>
        <w:right w:val="none" w:sz="0" w:space="0" w:color="auto"/>
      </w:divBdr>
    </w:div>
    <w:div w:id="214612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urtlistener.com/recap/gov.uscourts.dcd.198818/gov.uscourts.dcd.198818.79.0_1.pdf" TargetMode="External"/><Relationship Id="rId21" Type="http://schemas.openxmlformats.org/officeDocument/2006/relationships/hyperlink" Target="http://wn4.ubabenefits.com/DNNGlobalStorageRedirector.ashx?egsfid=c4ILhGQ9ZFo%3d" TargetMode="External"/><Relationship Id="rId42" Type="http://schemas.openxmlformats.org/officeDocument/2006/relationships/hyperlink" Target="https://www.courtlistener.com/recap/gov.uscourts.txnd.299449/gov.uscourts.txnd.299449.221.0.pdf" TargetMode="External"/><Relationship Id="rId47" Type="http://schemas.openxmlformats.org/officeDocument/2006/relationships/hyperlink" Target="http://wn4.ubabenefits.com/DNNGlobalStorageRedirector.ashx?egsfid=HB0g4fX37dA%3d" TargetMode="External"/><Relationship Id="rId63" Type="http://schemas.openxmlformats.org/officeDocument/2006/relationships/hyperlink" Target="https://www.cms.gov/Medicare/Prescription-Drug-Coverage/EmployerRetireeDrugSubsid/index.html" TargetMode="External"/><Relationship Id="rId68" Type="http://schemas.openxmlformats.org/officeDocument/2006/relationships/hyperlink" Target="http://wn4.ubabenefits.com/DNNGlobalStorageRedirector.ashx?egsfid=XKUmfX7kXSQ%3d" TargetMode="External"/><Relationship Id="rId84" Type="http://schemas.openxmlformats.org/officeDocument/2006/relationships/header" Target="header1.xml"/><Relationship Id="rId16" Type="http://schemas.openxmlformats.org/officeDocument/2006/relationships/hyperlink" Target="http://wn4.ubabenefits.com/DNNGlobalStorageRedirector.ashx?egsfid=c4ILhGQ9ZFo%3d" TargetMode="External"/><Relationship Id="rId11" Type="http://schemas.openxmlformats.org/officeDocument/2006/relationships/hyperlink" Target="https://www.dol.gov/sites/default/files/ebsa/about-ebsa/our-activities/resource-center/faqs/health-reimbursement-arrangements.pdf" TargetMode="External"/><Relationship Id="rId32" Type="http://schemas.openxmlformats.org/officeDocument/2006/relationships/hyperlink" Target="https://www.irs.gov/pub/irs-pdf/f720.pdf" TargetMode="External"/><Relationship Id="rId37" Type="http://schemas.openxmlformats.org/officeDocument/2006/relationships/hyperlink" Target="http://wn4.ubabenefits.com/DNNGlobalStorageRedirector.ashx?egsfid=c4ILhGQ9ZFo%3d" TargetMode="External"/><Relationship Id="rId53" Type="http://schemas.openxmlformats.org/officeDocument/2006/relationships/hyperlink" Target="https://www.hhs.gov/sites/default/files/ocr/privacy/hipaa/understanding/coveredentities/incidentalu%26d.pdf" TargetMode="External"/><Relationship Id="rId58" Type="http://schemas.openxmlformats.org/officeDocument/2006/relationships/hyperlink" Target="https://na01.safelinks.protection.outlook.com/?url=https%3A%2F%2Fwww.hhs.gov%2Fhipaa%2Ffor-professionals%2Ftraining%2Findex.html&amp;data=02%7C01%7Ckchong%40atlasinsurance.com%7C243e767e394342b3d15208d6705d1ec5%7C5261cf5386c547be8e4cee60505d0312%7C0%7C0%7C636819942599630961&amp;sdata=jIpiY20Rz89%2BgkwqiEhT1xHPH8Tv8YkvEsnEVLNR5ag%3D&amp;reserved=0" TargetMode="External"/><Relationship Id="rId74" Type="http://schemas.openxmlformats.org/officeDocument/2006/relationships/hyperlink" Target="https://www.cms.gov/CCIIO/Resources/Regulations-and-Guidance/Downloads/mv-calculator-methodology.pdf" TargetMode="External"/><Relationship Id="rId79" Type="http://schemas.openxmlformats.org/officeDocument/2006/relationships/hyperlink" Target="http://wn4.ubabenefits.com/DNNGlobalStorageRedirector.ashx?egsfid=cG2imZF1LSo%3d" TargetMode="External"/><Relationship Id="rId5" Type="http://schemas.openxmlformats.org/officeDocument/2006/relationships/webSettings" Target="webSettings.xml"/><Relationship Id="rId19" Type="http://schemas.openxmlformats.org/officeDocument/2006/relationships/hyperlink" Target="https://chcoc.gov/content/fact-sheet-pay-and-benefits-information-employees-affected-lapse-appropriations" TargetMode="External"/><Relationship Id="rId14" Type="http://schemas.openxmlformats.org/officeDocument/2006/relationships/hyperlink" Target="http://wn4.ubabenefits.com/DNNGlobalStorageRedirector.ashx?egsfid=ScG8Ut8Eggk%3d" TargetMode="External"/><Relationship Id="rId22" Type="http://schemas.openxmlformats.org/officeDocument/2006/relationships/hyperlink" Target="http://wn4.ubabenefits.com/DNNGlobalStorageRedirector.ashx?egsfid=1WxNmVQQyhc%3d" TargetMode="External"/><Relationship Id="rId27" Type="http://schemas.openxmlformats.org/officeDocument/2006/relationships/hyperlink" Target="https://www.courtlistener.com/recap/gov.uscourts.dcd.198818/gov.uscourts.dcd.198818.78.0_1.pdf" TargetMode="External"/><Relationship Id="rId30" Type="http://schemas.openxmlformats.org/officeDocument/2006/relationships/hyperlink" Target="https://nam02.safelinks.protection.outlook.com/?url=https%3A%2F%2Fwww.irs.gov%2Faffordable-care-act%2Fpatient-centered-outcomes-research-trust-fund-fee-questions-and-answers&amp;data=02%7C01%7Ctleger%40atlasinsurance.com%7C675868910c7b4ef825b308d6df3ff3af%7C5261cf5386c547be8e4cee60505d0312%7C0%7C0%7C636941863794237875&amp;sdata=Kvx3HyFnfR%2FTVq9vTj8zgvuu8rt2EAR0nFCzdRDq20A%3D&amp;reserved=0" TargetMode="External"/><Relationship Id="rId35" Type="http://schemas.openxmlformats.org/officeDocument/2006/relationships/hyperlink" Target="https://chcoc.gov/content/fact-sheet-pay-and-benefits-information-employees-affected-lapse-appropriations" TargetMode="External"/><Relationship Id="rId43" Type="http://schemas.openxmlformats.org/officeDocument/2006/relationships/hyperlink" Target="https://www.courtlistener.com/recap/gov.uscourts.txnd.299449/gov.uscourts.txnd.299449.211.0.pdf" TargetMode="External"/><Relationship Id="rId48" Type="http://schemas.openxmlformats.org/officeDocument/2006/relationships/hyperlink" Target="http://wn4.ubabenefits.com/DNNGlobalStorageRedirector.ashx?egsfid=bxS-nr8zjfo%3d" TargetMode="External"/><Relationship Id="rId56" Type="http://schemas.openxmlformats.org/officeDocument/2006/relationships/hyperlink" Target="http://wn4.ubabenefits.com/DNNGlobalStorageRedirector.ashx?egsfid=cVvGUJ25JWE%3d" TargetMode="External"/><Relationship Id="rId64" Type="http://schemas.openxmlformats.org/officeDocument/2006/relationships/hyperlink" Target="http://wn4.ubabenefits.com/DNNGlobalStorageRedirector.ashx?egsfid=LmTvSh424wE%3d" TargetMode="External"/><Relationship Id="rId69" Type="http://schemas.openxmlformats.org/officeDocument/2006/relationships/hyperlink" Target="https://www.cms.gov/cciio/resources/regulations-and-guidance/index.html" TargetMode="External"/><Relationship Id="rId77" Type="http://schemas.openxmlformats.org/officeDocument/2006/relationships/hyperlink" Target="http://wn4.ubabenefits.com/DNNGlobalStorageRedirector.ashx?egsfid=kJJFzDUPXs0%3d" TargetMode="External"/><Relationship Id="rId8" Type="http://schemas.openxmlformats.org/officeDocument/2006/relationships/image" Target="media/image1.jpg"/><Relationship Id="rId51" Type="http://schemas.openxmlformats.org/officeDocument/2006/relationships/hyperlink" Target="https://www.govinfo.gov/content/pkg/FR-2019-01-23/pdf/2019-00089.pdf" TargetMode="External"/><Relationship Id="rId72" Type="http://schemas.openxmlformats.org/officeDocument/2006/relationships/hyperlink" Target="http://www.cms.gov/cciio/resources/regulations-and-guidance/index.html" TargetMode="External"/><Relationship Id="rId80" Type="http://schemas.openxmlformats.org/officeDocument/2006/relationships/hyperlink" Target="http://wn4.ubabenefits.com/Wisdom/ComplianceTopics/GeneralCompliance/tabid/1446/Default.aspx"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cms.gov/CCIIO/Programs-and-Initiatives/Health-Insurance-Market-Reforms/Downloads/HRA-Model-Notice-PDF.pdf" TargetMode="External"/><Relationship Id="rId17" Type="http://schemas.openxmlformats.org/officeDocument/2006/relationships/hyperlink" Target="http://wn4.ubabenefits.com/DNNGlobalStorageRedirector.ashx?egsfid=c4ILhGQ9ZFo%3d" TargetMode="External"/><Relationship Id="rId25" Type="http://schemas.openxmlformats.org/officeDocument/2006/relationships/hyperlink" Target="https://www.dol.gov/sites/default/files/ebsa/employers-and-advisers/plan-administration-and-compliance/reporting-and-filing/form-5500/2018-instructions.pdf" TargetMode="External"/><Relationship Id="rId33" Type="http://schemas.openxmlformats.org/officeDocument/2006/relationships/hyperlink" Target="https://www.gpo.gov/fdsys/pkg/USCODE-2011-title26/pdf/USCODE-2011-title26-subtitleF-chap68-subchapA-partI-sec6651.pdf" TargetMode="External"/><Relationship Id="rId38" Type="http://schemas.openxmlformats.org/officeDocument/2006/relationships/hyperlink" Target="http://wn4.ubabenefits.com/DNNGlobalStorageRedirector.ashx?egsfid=1WxNmVQQyhc%3d" TargetMode="External"/><Relationship Id="rId46" Type="http://schemas.openxmlformats.org/officeDocument/2006/relationships/hyperlink" Target="http://wn4.ubabenefits.com/DNNGlobalStorageRedirector.ashx?egsfid=HoZO8Hj2Epg%3d" TargetMode="External"/><Relationship Id="rId59" Type="http://schemas.openxmlformats.org/officeDocument/2006/relationships/hyperlink" Target="http://wn4.ubabenefits.com/DNNGlobalStorageRedirector.ashx?egsfid=c4ILhGQ9ZFo%3d" TargetMode="External"/><Relationship Id="rId67" Type="http://schemas.openxmlformats.org/officeDocument/2006/relationships/hyperlink" Target="http://wn4.ubabenefits.com/DNNGlobalStorageRedirector.ashx?egsfid=EFgcVL1CO6I%3d" TargetMode="External"/><Relationship Id="rId20" Type="http://schemas.openxmlformats.org/officeDocument/2006/relationships/hyperlink" Target="http://wn4.ubabenefits.com/DNNGlobalStorageRedirector.ashx?egsfid=A4X_NiBBBaY%3d" TargetMode="External"/><Relationship Id="rId41" Type="http://schemas.openxmlformats.org/officeDocument/2006/relationships/hyperlink" Target="https://www.courtlistener.com/recap/gov.uscourts.txnd.299449/gov.uscourts.txnd.299449.220.0.pdf" TargetMode="External"/><Relationship Id="rId54" Type="http://schemas.openxmlformats.org/officeDocument/2006/relationships/hyperlink" Target="http://wn4.ubabenefits.com/Sales/BrandingMarketing/EmployerWebinarSeries/tabid/1437/Default.aspx" TargetMode="External"/><Relationship Id="rId62" Type="http://schemas.openxmlformats.org/officeDocument/2006/relationships/hyperlink" Target="http://wn4.ubabenefits.com/DNNGlobalStorageRedirector.ashx?egsfid=lSRW0uVJqZk%3d" TargetMode="External"/><Relationship Id="rId70" Type="http://schemas.openxmlformats.org/officeDocument/2006/relationships/hyperlink" Target="https://www.irs.gov/pub/irs-drop/n-14-69.pdf" TargetMode="External"/><Relationship Id="rId75" Type="http://schemas.openxmlformats.org/officeDocument/2006/relationships/hyperlink" Target="http://wn4.ubabenefits.com/DNNGlobalStorageRedirector.ashx?egsfid=Wckmm7JQRXk%3d" TargetMode="External"/><Relationship Id="rId83" Type="http://schemas.openxmlformats.org/officeDocument/2006/relationships/hyperlink" Target="http://wn4.ubabenefits.com/DNNGlobalStorageRedirector.ashx?egsfid=PUsrpW9C3zQ%3d"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info.gov/content/pkg/CFR-2009-title26-vol17/pdf/CFR-2009-title26-vol17-sec54-4980G-4.pdf" TargetMode="External"/><Relationship Id="rId23" Type="http://schemas.openxmlformats.org/officeDocument/2006/relationships/hyperlink" Target="http://wn4.ubabenefits.com/DNNGlobalStorageRedirector.ashx?egsfid=A4X_NiBBBaY%3d" TargetMode="External"/><Relationship Id="rId28" Type="http://schemas.openxmlformats.org/officeDocument/2006/relationships/hyperlink" Target="http://wn4.ubabenefits.com/DNNGlobalStorageRedirector.ashx?egsfid=_F-ZUqI1lwQ%3d" TargetMode="External"/><Relationship Id="rId36" Type="http://schemas.openxmlformats.org/officeDocument/2006/relationships/hyperlink" Target="http://wn4.ubabenefits.com/DNNGlobalStorageRedirector.ashx?egsfid=A4X_NiBBBaY%3d" TargetMode="External"/><Relationship Id="rId49" Type="http://schemas.openxmlformats.org/officeDocument/2006/relationships/hyperlink" Target="https://www.gpo.gov/fdsys/pkg/FR-2018-05-31/pdf/2018-11749.pdf" TargetMode="External"/><Relationship Id="rId57" Type="http://schemas.openxmlformats.org/officeDocument/2006/relationships/hyperlink" Target="http://wn4.ubabenefits.com/DNNGlobalStorageRedirector.ashx?egsfid=uLI5zSuhe_I%3d" TargetMode="External"/><Relationship Id="rId10" Type="http://schemas.openxmlformats.org/officeDocument/2006/relationships/hyperlink" Target="https://www.dol.gov/newsroom/releases/ebsa/ebsa20190613" TargetMode="External"/><Relationship Id="rId31" Type="http://schemas.openxmlformats.org/officeDocument/2006/relationships/hyperlink" Target="http://wn4.ubabenefits.com/DNNGlobalStorageRedirector.ashx?egsfid=SIR6_0_m1_c%3d" TargetMode="External"/><Relationship Id="rId44" Type="http://schemas.openxmlformats.org/officeDocument/2006/relationships/hyperlink" Target="https://www.courtlistener.com/recap/gov.uscourts.txnd.299449/gov.uscourts.txnd.299449.1.0.pdf" TargetMode="External"/><Relationship Id="rId52" Type="http://schemas.openxmlformats.org/officeDocument/2006/relationships/hyperlink" Target="https://www.hhs.gov/hipaa/for-professionals/faq/286/are-appointment-reminders-allowed-under-hipaa-without-authorization/index.html" TargetMode="External"/><Relationship Id="rId60" Type="http://schemas.openxmlformats.org/officeDocument/2006/relationships/hyperlink" Target="https://www.cms.gov/Medicare/Coordination-of-Benefits-and-Recovery/Mandatory-Insurer-Reporting-For-Group-Health-Plans/Downloads/New-Downloads/MMSEA-Section-111-GHP-User-Guide-Version-52.pdf" TargetMode="External"/><Relationship Id="rId65" Type="http://schemas.openxmlformats.org/officeDocument/2006/relationships/hyperlink" Target="http://wn4.ubabenefits.com/DNNGlobalStorageRedirector.ashx?egsfid=kJixk3CrcCc%3d" TargetMode="External"/><Relationship Id="rId73" Type="http://schemas.openxmlformats.org/officeDocument/2006/relationships/hyperlink" Target="https://www.cms.gov/CCIIO/Resources/Regulations-and-Guidance/Downloads/mv-calculator-final-4-11-2013.xlsm" TargetMode="External"/><Relationship Id="rId78" Type="http://schemas.openxmlformats.org/officeDocument/2006/relationships/hyperlink" Target="https://www.healthcare.gov/immigrants/immigration-status/" TargetMode="External"/><Relationship Id="rId81" Type="http://schemas.openxmlformats.org/officeDocument/2006/relationships/hyperlink" Target="http://wn4.ubabenefits.com/DNNGlobalStorageRedirector.ashx?egsfid=kJJFzDUPXs0%3d" TargetMode="External"/><Relationship Id="rId86"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3.amazonaws.com/public-inspection.federalregister.gov/2019-12571.pdf" TargetMode="External"/><Relationship Id="rId13" Type="http://schemas.openxmlformats.org/officeDocument/2006/relationships/hyperlink" Target="https://www.cms.gov/CCIIO/Programs-and-Initiatives/Health-Insurance-Market-Reforms/Downloads/HRA-Model-Attestations-PDF.pdf" TargetMode="External"/><Relationship Id="rId18" Type="http://schemas.openxmlformats.org/officeDocument/2006/relationships/hyperlink" Target="http://wn4.ubabenefits.com/DNNGlobalStorageRedirector.ashx?egsfid=QHhxUXIZgZU%3d" TargetMode="External"/><Relationship Id="rId39" Type="http://schemas.openxmlformats.org/officeDocument/2006/relationships/hyperlink" Target="http://wn4.ubabenefits.com/DNNGlobalStorageRedirector.ashx?egsfid=A4X_NiBBBaY%3d" TargetMode="External"/><Relationship Id="rId34" Type="http://schemas.openxmlformats.org/officeDocument/2006/relationships/hyperlink" Target="https://www.irs.gov/pub/irs-pdf/f720x.pdf" TargetMode="External"/><Relationship Id="rId50" Type="http://schemas.openxmlformats.org/officeDocument/2006/relationships/hyperlink" Target="http://wn4.ubabenefits.com/DNNGlobalStorageRedirector.ashx?egsfid=kJJFzDUPXs0%3d" TargetMode="External"/><Relationship Id="rId55" Type="http://schemas.openxmlformats.org/officeDocument/2006/relationships/hyperlink" Target="http://wn4.ubabenefits.com/Wisdom/ComplianceTopics/GeneralCompliance/tabid/1446/Default.aspx" TargetMode="External"/><Relationship Id="rId76" Type="http://schemas.openxmlformats.org/officeDocument/2006/relationships/hyperlink" Target="http://wn4.ubabenefits.com/DNNGlobalStorageRedirector.ashx?egsfid=-uNcMrSLN0o%3d" TargetMode="External"/><Relationship Id="rId7" Type="http://schemas.openxmlformats.org/officeDocument/2006/relationships/endnotes" Target="endnotes.xml"/><Relationship Id="rId71" Type="http://schemas.openxmlformats.org/officeDocument/2006/relationships/hyperlink" Target="http://www.gpo.gov/fdsys/pkg/FR-2013-05-03/pdf/2013-10463.pdf" TargetMode="External"/><Relationship Id="rId2" Type="http://schemas.openxmlformats.org/officeDocument/2006/relationships/numbering" Target="numbering.xml"/><Relationship Id="rId29" Type="http://schemas.openxmlformats.org/officeDocument/2006/relationships/hyperlink" Target="https://www.irs.gov/pub/irs-pdf/f5558.pdf" TargetMode="External"/><Relationship Id="rId24" Type="http://schemas.openxmlformats.org/officeDocument/2006/relationships/hyperlink" Target="http://freeerisa.benefitspro.com" TargetMode="External"/><Relationship Id="rId40" Type="http://schemas.openxmlformats.org/officeDocument/2006/relationships/hyperlink" Target="https://www.courtlistener.com/recap/gov.uscourts.txnd.299449/gov.uscourts.txnd.299449.211.0.pdf" TargetMode="External"/><Relationship Id="rId45" Type="http://schemas.openxmlformats.org/officeDocument/2006/relationships/hyperlink" Target="https://www.courtlistener.com/recap/gov.uscourts.txnd.299449/gov.uscourts.txnd.299449.212.0_1.pdf" TargetMode="External"/><Relationship Id="rId66" Type="http://schemas.openxmlformats.org/officeDocument/2006/relationships/hyperlink" Target="http://wn4.ubabenefits.com/DNNGlobalStorageRedirector.ashx?egsfid=kJJFzDUPXs0%3d" TargetMode="External"/><Relationship Id="rId87" Type="http://schemas.openxmlformats.org/officeDocument/2006/relationships/fontTable" Target="fontTable.xml"/><Relationship Id="rId61" Type="http://schemas.openxmlformats.org/officeDocument/2006/relationships/hyperlink" Target="http://wn4.ubabenefits.com/DNNGlobalStorageRedirector.ashx?egsfid=cJ_Uw8d5k5A%3d" TargetMode="External"/><Relationship Id="rId82" Type="http://schemas.openxmlformats.org/officeDocument/2006/relationships/hyperlink" Target="https://www.irs.gov/affordable-care-act/employers/information-reporting-by-applicable-large-employ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BB38E-1BE0-4483-ABD4-E745FB3A0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15719</Words>
  <Characters>89603</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Compliance Question of the Week, July 2018 - June 2019</vt:lpstr>
    </vt:vector>
  </TitlesOfParts>
  <Company/>
  <LinksUpToDate>false</LinksUpToDate>
  <CharactersWithSpaces>105112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Question of the Week, July 2018 - June 2019</dc:title>
  <dc:subject/>
  <dc:creator>Karen Hsu</dc:creator>
  <cp:keywords/>
  <dc:description/>
  <cp:lastModifiedBy>Meg Cipar</cp:lastModifiedBy>
  <cp:revision>3</cp:revision>
  <cp:lastPrinted>2018-11-28T20:25:00Z</cp:lastPrinted>
  <dcterms:created xsi:type="dcterms:W3CDTF">2019-07-02T14:54:00Z</dcterms:created>
  <dcterms:modified xsi:type="dcterms:W3CDTF">2019-07-02T15:00:00Z</dcterms:modified>
</cp:coreProperties>
</file>