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B" w:rsidRDefault="00637E21">
      <w:pPr>
        <w:pStyle w:val="Heading1"/>
      </w:pPr>
      <w:bookmarkStart w:id="0" w:name="_Toc1"/>
      <w:bookmarkStart w:id="1" w:name="_GoBack"/>
      <w:bookmarkEnd w:id="1"/>
      <w:r>
        <w:t>Company Dress Code &amp; Personal Hygiene Policy</w:t>
      </w:r>
      <w:bookmarkEnd w:id="0"/>
    </w:p>
    <w:p w:rsidR="006F238B" w:rsidRDefault="00637E21">
      <w:pPr>
        <w:pStyle w:val="Heading2"/>
        <w:pBdr>
          <w:top w:val="single" w:sz="1" w:space="1" w:color="000000"/>
        </w:pBdr>
        <w:spacing w:after="0"/>
      </w:pPr>
      <w:r>
        <w:br/>
      </w:r>
      <w:bookmarkStart w:id="2" w:name="_Toc2"/>
      <w:r>
        <w:t>Intent</w:t>
      </w:r>
      <w:bookmarkEnd w:id="2"/>
    </w:p>
    <w:p w:rsidR="006F238B" w:rsidRDefault="00637E21">
      <w:pPr>
        <w:spacing w:before="150" w:after="150" w:line="240" w:lineRule="auto"/>
      </w:pPr>
      <w:r>
        <w:rPr>
          <w:sz w:val="22"/>
          <w:szCs w:val="22"/>
        </w:rPr>
        <w:t>HRdownloads</w:t>
      </w:r>
      <w:r>
        <w:rPr>
          <w:sz w:val="22"/>
          <w:szCs w:val="22"/>
        </w:rPr>
        <w:t xml:space="preserve"> requires all employees to present themselves in a professional manner, with regard to attire, personal hygiene and appearance. These standards are commensurate with our organizational practices of appropriate business conduct, professionalism and dress co</w:t>
      </w:r>
      <w:r>
        <w:rPr>
          <w:sz w:val="22"/>
          <w:szCs w:val="22"/>
        </w:rPr>
        <w:t xml:space="preserve">de. </w:t>
      </w:r>
    </w:p>
    <w:p w:rsidR="006F238B" w:rsidRDefault="00637E21">
      <w:pPr>
        <w:pStyle w:val="Heading2"/>
        <w:spacing w:after="0"/>
      </w:pPr>
      <w:bookmarkStart w:id="3" w:name="_Toc3"/>
      <w:r>
        <w:t>Guidelines</w:t>
      </w:r>
      <w:bookmarkEnd w:id="3"/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Hygiene</w:t>
      </w:r>
    </w:p>
    <w:p w:rsidR="006F238B" w:rsidRDefault="00637E21">
      <w:pPr>
        <w:spacing w:before="150" w:after="150" w:line="240" w:lineRule="auto"/>
      </w:pPr>
      <w:r>
        <w:rPr>
          <w:sz w:val="22"/>
          <w:szCs w:val="22"/>
        </w:rPr>
        <w:t xml:space="preserve">HRdownloads employees are expected to meet hygiene requirements during regular business hours for the duration of their employment.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Maintain personal cleanliness by bathing daily.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Oral hygiene (brushing of teeth) required.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Use de</w:t>
      </w:r>
      <w:r>
        <w:rPr>
          <w:sz w:val="22"/>
          <w:szCs w:val="22"/>
        </w:rPr>
        <w:t xml:space="preserve">odorant / antiperspirant to minimize body odours.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No heavily scented perfumes, colognes and lotions. These can cause allergic reactions, migraines and respiratory difficulty for some employees.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Clean and trimmed fingernails (frac14 inch long or less).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ash hands after eating, or using the restrooms.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Personal Grooming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Clothing must be clean, pressed, in good condition and fit appropriately.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Socks or hose must be worn with shoes.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Neat and well groomed hair, sideburns, moustache and beards (no artificial</w:t>
      </w:r>
      <w:r>
        <w:rPr>
          <w:sz w:val="22"/>
          <w:szCs w:val="22"/>
        </w:rPr>
        <w:t xml:space="preserve"> colors e.g. pink, green, etc. that would be deemed unprofessional).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Moderate make-up.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Secured long hair (hair must be tied back to prevent potential for being caught in equipment).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Clothing must not interfere with the safe operation of equipment.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No d</w:t>
      </w:r>
      <w:r>
        <w:rPr>
          <w:sz w:val="22"/>
          <w:szCs w:val="22"/>
        </w:rPr>
        <w:t xml:space="preserve">ark glasses (unless prescribed by a physician).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Limited jewellery and no dangling or large hoop jewellery that may create a safety hazard to self or others. A general rule of thumb is that if a pencil can be passed through a hoop earring it is not safe to</w:t>
      </w:r>
      <w:r>
        <w:rPr>
          <w:sz w:val="22"/>
          <w:szCs w:val="22"/>
        </w:rPr>
        <w:t xml:space="preserve"> wear near operating equipment.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Body piercing must be limited to three per ear. Other visible body piercing is unacceptable, unless demanded by religion / culture.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Tattoos that are perceived as offensive, hostile or that diminish the effectiveness of the</w:t>
      </w:r>
      <w:r>
        <w:rPr>
          <w:sz w:val="22"/>
          <w:szCs w:val="22"/>
        </w:rPr>
        <w:t xml:space="preserve"> employee's professionalism must be covered, and not visible to staff, customers or visitors.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Business Attire</w:t>
      </w:r>
    </w:p>
    <w:p w:rsidR="006F238B" w:rsidRDefault="00637E21">
      <w:pPr>
        <w:spacing w:before="150" w:after="150" w:line="240" w:lineRule="auto"/>
      </w:pPr>
      <w:r>
        <w:rPr>
          <w:sz w:val="22"/>
          <w:szCs w:val="22"/>
        </w:rPr>
        <w:t xml:space="preserve">Any HRdownloads staff member who maintains regular, in-person contact with customers will be required to wear appropriate business attire.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Appropriate Business Attire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Dress shoes, jackets, slacks, sweaters, dress tops, dress pants, dresses, skirts, sweaters, pant-suits, dress shoes/sandals.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lastRenderedPageBreak/>
        <w:t>Business Casual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HRdownloads allows employees to wear business casual attire when not in contact with cu</w:t>
      </w:r>
      <w:r>
        <w:rPr>
          <w:sz w:val="22"/>
          <w:szCs w:val="22"/>
        </w:rPr>
        <w:t xml:space="preserve">stomers.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Sales employees are encouraged to wear company-branded shirts and/or collared shirts as part of their business casual attire.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Employees are expected to keep appropriate business attire on hand at all times in the event that they are required to </w:t>
      </w:r>
      <w:r>
        <w:rPr>
          <w:sz w:val="22"/>
          <w:szCs w:val="22"/>
        </w:rPr>
        <w:t xml:space="preserve">attend an in-person customer meeting.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Appropriate Business Casual Attire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Collared shirts; either dress or golf. Khakis, slacks, skirts, dresses, dress shoes or casual dress shoes, sweaters.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Casual Friday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HRdownloads employs a "Casual Friday" policy, wher</w:t>
      </w:r>
      <w:r>
        <w:rPr>
          <w:sz w:val="22"/>
          <w:szCs w:val="22"/>
        </w:rPr>
        <w:t xml:space="preserve">ein our employees are welcome to wear workplace appropriate jeans (no rips, tears or stains), and running shoes (no rips, tears or stains).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While Casual Friday allows our employees to dress in a more casual fashion, employees should take into account the </w:t>
      </w:r>
      <w:r>
        <w:rPr>
          <w:sz w:val="22"/>
          <w:szCs w:val="22"/>
        </w:rPr>
        <w:t xml:space="preserve">necessity to continually conduct themselves in a professional fashion, and dress in such a way that will not create a negative perception by customers, either internal or external.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Distribution / Production Employees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Employees that work in Production or D</w:t>
      </w:r>
      <w:r>
        <w:rPr>
          <w:sz w:val="22"/>
          <w:szCs w:val="22"/>
        </w:rPr>
        <w:t xml:space="preserve">istribution, or whose regular job duties include physical lifting may wear appropriate casual clothing (including jeans/shorts) at all times. Shorts may be deemed inappropriate where a safety concern for accident or injury is present.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Inappropriate Attire</w:t>
      </w:r>
      <w:r>
        <w:rPr>
          <w:b/>
          <w:sz w:val="22"/>
          <w:szCs w:val="22"/>
        </w:rPr>
        <w:t xml:space="preserve"> (also applicable to Casual Friday)</w:t>
      </w:r>
    </w:p>
    <w:p w:rsidR="006F238B" w:rsidRDefault="00637E21">
      <w:pPr>
        <w:spacing w:before="150" w:after="150" w:line="240" w:lineRule="auto"/>
      </w:pPr>
      <w:r>
        <w:rPr>
          <w:sz w:val="22"/>
          <w:szCs w:val="22"/>
        </w:rPr>
        <w:t>The following items are not permitted in any area during normal working hours: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Sweat pants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Jogging pants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Pants that expose the midriff, underwear or leggings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Gym shorts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Bicycle shorts or other athletic shorts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Low-cut tops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Halter tops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Spaghetti strap tops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Tops that expose the midriff or underwear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Mini-skirts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Any form of clothing that is mesh, sheer, see-through or otherwise revealing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Any form of clothing that is generally offensive, controversial, disruptive or </w:t>
      </w:r>
      <w:r>
        <w:rPr>
          <w:sz w:val="22"/>
          <w:szCs w:val="22"/>
        </w:rPr>
        <w:t>otherwise distracting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Any form of clothing that is overtly commercial, contains political, personal or offensive messages;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Plastic flip-flops or sandals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Beach footwear.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Personal Protective Equipment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Personal/Protective safety equipment must be worn at all times in areas where such equipment is required.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lastRenderedPageBreak/>
        <w:t>Clarification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Every HRdownloads employee is responsible for exercising sound judgment and common sense for his or her attire at all times. If an empl</w:t>
      </w:r>
      <w:r>
        <w:rPr>
          <w:sz w:val="22"/>
          <w:szCs w:val="22"/>
        </w:rPr>
        <w:t xml:space="preserve">oyee is deemed to be wearing inappropriate attire, his/her Manager is responsible for coaching the employee accordingly.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Individual situations relating to appropriate workplace attire may be addressed on a case-by-case basis. If you have questions about t</w:t>
      </w:r>
      <w:r>
        <w:rPr>
          <w:sz w:val="22"/>
          <w:szCs w:val="22"/>
        </w:rPr>
        <w:t xml:space="preserve">hese guidelines or a particular business areas dress requirements, contact your manager. </w:t>
      </w:r>
    </w:p>
    <w:p w:rsidR="006F238B" w:rsidRDefault="00637E21">
      <w:pPr>
        <w:spacing w:before="150" w:after="150" w:line="240" w:lineRule="auto"/>
      </w:pPr>
      <w:r>
        <w:rPr>
          <w:b/>
          <w:sz w:val="22"/>
          <w:szCs w:val="22"/>
        </w:rPr>
        <w:t>Compliance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Departure from appropriate grooming, hygiene and attire standards will result in employee counselling and/or disciplinary action up to and including termin</w:t>
      </w:r>
      <w:r>
        <w:rPr>
          <w:sz w:val="22"/>
          <w:szCs w:val="22"/>
        </w:rPr>
        <w:t xml:space="preserve">ation of employment.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 xml:space="preserve">Theme days are occasionally approved by the institution and/or appropriate department when a deviation from these guidelines is appropriate, and when the business necessities will not be affected. </w:t>
      </w:r>
    </w:p>
    <w:p w:rsidR="006F238B" w:rsidRDefault="00637E21">
      <w:pPr>
        <w:numPr>
          <w:ilvl w:val="0"/>
          <w:numId w:val="1"/>
        </w:numPr>
        <w:spacing w:before="10" w:after="0" w:line="240" w:lineRule="auto"/>
      </w:pPr>
      <w:r>
        <w:rPr>
          <w:sz w:val="22"/>
          <w:szCs w:val="22"/>
        </w:rPr>
        <w:t>Personal appearance standards may be</w:t>
      </w:r>
      <w:r>
        <w:rPr>
          <w:sz w:val="22"/>
          <w:szCs w:val="22"/>
        </w:rPr>
        <w:t xml:space="preserve"> reviewed periodically and updated as deemed necessary. </w:t>
      </w:r>
    </w:p>
    <w:p w:rsidR="006F238B" w:rsidRDefault="00637E21">
      <w:pPr>
        <w:pStyle w:val="Heading2"/>
        <w:spacing w:after="0"/>
      </w:pPr>
      <w:bookmarkStart w:id="4" w:name="_Toc4"/>
      <w:r>
        <w:t>Acknowledgment &amp; Agreement</w:t>
      </w:r>
      <w:bookmarkEnd w:id="4"/>
    </w:p>
    <w:p w:rsidR="006F238B" w:rsidRDefault="00637E21">
      <w:pPr>
        <w:spacing w:before="150" w:after="150" w:line="240" w:lineRule="auto"/>
      </w:pPr>
      <w:r>
        <w:rPr>
          <w:sz w:val="22"/>
          <w:szCs w:val="22"/>
        </w:rPr>
        <w:t>I, (Employee Name), acknowledge that I have read and understand the Company Dress Code and Hygiene Policy of HRdownloads. Further, I agree to adhere to this policy and will</w:t>
      </w:r>
      <w:r>
        <w:rPr>
          <w:sz w:val="22"/>
          <w:szCs w:val="22"/>
        </w:rPr>
        <w:t xml:space="preserve"> ensure that employees working under my direction adhere to this policy. I understand that if I violate the rules/procedures outlined in this policy, I may face disciplinary action. </w:t>
      </w: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8081"/>
      </w:tblGrid>
      <w:tr w:rsidR="006F238B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822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6F238B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822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__________________</w:t>
            </w:r>
          </w:p>
        </w:tc>
      </w:tr>
      <w:tr w:rsidR="006F238B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822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  <w:tr w:rsidR="006F238B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Witness:</w:t>
            </w:r>
          </w:p>
        </w:tc>
        <w:tc>
          <w:tcPr>
            <w:tcW w:w="822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F238B" w:rsidRDefault="00637E21">
            <w:pPr>
              <w:spacing w:after="0"/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:rsidR="006F238B" w:rsidRDefault="006F238B"/>
    <w:sectPr w:rsidR="006F238B">
      <w:headerReference w:type="default" r:id="rId8"/>
      <w:footerReference w:type="default" r:id="rId9"/>
      <w:pgSz w:w="11906" w:h="16787"/>
      <w:pgMar w:top="1440" w:right="1240" w:bottom="144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7E21">
      <w:pPr>
        <w:spacing w:after="0" w:line="240" w:lineRule="auto"/>
      </w:pPr>
      <w:r>
        <w:separator/>
      </w:r>
    </w:p>
  </w:endnote>
  <w:endnote w:type="continuationSeparator" w:id="0">
    <w:p w:rsidR="00000000" w:rsidRDefault="006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8B" w:rsidRDefault="00637E21">
    <w:r>
      <w:rPr>
        <w:rFonts w:ascii="Times New Roman" w:eastAsia="Times New Roman" w:hAnsi="Times New Roman" w:cs="Times New Roman"/>
        <w:sz w:val="18"/>
        <w:szCs w:val="18"/>
      </w:rPr>
      <w:t>Templates and policies from HRdownloads.com are provided for clients of our service. Customers may use this document as is, or as a starting point for their own documents. HRdownloads.com assumes no responsibility for the enforcement or effectiveness of it</w:t>
    </w:r>
    <w:r>
      <w:rPr>
        <w:rFonts w:ascii="Times New Roman" w:eastAsia="Times New Roman" w:hAnsi="Times New Roman" w:cs="Times New Roman"/>
        <w:sz w:val="18"/>
        <w:szCs w:val="18"/>
      </w:rPr>
      <w:t>s templates and policies. Always consult legal counsel before implementing any new policies or procedures at your organization.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7E21">
      <w:pPr>
        <w:spacing w:after="0" w:line="240" w:lineRule="auto"/>
      </w:pPr>
      <w:r>
        <w:separator/>
      </w:r>
    </w:p>
  </w:footnote>
  <w:footnote w:type="continuationSeparator" w:id="0">
    <w:p w:rsidR="00000000" w:rsidRDefault="006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8B" w:rsidRDefault="00637E21">
    <w:pPr>
      <w:jc w:val="center"/>
    </w:pPr>
    <w:r>
      <w:rPr>
        <w:noProof/>
      </w:rPr>
      <w:drawing>
        <wp:inline distT="0" distB="0" distL="0" distR="0">
          <wp:extent cx="20955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F3E6C"/>
    <w:multiLevelType w:val="multilevel"/>
    <w:tmpl w:val="0E4499A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5F6112A"/>
    <w:multiLevelType w:val="multilevel"/>
    <w:tmpl w:val="A11ADD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DB9300F"/>
    <w:multiLevelType w:val="multilevel"/>
    <w:tmpl w:val="2124B47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381FEF1"/>
    <w:multiLevelType w:val="hybridMultilevel"/>
    <w:tmpl w:val="3CF04F3A"/>
    <w:lvl w:ilvl="0" w:tplc="C1CC3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6A0F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97835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F48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4446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E7236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B0C24C8">
      <w:numFmt w:val="decimal"/>
      <w:lvlText w:val=""/>
      <w:lvlJc w:val="left"/>
    </w:lvl>
    <w:lvl w:ilvl="7" w:tplc="6AF6C5CA">
      <w:numFmt w:val="decimal"/>
      <w:lvlText w:val=""/>
      <w:lvlJc w:val="left"/>
    </w:lvl>
    <w:lvl w:ilvl="8" w:tplc="8D486DC4">
      <w:numFmt w:val="decimal"/>
      <w:lvlText w:val=""/>
      <w:lvlJc w:val="left"/>
    </w:lvl>
  </w:abstractNum>
  <w:abstractNum w:abstractNumId="4">
    <w:nsid w:val="E518FE81"/>
    <w:multiLevelType w:val="multilevel"/>
    <w:tmpl w:val="D78CD1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BA4D4"/>
    <w:multiLevelType w:val="multilevel"/>
    <w:tmpl w:val="C782689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9B88B"/>
    <w:multiLevelType w:val="multilevel"/>
    <w:tmpl w:val="58CE418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3F231"/>
    <w:multiLevelType w:val="multilevel"/>
    <w:tmpl w:val="585424B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96B3E"/>
    <w:multiLevelType w:val="multilevel"/>
    <w:tmpl w:val="40E031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3070F"/>
    <w:multiLevelType w:val="multilevel"/>
    <w:tmpl w:val="BF080A0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1534DD"/>
    <w:multiLevelType w:val="hybridMultilevel"/>
    <w:tmpl w:val="8E46991C"/>
    <w:lvl w:ilvl="0" w:tplc="38A21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5F83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A3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582A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0EB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6EC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A60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CCE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4B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4CE34"/>
    <w:multiLevelType w:val="multilevel"/>
    <w:tmpl w:val="6E845F5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EB968"/>
    <w:multiLevelType w:val="multilevel"/>
    <w:tmpl w:val="764230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288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288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288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28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B"/>
    <w:rsid w:val="00637E21"/>
    <w:rsid w:val="006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after="0" w:line="240" w:lineRule="auto"/>
      <w:outlineLvl w:val="0"/>
    </w:pPr>
    <w:rPr>
      <w:rFonts w:ascii="Tahoma" w:eastAsia="Tahoma" w:hAnsi="Tahoma" w:cs="Tahoma"/>
      <w:sz w:val="36"/>
      <w:szCs w:val="36"/>
    </w:rPr>
  </w:style>
  <w:style w:type="paragraph" w:styleId="Heading2">
    <w:name w:val="heading 2"/>
    <w:basedOn w:val="Normal"/>
    <w:pPr>
      <w:spacing w:before="300" w:after="300" w:line="240" w:lineRule="auto"/>
      <w:outlineLvl w:val="1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after="0" w:line="240" w:lineRule="auto"/>
      <w:outlineLvl w:val="0"/>
    </w:pPr>
    <w:rPr>
      <w:rFonts w:ascii="Tahoma" w:eastAsia="Tahoma" w:hAnsi="Tahoma" w:cs="Tahoma"/>
      <w:sz w:val="36"/>
      <w:szCs w:val="36"/>
    </w:rPr>
  </w:style>
  <w:style w:type="paragraph" w:styleId="Heading2">
    <w:name w:val="heading 2"/>
    <w:basedOn w:val="Normal"/>
    <w:pPr>
      <w:spacing w:before="300" w:after="300" w:line="240" w:lineRule="auto"/>
      <w:outlineLvl w:val="1"/>
    </w:pPr>
    <w:rPr>
      <w:rFonts w:ascii="Tahoma" w:eastAsia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2016-09-26T19:29:00Z</dcterms:created>
  <dcterms:modified xsi:type="dcterms:W3CDTF">2016-09-26T19:29:00Z</dcterms:modified>
</cp:coreProperties>
</file>