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59" w:rsidRDefault="00600859">
      <w:pPr>
        <w:jc w:val="center"/>
        <w:rPr>
          <w:b/>
          <w:bCs/>
        </w:rPr>
      </w:pPr>
    </w:p>
    <w:p w:rsidR="00600859" w:rsidRPr="00F048DA" w:rsidRDefault="00134B87">
      <w:pPr>
        <w:jc w:val="center"/>
        <w:rPr>
          <w:b/>
          <w:bCs/>
        </w:rPr>
      </w:pPr>
      <w:r w:rsidRPr="00F048DA">
        <w:rPr>
          <w:b/>
          <w:bCs/>
        </w:rPr>
        <w:t>LICENSED PRACTICAL</w:t>
      </w:r>
      <w:r w:rsidR="00600859" w:rsidRPr="00F048DA">
        <w:rPr>
          <w:b/>
          <w:bCs/>
        </w:rPr>
        <w:t xml:space="preserve"> NURSING PROGRAM</w:t>
      </w:r>
    </w:p>
    <w:p w:rsidR="00600859" w:rsidRPr="00F048DA" w:rsidRDefault="00600859">
      <w:pPr>
        <w:jc w:val="center"/>
        <w:rPr>
          <w:b/>
          <w:bCs/>
        </w:rPr>
      </w:pPr>
      <w:r w:rsidRPr="00F048DA">
        <w:rPr>
          <w:b/>
          <w:bCs/>
        </w:rPr>
        <w:t>CORE PERFORMANCE STANDARDS</w:t>
      </w:r>
    </w:p>
    <w:p w:rsidR="00600859" w:rsidRDefault="00600859">
      <w:pPr>
        <w:jc w:val="center"/>
        <w:rPr>
          <w:b/>
          <w:bCs/>
        </w:rPr>
      </w:pPr>
    </w:p>
    <w:p w:rsidR="0089248F" w:rsidRPr="003A5305" w:rsidRDefault="0089248F" w:rsidP="0089248F">
      <w:pPr>
        <w:rPr>
          <w:bCs/>
        </w:rPr>
      </w:pPr>
      <w:r w:rsidRPr="003A5305">
        <w:rPr>
          <w:bCs/>
        </w:rPr>
        <w:t xml:space="preserve">The following performance standards and activities have been identified as essential for successful progression and completion of this program. Students with a diagnosed disability who are unable to meet the standards are advised to contact the </w:t>
      </w:r>
      <w:smartTag w:uri="urn:schemas-microsoft-com:office:smarttags" w:element="City">
        <w:smartTag w:uri="urn:schemas-microsoft-com:office:smarttags" w:element="place">
          <w:r w:rsidRPr="003A5305">
            <w:rPr>
              <w:bCs/>
            </w:rPr>
            <w:t>ADA</w:t>
          </w:r>
        </w:smartTag>
      </w:smartTag>
      <w:r w:rsidRPr="003A5305">
        <w:rPr>
          <w:bCs/>
        </w:rPr>
        <w:t xml:space="preserve"> counselor at the Nursing/Allied Health Center prior to program admission.</w:t>
      </w:r>
    </w:p>
    <w:p w:rsidR="00600859" w:rsidRPr="003A5305" w:rsidRDefault="00600859">
      <w:pPr>
        <w:jc w:val="center"/>
        <w:rPr>
          <w:bCs/>
        </w:rPr>
      </w:pPr>
    </w:p>
    <w:tbl>
      <w:tblPr>
        <w:tblW w:w="0" w:type="auto"/>
        <w:jc w:val="center"/>
        <w:tblLayout w:type="fixed"/>
        <w:tblCellMar>
          <w:left w:w="100" w:type="dxa"/>
          <w:right w:w="100" w:type="dxa"/>
        </w:tblCellMar>
        <w:tblLook w:val="0000" w:firstRow="0" w:lastRow="0" w:firstColumn="0" w:lastColumn="0" w:noHBand="0" w:noVBand="0"/>
      </w:tblPr>
      <w:tblGrid>
        <w:gridCol w:w="1868"/>
        <w:gridCol w:w="3240"/>
        <w:gridCol w:w="6007"/>
      </w:tblGrid>
      <w:tr w:rsidR="00600859" w:rsidRPr="003A5305" w:rsidTr="00C43DD8">
        <w:trPr>
          <w:cantSplit/>
          <w:trHeight w:val="403"/>
          <w:jc w:val="center"/>
        </w:trPr>
        <w:tc>
          <w:tcPr>
            <w:tcW w:w="1868" w:type="dxa"/>
            <w:tcBorders>
              <w:top w:val="single" w:sz="6" w:space="0" w:color="auto"/>
              <w:left w:val="single" w:sz="6" w:space="0" w:color="auto"/>
              <w:bottom w:val="nil"/>
              <w:right w:val="nil"/>
            </w:tcBorders>
          </w:tcPr>
          <w:p w:rsidR="00600859" w:rsidRPr="003A5305" w:rsidRDefault="00600859">
            <w:pPr>
              <w:jc w:val="center"/>
              <w:rPr>
                <w:b/>
              </w:rPr>
            </w:pPr>
            <w:r w:rsidRPr="003A5305">
              <w:rPr>
                <w:b/>
                <w:bCs/>
              </w:rPr>
              <w:t>PERFORMA</w:t>
            </w:r>
            <w:bookmarkStart w:id="0" w:name="_GoBack"/>
            <w:bookmarkEnd w:id="0"/>
            <w:r w:rsidRPr="003A5305">
              <w:rPr>
                <w:b/>
                <w:bCs/>
              </w:rPr>
              <w:t>NCE</w:t>
            </w:r>
          </w:p>
        </w:tc>
        <w:tc>
          <w:tcPr>
            <w:tcW w:w="3240" w:type="dxa"/>
            <w:tcBorders>
              <w:top w:val="single" w:sz="6" w:space="0" w:color="auto"/>
              <w:left w:val="single" w:sz="6" w:space="0" w:color="auto"/>
              <w:bottom w:val="nil"/>
              <w:right w:val="nil"/>
            </w:tcBorders>
          </w:tcPr>
          <w:p w:rsidR="00600859" w:rsidRPr="003A5305" w:rsidRDefault="00600859">
            <w:pPr>
              <w:jc w:val="center"/>
              <w:rPr>
                <w:b/>
              </w:rPr>
            </w:pPr>
            <w:r w:rsidRPr="003A5305">
              <w:rPr>
                <w:b/>
                <w:bCs/>
              </w:rPr>
              <w:t>STANDARD</w:t>
            </w:r>
          </w:p>
        </w:tc>
        <w:tc>
          <w:tcPr>
            <w:tcW w:w="6007" w:type="dxa"/>
            <w:tcBorders>
              <w:top w:val="single" w:sz="6" w:space="0" w:color="auto"/>
              <w:left w:val="single" w:sz="6" w:space="0" w:color="auto"/>
              <w:bottom w:val="nil"/>
              <w:right w:val="single" w:sz="6" w:space="0" w:color="auto"/>
            </w:tcBorders>
          </w:tcPr>
          <w:p w:rsidR="00600859" w:rsidRPr="003A5305" w:rsidRDefault="00600859">
            <w:pPr>
              <w:jc w:val="center"/>
              <w:rPr>
                <w:b/>
                <w:bCs/>
              </w:rPr>
            </w:pPr>
            <w:r w:rsidRPr="003A5305">
              <w:rPr>
                <w:b/>
                <w:bCs/>
              </w:rPr>
              <w:t>ESSENTIAL ACTIVITIES/TASKS</w:t>
            </w:r>
          </w:p>
          <w:p w:rsidR="00600859" w:rsidRPr="003A5305" w:rsidRDefault="00600859">
            <w:pPr>
              <w:jc w:val="center"/>
              <w:rPr>
                <w:b/>
              </w:rPr>
            </w:pPr>
            <w:r w:rsidRPr="003A5305">
              <w:rPr>
                <w:b/>
                <w:bCs/>
              </w:rPr>
              <w:t>(not all inclusive)</w:t>
            </w:r>
          </w:p>
        </w:tc>
      </w:tr>
    </w:tbl>
    <w:p w:rsidR="00600859" w:rsidRPr="003A5305" w:rsidRDefault="00600859">
      <w:pPr>
        <w:sectPr w:rsidR="00600859" w:rsidRPr="003A5305">
          <w:type w:val="continuous"/>
          <w:pgSz w:w="12240" w:h="15840"/>
          <w:pgMar w:top="450" w:right="630" w:bottom="180" w:left="630" w:header="720" w:footer="1680" w:gutter="0"/>
          <w:cols w:space="720"/>
        </w:sectPr>
      </w:pPr>
    </w:p>
    <w:tbl>
      <w:tblPr>
        <w:tblW w:w="0" w:type="auto"/>
        <w:jc w:val="center"/>
        <w:tblLayout w:type="fixed"/>
        <w:tblCellMar>
          <w:left w:w="100" w:type="dxa"/>
          <w:right w:w="100" w:type="dxa"/>
        </w:tblCellMar>
        <w:tblLook w:val="0000" w:firstRow="0" w:lastRow="0" w:firstColumn="0" w:lastColumn="0" w:noHBand="0" w:noVBand="0"/>
      </w:tblPr>
      <w:tblGrid>
        <w:gridCol w:w="1890"/>
        <w:gridCol w:w="3240"/>
        <w:gridCol w:w="6030"/>
      </w:tblGrid>
      <w:tr w:rsidR="00600859" w:rsidRPr="00A80880" w:rsidTr="00C43DD8">
        <w:trPr>
          <w:cantSplit/>
          <w:trHeight w:val="403"/>
          <w:jc w:val="center"/>
        </w:trPr>
        <w:tc>
          <w:tcPr>
            <w:tcW w:w="1890" w:type="dxa"/>
            <w:tcBorders>
              <w:top w:val="single" w:sz="6" w:space="0" w:color="auto"/>
              <w:left w:val="single" w:sz="6" w:space="0" w:color="auto"/>
              <w:bottom w:val="nil"/>
              <w:right w:val="nil"/>
            </w:tcBorders>
          </w:tcPr>
          <w:p w:rsidR="00600859" w:rsidRPr="00C43DD8" w:rsidRDefault="00600859">
            <w:pPr>
              <w:jc w:val="center"/>
              <w:rPr>
                <w:b/>
                <w:bCs/>
                <w:sz w:val="18"/>
                <w:szCs w:val="18"/>
              </w:rPr>
            </w:pPr>
            <w:r w:rsidRPr="00C43DD8">
              <w:rPr>
                <w:b/>
                <w:bCs/>
                <w:sz w:val="18"/>
                <w:szCs w:val="18"/>
              </w:rPr>
              <w:lastRenderedPageBreak/>
              <w:t>CRITICAL</w:t>
            </w:r>
          </w:p>
          <w:p w:rsidR="00600859" w:rsidRPr="00C43DD8" w:rsidRDefault="00600859">
            <w:pPr>
              <w:jc w:val="center"/>
              <w:rPr>
                <w:b/>
                <w:sz w:val="18"/>
                <w:szCs w:val="18"/>
              </w:rPr>
            </w:pPr>
            <w:r w:rsidRPr="00C43DD8">
              <w:rPr>
                <w:b/>
                <w:bCs/>
                <w:sz w:val="18"/>
                <w:szCs w:val="18"/>
              </w:rPr>
              <w:t>THINKING</w:t>
            </w:r>
          </w:p>
        </w:tc>
        <w:tc>
          <w:tcPr>
            <w:tcW w:w="3240" w:type="dxa"/>
            <w:tcBorders>
              <w:top w:val="single" w:sz="6" w:space="0" w:color="auto"/>
              <w:left w:val="single" w:sz="6" w:space="0" w:color="auto"/>
              <w:bottom w:val="nil"/>
              <w:right w:val="nil"/>
            </w:tcBorders>
          </w:tcPr>
          <w:p w:rsidR="00600859" w:rsidRPr="00A80880" w:rsidRDefault="0089248F">
            <w:pPr>
              <w:rPr>
                <w:sz w:val="18"/>
                <w:szCs w:val="18"/>
              </w:rPr>
            </w:pPr>
            <w:r w:rsidRPr="00A80880">
              <w:rPr>
                <w:bCs/>
                <w:sz w:val="18"/>
                <w:szCs w:val="18"/>
              </w:rPr>
              <w:t>Critical thinking ability sufficient for clinical decision making.</w:t>
            </w:r>
          </w:p>
        </w:tc>
        <w:tc>
          <w:tcPr>
            <w:tcW w:w="6030" w:type="dxa"/>
            <w:tcBorders>
              <w:top w:val="single" w:sz="6" w:space="0" w:color="auto"/>
              <w:left w:val="single" w:sz="6" w:space="0" w:color="auto"/>
              <w:bottom w:val="nil"/>
              <w:right w:val="single" w:sz="6" w:space="0" w:color="auto"/>
            </w:tcBorders>
          </w:tcPr>
          <w:p w:rsidR="0089248F" w:rsidRPr="00A80880" w:rsidRDefault="0089248F" w:rsidP="00A80880">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Identify cause-effect relationships</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Synthesize information</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Read and interpret data from patient’s chart or computer monitor</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Analyze data</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Draw conclusions from data</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Assess patients using sight, hearing, and touch</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Recognize changes in patients’ conditions</w:t>
            </w:r>
            <w:r w:rsidR="003E3A32" w:rsidRPr="00A80880">
              <w:rPr>
                <w:sz w:val="18"/>
                <w:szCs w:val="18"/>
              </w:rPr>
              <w:t>.</w:t>
            </w:r>
          </w:p>
          <w:p w:rsidR="0089248F" w:rsidRPr="00A80880" w:rsidRDefault="0089248F" w:rsidP="0089248F">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Prioritize nursing interventions with multiple tasks are assigned.</w:t>
            </w:r>
          </w:p>
          <w:p w:rsidR="0063039E" w:rsidRPr="00A80880" w:rsidRDefault="0089248F" w:rsidP="0063039E">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Evaluate effect of nursing interventions.</w:t>
            </w:r>
          </w:p>
          <w:p w:rsidR="0063039E" w:rsidRPr="00A80880" w:rsidRDefault="00A80880" w:rsidP="00A80880">
            <w:pPr>
              <w:pStyle w:val="1Squares"/>
              <w:numPr>
                <w:ilvl w:val="0"/>
                <w:numId w:val="19"/>
              </w:numPr>
              <w:tabs>
                <w:tab w:val="clear" w:pos="720"/>
                <w:tab w:val="left" w:pos="1440"/>
                <w:tab w:val="left" w:pos="2160"/>
                <w:tab w:val="left" w:pos="2880"/>
                <w:tab w:val="left" w:pos="3600"/>
                <w:tab w:val="left" w:pos="4320"/>
                <w:tab w:val="left" w:pos="5040"/>
              </w:tabs>
              <w:jc w:val="left"/>
              <w:rPr>
                <w:sz w:val="18"/>
                <w:szCs w:val="18"/>
              </w:rPr>
            </w:pPr>
            <w:r w:rsidRPr="00AC5320">
              <w:rPr>
                <w:sz w:val="18"/>
                <w:szCs w:val="18"/>
              </w:rPr>
              <w:t>Utilize basic math skills to safely implement medication and related procedures.</w:t>
            </w:r>
            <w:r w:rsidRPr="00A80880">
              <w:rPr>
                <w:sz w:val="18"/>
                <w:szCs w:val="18"/>
              </w:rPr>
              <w:t xml:space="preserve"> </w:t>
            </w:r>
          </w:p>
        </w:tc>
      </w:tr>
      <w:tr w:rsidR="0089248F" w:rsidRPr="00A80880" w:rsidTr="00C43DD8">
        <w:trPr>
          <w:cantSplit/>
          <w:trHeight w:val="403"/>
          <w:jc w:val="center"/>
        </w:trPr>
        <w:tc>
          <w:tcPr>
            <w:tcW w:w="1890" w:type="dxa"/>
            <w:tcBorders>
              <w:top w:val="single" w:sz="6" w:space="0" w:color="auto"/>
              <w:left w:val="single" w:sz="6" w:space="0" w:color="auto"/>
              <w:bottom w:val="nil"/>
              <w:right w:val="nil"/>
            </w:tcBorders>
          </w:tcPr>
          <w:p w:rsidR="0089248F" w:rsidRPr="00C43DD8" w:rsidRDefault="0089248F">
            <w:pPr>
              <w:pStyle w:val="Heading1"/>
              <w:rPr>
                <w:sz w:val="18"/>
                <w:szCs w:val="18"/>
              </w:rPr>
            </w:pPr>
            <w:r w:rsidRPr="00C43DD8">
              <w:rPr>
                <w:sz w:val="18"/>
                <w:szCs w:val="18"/>
              </w:rPr>
              <w:t>INTERPERSONAL</w:t>
            </w:r>
          </w:p>
          <w:p w:rsidR="0089248F" w:rsidRPr="00C43DD8" w:rsidRDefault="0089248F">
            <w:pPr>
              <w:pStyle w:val="Heading1"/>
              <w:rPr>
                <w:sz w:val="18"/>
                <w:szCs w:val="18"/>
              </w:rPr>
            </w:pPr>
            <w:r w:rsidRPr="00C43DD8">
              <w:rPr>
                <w:sz w:val="18"/>
                <w:szCs w:val="18"/>
              </w:rPr>
              <w:t>SKILLS</w:t>
            </w:r>
          </w:p>
        </w:tc>
        <w:tc>
          <w:tcPr>
            <w:tcW w:w="3240" w:type="dxa"/>
            <w:tcBorders>
              <w:top w:val="single" w:sz="6" w:space="0" w:color="auto"/>
              <w:left w:val="single" w:sz="6" w:space="0" w:color="auto"/>
              <w:bottom w:val="nil"/>
              <w:right w:val="nil"/>
            </w:tcBorders>
          </w:tcPr>
          <w:p w:rsidR="0089248F" w:rsidRPr="00A80880" w:rsidRDefault="0089248F" w:rsidP="00600859">
            <w:pPr>
              <w:rPr>
                <w:sz w:val="18"/>
                <w:szCs w:val="18"/>
              </w:rPr>
            </w:pPr>
            <w:r w:rsidRPr="00A80880">
              <w:rPr>
                <w:bCs/>
                <w:sz w:val="18"/>
                <w:szCs w:val="18"/>
              </w:rPr>
              <w:t xml:space="preserve">Interpersonal abilities sufficient to interact with individuals, families, and groups from a variety of social, emotional, cultural, and intellectual backgrounds. </w:t>
            </w:r>
          </w:p>
        </w:tc>
        <w:tc>
          <w:tcPr>
            <w:tcW w:w="6030" w:type="dxa"/>
            <w:tcBorders>
              <w:top w:val="single" w:sz="6" w:space="0" w:color="auto"/>
              <w:left w:val="single" w:sz="6" w:space="0" w:color="auto"/>
              <w:bottom w:val="nil"/>
              <w:right w:val="single" w:sz="6" w:space="0" w:color="auto"/>
            </w:tcBorders>
          </w:tcPr>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 xml:space="preserve">Establish rapport (relationship) with </w:t>
            </w:r>
            <w:r w:rsidR="003E3A32" w:rsidRPr="00A80880">
              <w:rPr>
                <w:bCs/>
                <w:sz w:val="18"/>
                <w:szCs w:val="18"/>
              </w:rPr>
              <w:t>patients</w:t>
            </w:r>
            <w:r w:rsidRPr="00A80880">
              <w:rPr>
                <w:bCs/>
                <w:sz w:val="18"/>
                <w:szCs w:val="18"/>
              </w:rPr>
              <w:t xml:space="preserve"> and colleagues through speech, touch, and hearing.</w:t>
            </w:r>
          </w:p>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Practice therapeutic (non-harmful) communication using speech, hearing, and judgment of appropriate responses.</w:t>
            </w:r>
          </w:p>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sz w:val="18"/>
                <w:szCs w:val="18"/>
              </w:rPr>
            </w:pPr>
            <w:r w:rsidRPr="00A80880">
              <w:rPr>
                <w:bCs/>
                <w:sz w:val="18"/>
                <w:szCs w:val="18"/>
              </w:rPr>
              <w:t xml:space="preserve">Recognize crises (times or events that disrupt normal lives) and institute appropriate interventions </w:t>
            </w:r>
            <w:r w:rsidR="003E3A32" w:rsidRPr="00A80880">
              <w:rPr>
                <w:bCs/>
                <w:sz w:val="18"/>
                <w:szCs w:val="18"/>
              </w:rPr>
              <w:t xml:space="preserve">(actions </w:t>
            </w:r>
            <w:r w:rsidRPr="00A80880">
              <w:rPr>
                <w:bCs/>
                <w:sz w:val="18"/>
                <w:szCs w:val="18"/>
              </w:rPr>
              <w:t>to bring situation back to normal</w:t>
            </w:r>
            <w:r w:rsidR="003E3A32" w:rsidRPr="00A80880">
              <w:rPr>
                <w:bCs/>
                <w:sz w:val="18"/>
                <w:szCs w:val="18"/>
              </w:rPr>
              <w:t>)</w:t>
            </w:r>
            <w:r w:rsidRPr="00A80880">
              <w:rPr>
                <w:bCs/>
                <w:sz w:val="18"/>
                <w:szCs w:val="18"/>
              </w:rPr>
              <w:t>.</w:t>
            </w:r>
          </w:p>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Participate in the referral process to health and social agencies.</w:t>
            </w:r>
          </w:p>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Evaluate own communication techniques.</w:t>
            </w:r>
          </w:p>
          <w:p w:rsidR="0089248F" w:rsidRPr="00A80880" w:rsidRDefault="0089248F" w:rsidP="0089248F">
            <w:pPr>
              <w:pStyle w:val="1Squares"/>
              <w:numPr>
                <w:ilvl w:val="0"/>
                <w:numId w:val="20"/>
              </w:numPr>
              <w:tabs>
                <w:tab w:val="clear" w:pos="720"/>
                <w:tab w:val="left" w:pos="1440"/>
                <w:tab w:val="left" w:pos="2160"/>
                <w:tab w:val="left" w:pos="2880"/>
                <w:tab w:val="left" w:pos="3600"/>
                <w:tab w:val="left" w:pos="4320"/>
                <w:tab w:val="left" w:pos="5040"/>
              </w:tabs>
              <w:jc w:val="left"/>
              <w:rPr>
                <w:sz w:val="18"/>
                <w:szCs w:val="18"/>
              </w:rPr>
            </w:pPr>
            <w:r w:rsidRPr="00A80880">
              <w:rPr>
                <w:bCs/>
                <w:sz w:val="18"/>
                <w:szCs w:val="18"/>
              </w:rPr>
              <w:t>Work effectively in small groups as team members and as a team leader.</w:t>
            </w:r>
          </w:p>
        </w:tc>
      </w:tr>
      <w:tr w:rsidR="0089248F" w:rsidRPr="00A80880" w:rsidTr="00C43DD8">
        <w:trPr>
          <w:cantSplit/>
          <w:trHeight w:val="403"/>
          <w:jc w:val="center"/>
        </w:trPr>
        <w:tc>
          <w:tcPr>
            <w:tcW w:w="1890" w:type="dxa"/>
            <w:tcBorders>
              <w:top w:val="single" w:sz="6" w:space="0" w:color="auto"/>
              <w:left w:val="single" w:sz="6" w:space="0" w:color="auto"/>
              <w:bottom w:val="single" w:sz="4" w:space="0" w:color="auto"/>
              <w:right w:val="nil"/>
            </w:tcBorders>
          </w:tcPr>
          <w:p w:rsidR="0089248F" w:rsidRPr="00C43DD8" w:rsidRDefault="0089248F">
            <w:pPr>
              <w:pStyle w:val="Heading1"/>
              <w:rPr>
                <w:sz w:val="18"/>
                <w:szCs w:val="18"/>
              </w:rPr>
            </w:pPr>
            <w:r w:rsidRPr="00C43DD8">
              <w:rPr>
                <w:sz w:val="18"/>
                <w:szCs w:val="18"/>
              </w:rPr>
              <w:t>COMMUNICATION</w:t>
            </w:r>
          </w:p>
          <w:p w:rsidR="0089248F" w:rsidRPr="00C43DD8" w:rsidRDefault="0089248F">
            <w:pPr>
              <w:pStyle w:val="Heading1"/>
              <w:rPr>
                <w:sz w:val="18"/>
                <w:szCs w:val="18"/>
              </w:rPr>
            </w:pPr>
            <w:r w:rsidRPr="00C43DD8">
              <w:rPr>
                <w:sz w:val="18"/>
                <w:szCs w:val="18"/>
              </w:rPr>
              <w:t>SKILLS</w:t>
            </w:r>
          </w:p>
        </w:tc>
        <w:tc>
          <w:tcPr>
            <w:tcW w:w="3240" w:type="dxa"/>
            <w:tcBorders>
              <w:top w:val="single" w:sz="6" w:space="0" w:color="auto"/>
              <w:left w:val="single" w:sz="6" w:space="0" w:color="auto"/>
              <w:bottom w:val="single" w:sz="4" w:space="0" w:color="auto"/>
              <w:right w:val="nil"/>
            </w:tcBorders>
          </w:tcPr>
          <w:p w:rsidR="0089248F" w:rsidRPr="00A80880" w:rsidRDefault="0089248F" w:rsidP="00600859">
            <w:pPr>
              <w:rPr>
                <w:sz w:val="18"/>
                <w:szCs w:val="18"/>
              </w:rPr>
            </w:pPr>
            <w:r w:rsidRPr="00A80880">
              <w:rPr>
                <w:bCs/>
                <w:sz w:val="18"/>
                <w:szCs w:val="18"/>
              </w:rPr>
              <w:t>Communication abilities sufficient for interaction with others in verbal, nonverbal, and written form.</w:t>
            </w:r>
          </w:p>
        </w:tc>
        <w:tc>
          <w:tcPr>
            <w:tcW w:w="6030" w:type="dxa"/>
            <w:tcBorders>
              <w:top w:val="single" w:sz="6" w:space="0" w:color="auto"/>
              <w:left w:val="single" w:sz="6" w:space="0" w:color="auto"/>
              <w:bottom w:val="single" w:sz="4" w:space="0" w:color="auto"/>
              <w:right w:val="single" w:sz="6" w:space="0" w:color="auto"/>
            </w:tcBorders>
          </w:tcPr>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Explain treatment procedures.</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Initiate (start) health teaching.</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Document (writing or typing) nursing actions and patient responses.</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Speak English in such manner to be understood by general public.</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Communicate verbally changes in patient condition.</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Hear communications other than face-to-face (intercom systems, cries for help, answer telephones).</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Give report (summary of patient condition) to staff and receive report from staff.</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Count medicine (narcotic count).</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Recognize and interpret other forms of communication such as medical abbreviations, foreign language flip charts, and readings from patient care monitors (i.e. EKG monitor)</w:t>
            </w:r>
            <w:r w:rsidR="003E3A32" w:rsidRPr="00A80880">
              <w:rPr>
                <w:sz w:val="18"/>
                <w:szCs w:val="18"/>
              </w:rPr>
              <w:t>.</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Read, interpret, and respond to computerized data.</w:t>
            </w:r>
          </w:p>
          <w:p w:rsidR="0089248F" w:rsidRPr="00A80880" w:rsidRDefault="0089248F" w:rsidP="00600859">
            <w:pPr>
              <w:pStyle w:val="1Squares"/>
              <w:numPr>
                <w:ilvl w:val="0"/>
                <w:numId w:val="21"/>
              </w:numPr>
              <w:tabs>
                <w:tab w:val="clear" w:pos="720"/>
                <w:tab w:val="left" w:pos="1440"/>
                <w:tab w:val="left" w:pos="2160"/>
                <w:tab w:val="left" w:pos="2880"/>
                <w:tab w:val="left" w:pos="3600"/>
                <w:tab w:val="left" w:pos="4320"/>
                <w:tab w:val="left" w:pos="5040"/>
              </w:tabs>
              <w:jc w:val="left"/>
              <w:rPr>
                <w:sz w:val="18"/>
                <w:szCs w:val="18"/>
              </w:rPr>
            </w:pPr>
            <w:r w:rsidRPr="00A80880">
              <w:rPr>
                <w:sz w:val="18"/>
                <w:szCs w:val="18"/>
              </w:rPr>
              <w:t>Function in a noisy, chaotic environment.</w:t>
            </w:r>
          </w:p>
        </w:tc>
      </w:tr>
      <w:tr w:rsidR="0089248F" w:rsidRPr="00A80880" w:rsidTr="00C43DD8">
        <w:trPr>
          <w:cantSplit/>
          <w:trHeight w:val="2330"/>
          <w:jc w:val="center"/>
        </w:trPr>
        <w:tc>
          <w:tcPr>
            <w:tcW w:w="1890" w:type="dxa"/>
            <w:tcBorders>
              <w:top w:val="single" w:sz="4" w:space="0" w:color="auto"/>
              <w:left w:val="single" w:sz="4" w:space="0" w:color="auto"/>
              <w:bottom w:val="single" w:sz="4" w:space="0" w:color="auto"/>
              <w:right w:val="nil"/>
            </w:tcBorders>
          </w:tcPr>
          <w:p w:rsidR="0089248F" w:rsidRPr="00C43DD8" w:rsidRDefault="0089248F">
            <w:pPr>
              <w:pStyle w:val="Heading1"/>
              <w:rPr>
                <w:sz w:val="18"/>
                <w:szCs w:val="18"/>
              </w:rPr>
            </w:pPr>
            <w:r w:rsidRPr="00C43DD8">
              <w:rPr>
                <w:sz w:val="18"/>
                <w:szCs w:val="18"/>
              </w:rPr>
              <w:t>MOTOR SKILLS</w:t>
            </w:r>
          </w:p>
        </w:tc>
        <w:tc>
          <w:tcPr>
            <w:tcW w:w="3240" w:type="dxa"/>
            <w:tcBorders>
              <w:top w:val="single" w:sz="4" w:space="0" w:color="auto"/>
              <w:left w:val="single" w:sz="6" w:space="0" w:color="auto"/>
              <w:bottom w:val="single" w:sz="4" w:space="0" w:color="auto"/>
              <w:right w:val="nil"/>
            </w:tcBorders>
          </w:tcPr>
          <w:p w:rsidR="0089248F" w:rsidRPr="00A80880" w:rsidRDefault="0089248F" w:rsidP="00600859">
            <w:pPr>
              <w:rPr>
                <w:sz w:val="18"/>
                <w:szCs w:val="18"/>
              </w:rPr>
            </w:pPr>
            <w:r w:rsidRPr="00A80880">
              <w:rPr>
                <w:bCs/>
                <w:sz w:val="18"/>
                <w:szCs w:val="18"/>
              </w:rPr>
              <w:t>Gross and fine motor skills sufficient to provide nursing care in a safe, responsible, and cost effective manner.</w:t>
            </w:r>
          </w:p>
        </w:tc>
        <w:tc>
          <w:tcPr>
            <w:tcW w:w="6030" w:type="dxa"/>
            <w:tcBorders>
              <w:top w:val="single" w:sz="4" w:space="0" w:color="auto"/>
              <w:left w:val="single" w:sz="6" w:space="0" w:color="auto"/>
              <w:bottom w:val="single" w:sz="4" w:space="0" w:color="auto"/>
              <w:right w:val="single" w:sz="4" w:space="0" w:color="auto"/>
            </w:tcBorders>
          </w:tcPr>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Calibrate and use equipment such as reading numbers on measuring cups, syringes, and adjusting flow rates with stopcocks and other small devices.</w:t>
            </w:r>
          </w:p>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Position patients.</w:t>
            </w:r>
          </w:p>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Maintain immobilization devices such as traction equipment (ropes and pulleys) and casts (support limb while cast is being applied, feel for heat or wetness).</w:t>
            </w:r>
          </w:p>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Hold skin taut with one hand while inserting needle in skin or vein with the other hand and perform other procedures requiring the use of two hands.</w:t>
            </w:r>
          </w:p>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bCs/>
                <w:sz w:val="18"/>
                <w:szCs w:val="18"/>
              </w:rPr>
            </w:pPr>
            <w:r w:rsidRPr="00A80880">
              <w:rPr>
                <w:bCs/>
                <w:sz w:val="18"/>
                <w:szCs w:val="18"/>
              </w:rPr>
              <w:t>Maintain sterile technique (open containers and wrappers without touching certain areas).</w:t>
            </w:r>
          </w:p>
          <w:p w:rsidR="0089248F" w:rsidRPr="00A80880" w:rsidRDefault="0089248F" w:rsidP="00600859">
            <w:pPr>
              <w:pStyle w:val="1Squares"/>
              <w:numPr>
                <w:ilvl w:val="0"/>
                <w:numId w:val="22"/>
              </w:numPr>
              <w:tabs>
                <w:tab w:val="clear" w:pos="720"/>
                <w:tab w:val="left" w:pos="1440"/>
                <w:tab w:val="left" w:pos="2160"/>
                <w:tab w:val="left" w:pos="2880"/>
                <w:tab w:val="left" w:pos="3600"/>
                <w:tab w:val="left" w:pos="4320"/>
                <w:tab w:val="left" w:pos="5040"/>
              </w:tabs>
              <w:jc w:val="left"/>
              <w:rPr>
                <w:sz w:val="18"/>
                <w:szCs w:val="18"/>
              </w:rPr>
            </w:pPr>
            <w:r w:rsidRPr="00A80880">
              <w:rPr>
                <w:bCs/>
                <w:sz w:val="18"/>
                <w:szCs w:val="18"/>
              </w:rPr>
              <w:t>Develop technological/computer skills (i.e., keyboarding, inputting data, scanning, retrieving data).</w:t>
            </w:r>
          </w:p>
        </w:tc>
      </w:tr>
    </w:tbl>
    <w:p w:rsidR="00F048DA" w:rsidRPr="00A80880" w:rsidRDefault="00F048DA">
      <w:pPr>
        <w:rPr>
          <w:sz w:val="18"/>
          <w:szCs w:val="18"/>
        </w:rPr>
        <w:sectPr w:rsidR="00F048DA" w:rsidRPr="00A80880">
          <w:footerReference w:type="default" r:id="rId8"/>
          <w:type w:val="continuous"/>
          <w:pgSz w:w="12240" w:h="15840"/>
          <w:pgMar w:top="900" w:right="630" w:bottom="1080" w:left="630" w:header="720" w:footer="168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208"/>
        <w:gridCol w:w="5875"/>
      </w:tblGrid>
      <w:tr w:rsidR="00F048DA" w:rsidRPr="003F37D3" w:rsidTr="00C43DD8">
        <w:tc>
          <w:tcPr>
            <w:tcW w:w="1887"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F048DA">
              <w:rPr>
                <w:rFonts w:ascii="Calibri" w:hAnsi="Calibri"/>
                <w:color w:val="212121"/>
                <w:sz w:val="22"/>
                <w:szCs w:val="22"/>
              </w:rPr>
              <w:lastRenderedPageBreak/>
              <w:t> </w:t>
            </w:r>
            <w:r w:rsidRPr="003F37D3">
              <w:rPr>
                <w:b/>
                <w:sz w:val="18"/>
                <w:szCs w:val="18"/>
              </w:rPr>
              <w:t>HEARING</w:t>
            </w:r>
          </w:p>
        </w:tc>
        <w:tc>
          <w:tcPr>
            <w:tcW w:w="3281"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Cs/>
                <w:sz w:val="18"/>
                <w:szCs w:val="18"/>
              </w:rPr>
              <w:t>Hearing ability sufficient to monitor, assess, and provide safe nursing care.</w:t>
            </w:r>
          </w:p>
        </w:tc>
        <w:tc>
          <w:tcPr>
            <w:tcW w:w="6028" w:type="dxa"/>
            <w:shd w:val="clear" w:color="auto" w:fill="auto"/>
          </w:tcPr>
          <w:p w:rsidR="00F048DA" w:rsidRPr="003F37D3" w:rsidRDefault="00F048DA" w:rsidP="003F37D3">
            <w:pPr>
              <w:pStyle w:val="1Squares"/>
              <w:numPr>
                <w:ilvl w:val="0"/>
                <w:numId w:val="23"/>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Be able to hear without communicating face-to-face such as hearing alarms, emergency signals, cries for help, answering telephones.</w:t>
            </w:r>
          </w:p>
          <w:p w:rsidR="00F048DA" w:rsidRPr="003F37D3" w:rsidRDefault="00F048DA" w:rsidP="003F37D3">
            <w:pPr>
              <w:pStyle w:val="1Squares"/>
              <w:numPr>
                <w:ilvl w:val="0"/>
                <w:numId w:val="23"/>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Distinguish changes in tone and pitch such as in listening to patient’s breathing characteristics.</w:t>
            </w:r>
          </w:p>
          <w:p w:rsidR="00F048DA" w:rsidRPr="003F37D3" w:rsidRDefault="00F048DA" w:rsidP="003F37D3">
            <w:pPr>
              <w:pStyle w:val="1Squares"/>
              <w:numPr>
                <w:ilvl w:val="0"/>
                <w:numId w:val="23"/>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Able to recognize the manner in which a patient speaks does not correspond to what the patient is saying such as when a patient sounding very depressed states he feels great.</w:t>
            </w:r>
          </w:p>
          <w:p w:rsidR="00F048DA" w:rsidRPr="003F37D3" w:rsidRDefault="00F048DA" w:rsidP="003F37D3">
            <w:pPr>
              <w:pStyle w:val="1Squares"/>
              <w:numPr>
                <w:ilvl w:val="0"/>
                <w:numId w:val="23"/>
              </w:numPr>
              <w:tabs>
                <w:tab w:val="clear" w:pos="720"/>
                <w:tab w:val="left" w:pos="1440"/>
                <w:tab w:val="left" w:pos="2160"/>
                <w:tab w:val="left" w:pos="2880"/>
                <w:tab w:val="left" w:pos="3600"/>
                <w:tab w:val="left" w:pos="4320"/>
                <w:tab w:val="left" w:pos="5040"/>
              </w:tabs>
              <w:jc w:val="left"/>
              <w:rPr>
                <w:sz w:val="18"/>
                <w:szCs w:val="18"/>
              </w:rPr>
            </w:pPr>
            <w:r w:rsidRPr="003F37D3">
              <w:rPr>
                <w:bCs/>
                <w:sz w:val="18"/>
                <w:szCs w:val="18"/>
              </w:rPr>
              <w:t>Able to hear and interpret communication in stressful situations such as when more than one person is talking at a time, when patients and/or families and/or physicians are excited and talking in a loud voice.</w:t>
            </w:r>
          </w:p>
          <w:p w:rsidR="00F048DA" w:rsidRPr="003F37D3" w:rsidRDefault="00F048DA" w:rsidP="003F37D3">
            <w:pPr>
              <w:widowControl/>
              <w:numPr>
                <w:ilvl w:val="0"/>
                <w:numId w:val="23"/>
              </w:numPr>
              <w:autoSpaceDE/>
              <w:autoSpaceDN/>
              <w:adjustRightInd/>
              <w:rPr>
                <w:rFonts w:ascii="Calibri" w:hAnsi="Calibri"/>
                <w:color w:val="212121"/>
                <w:sz w:val="22"/>
                <w:szCs w:val="22"/>
              </w:rPr>
            </w:pPr>
            <w:r w:rsidRPr="003F37D3">
              <w:rPr>
                <w:bCs/>
                <w:sz w:val="18"/>
                <w:szCs w:val="18"/>
              </w:rPr>
              <w:lastRenderedPageBreak/>
              <w:t>Ability to accurately hear using a stethoscope.</w:t>
            </w:r>
          </w:p>
        </w:tc>
      </w:tr>
      <w:tr w:rsidR="00F048DA" w:rsidRPr="003F37D3" w:rsidTr="00C43DD8">
        <w:trPr>
          <w:trHeight w:val="4985"/>
        </w:trPr>
        <w:tc>
          <w:tcPr>
            <w:tcW w:w="1887"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
                <w:sz w:val="18"/>
                <w:szCs w:val="18"/>
              </w:rPr>
              <w:lastRenderedPageBreak/>
              <w:t>MOBILITY</w:t>
            </w:r>
          </w:p>
        </w:tc>
        <w:tc>
          <w:tcPr>
            <w:tcW w:w="3281"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Cs/>
                <w:sz w:val="18"/>
                <w:szCs w:val="18"/>
              </w:rPr>
              <w:t>Physical abilities sufficient to move from room to room, maneuver in small spaces, and to accommodate stairwell when necessary.</w:t>
            </w:r>
          </w:p>
        </w:tc>
        <w:tc>
          <w:tcPr>
            <w:tcW w:w="6028" w:type="dxa"/>
            <w:shd w:val="clear" w:color="auto" w:fill="auto"/>
          </w:tcPr>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Move around in patient’s rooms, workspaces, and treatment areas.</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Administer CPR.</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Perform physical activities necessary to do basic nursing skills such as hold thermometer in one hand, put on sterile gloves, attach blood pressure cuff on patient’s arm, hold one part of a patient’s body steady while performing an action on another part of the body.</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Perform physical activities necessary to do health assessments such as bending over patient, kneeling, lifting an extremity while tapping with small hammer.</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Provide or assist with activities of daily living such as bed bath, oral hygiene (brushing teeth).</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Transport and transfer patients from various areas to other areas using such equipment as stretchers, wheelchairs, walkers, and commode chairs.</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Direct and assist in ambulation.  (Support patient with your arms as you walk).</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Move to patient’s presence in order to view patient directly. (If patient is on floor, can you get down to the level of the patient to determine condition of patient? If patient is in a small bathroom, can you get in the room with the patient to check on him/her?)</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Lift at least 15 lbs. of weight.</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Respond quickly in an emergency.</w:t>
            </w:r>
          </w:p>
          <w:p w:rsidR="00F048DA" w:rsidRPr="003F37D3" w:rsidRDefault="00F048DA" w:rsidP="003F37D3">
            <w:pPr>
              <w:pStyle w:val="1Squares"/>
              <w:numPr>
                <w:ilvl w:val="0"/>
                <w:numId w:val="24"/>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Gather equipment (3-4 pieces) and carry to room.</w:t>
            </w:r>
          </w:p>
          <w:p w:rsidR="00F048DA" w:rsidRPr="003F37D3" w:rsidRDefault="00F048DA" w:rsidP="003F37D3">
            <w:pPr>
              <w:widowControl/>
              <w:numPr>
                <w:ilvl w:val="0"/>
                <w:numId w:val="24"/>
              </w:numPr>
              <w:autoSpaceDE/>
              <w:autoSpaceDN/>
              <w:adjustRightInd/>
              <w:rPr>
                <w:rFonts w:ascii="Calibri" w:hAnsi="Calibri"/>
                <w:color w:val="212121"/>
                <w:sz w:val="22"/>
                <w:szCs w:val="22"/>
              </w:rPr>
            </w:pPr>
            <w:r w:rsidRPr="003F37D3">
              <w:rPr>
                <w:bCs/>
                <w:sz w:val="18"/>
                <w:szCs w:val="18"/>
              </w:rPr>
              <w:t>Pushing and pulling equipment.</w:t>
            </w:r>
          </w:p>
        </w:tc>
      </w:tr>
      <w:tr w:rsidR="00F048DA" w:rsidRPr="003F37D3" w:rsidTr="00C43DD8">
        <w:tc>
          <w:tcPr>
            <w:tcW w:w="1887"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
                <w:sz w:val="18"/>
                <w:szCs w:val="18"/>
              </w:rPr>
              <w:t>VISUAL</w:t>
            </w:r>
          </w:p>
        </w:tc>
        <w:tc>
          <w:tcPr>
            <w:tcW w:w="3281"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Cs/>
                <w:sz w:val="18"/>
                <w:szCs w:val="18"/>
              </w:rPr>
              <w:t>Visual ability sufficient to monitor, assess, and provide safe nursing care.</w:t>
            </w:r>
          </w:p>
        </w:tc>
        <w:tc>
          <w:tcPr>
            <w:tcW w:w="6028" w:type="dxa"/>
            <w:shd w:val="clear" w:color="auto" w:fill="auto"/>
          </w:tcPr>
          <w:p w:rsidR="00F048DA" w:rsidRPr="003F37D3" w:rsidRDefault="00F048DA" w:rsidP="003F37D3">
            <w:pPr>
              <w:pStyle w:val="1Squares"/>
              <w:numPr>
                <w:ilvl w:val="0"/>
                <w:numId w:val="29"/>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Observe patient responses.</w:t>
            </w:r>
          </w:p>
          <w:p w:rsidR="00F048DA" w:rsidRPr="003F37D3" w:rsidRDefault="00F048DA" w:rsidP="003F37D3">
            <w:pPr>
              <w:pStyle w:val="1Squares"/>
              <w:numPr>
                <w:ilvl w:val="0"/>
                <w:numId w:val="28"/>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Read numbers on dials, thermometers, gauges, measuring cups.</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Provide eye contact when communicating.</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Distinguish changes in color, size, and continuity of body parts.</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Distinguish alterations in normal body activities such as breathing patterns, level of consciousness.</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Observe safety features in environment such as water on the floor, obstacles in the path of a patient.</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Observe non-verbal responses of patients, families or coworkers.</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Visualize written word or data on computer screen.</w:t>
            </w:r>
          </w:p>
          <w:p w:rsidR="00F048DA" w:rsidRPr="003F37D3" w:rsidRDefault="00F048DA" w:rsidP="003F37D3">
            <w:pPr>
              <w:pStyle w:val="1Squares"/>
              <w:numPr>
                <w:ilvl w:val="0"/>
                <w:numId w:val="25"/>
              </w:numPr>
              <w:tabs>
                <w:tab w:val="clear" w:pos="720"/>
                <w:tab w:val="left" w:pos="1440"/>
                <w:tab w:val="left" w:pos="2160"/>
                <w:tab w:val="left" w:pos="2880"/>
                <w:tab w:val="left" w:pos="3600"/>
                <w:tab w:val="left" w:pos="4320"/>
                <w:tab w:val="left" w:pos="5040"/>
              </w:tabs>
              <w:jc w:val="left"/>
              <w:rPr>
                <w:sz w:val="18"/>
                <w:szCs w:val="18"/>
              </w:rPr>
            </w:pPr>
            <w:r w:rsidRPr="003F37D3">
              <w:rPr>
                <w:bCs/>
                <w:sz w:val="18"/>
                <w:szCs w:val="18"/>
              </w:rPr>
              <w:t>Perform basic nursing skills (must be able to see patient in order to bathe patient, count respirations).</w:t>
            </w:r>
          </w:p>
          <w:p w:rsidR="00F048DA" w:rsidRPr="003F37D3" w:rsidRDefault="00F048DA" w:rsidP="003F37D3">
            <w:pPr>
              <w:widowControl/>
              <w:numPr>
                <w:ilvl w:val="0"/>
                <w:numId w:val="25"/>
              </w:numPr>
              <w:autoSpaceDE/>
              <w:autoSpaceDN/>
              <w:adjustRightInd/>
              <w:rPr>
                <w:rFonts w:ascii="Calibri" w:hAnsi="Calibri"/>
                <w:color w:val="212121"/>
                <w:sz w:val="22"/>
                <w:szCs w:val="22"/>
              </w:rPr>
            </w:pPr>
            <w:r w:rsidRPr="003F37D3">
              <w:rPr>
                <w:bCs/>
                <w:sz w:val="18"/>
                <w:szCs w:val="18"/>
              </w:rPr>
              <w:t>Observe healthcare workers under your direction.</w:t>
            </w:r>
          </w:p>
        </w:tc>
      </w:tr>
      <w:tr w:rsidR="00F048DA" w:rsidRPr="003F37D3" w:rsidTr="00C43DD8">
        <w:tc>
          <w:tcPr>
            <w:tcW w:w="1887"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
                <w:sz w:val="18"/>
                <w:szCs w:val="18"/>
              </w:rPr>
              <w:t>TACTILE</w:t>
            </w:r>
          </w:p>
        </w:tc>
        <w:tc>
          <w:tcPr>
            <w:tcW w:w="3281"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Cs/>
                <w:sz w:val="18"/>
                <w:szCs w:val="18"/>
              </w:rPr>
              <w:t>Tactile ability sufficient to monitor, assess, and provide safe nursing care.</w:t>
            </w:r>
          </w:p>
        </w:tc>
        <w:tc>
          <w:tcPr>
            <w:tcW w:w="6028" w:type="dxa"/>
            <w:shd w:val="clear" w:color="auto" w:fill="auto"/>
          </w:tcPr>
          <w:p w:rsidR="00F048DA" w:rsidRPr="003F37D3" w:rsidRDefault="00F048DA" w:rsidP="003F37D3">
            <w:pPr>
              <w:pStyle w:val="1Squares"/>
              <w:numPr>
                <w:ilvl w:val="0"/>
                <w:numId w:val="31"/>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Perform palpation such as feeling body for changes in softness, hardness, temperature, dryness, texture, and vibrations.</w:t>
            </w:r>
          </w:p>
          <w:p w:rsidR="00F048DA" w:rsidRPr="003F37D3" w:rsidRDefault="00F048DA" w:rsidP="003F37D3">
            <w:pPr>
              <w:pStyle w:val="1Squares"/>
              <w:numPr>
                <w:ilvl w:val="0"/>
                <w:numId w:val="31"/>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Use therapeutic touch such as laying hand on patient or family, gently stroking, patting, or putting arm around patient or family, shaking hands.</w:t>
            </w:r>
          </w:p>
          <w:p w:rsidR="00F048DA" w:rsidRPr="003F37D3" w:rsidRDefault="00F048DA" w:rsidP="003F37D3">
            <w:pPr>
              <w:pStyle w:val="1Squares"/>
              <w:numPr>
                <w:ilvl w:val="0"/>
                <w:numId w:val="30"/>
              </w:numPr>
              <w:tabs>
                <w:tab w:val="clear" w:pos="720"/>
                <w:tab w:val="left" w:pos="1440"/>
                <w:tab w:val="left" w:pos="2160"/>
                <w:tab w:val="left" w:pos="2880"/>
                <w:tab w:val="left" w:pos="3600"/>
                <w:tab w:val="left" w:pos="4320"/>
                <w:tab w:val="left" w:pos="5040"/>
              </w:tabs>
              <w:jc w:val="left"/>
              <w:rPr>
                <w:sz w:val="18"/>
                <w:szCs w:val="18"/>
              </w:rPr>
            </w:pPr>
            <w:r w:rsidRPr="003F37D3">
              <w:rPr>
                <w:bCs/>
                <w:sz w:val="18"/>
                <w:szCs w:val="18"/>
              </w:rPr>
              <w:t xml:space="preserve">Handle equipment </w:t>
            </w:r>
          </w:p>
          <w:p w:rsidR="00F048DA" w:rsidRPr="003F37D3" w:rsidRDefault="00F048DA" w:rsidP="003F37D3">
            <w:pPr>
              <w:widowControl/>
              <w:numPr>
                <w:ilvl w:val="0"/>
                <w:numId w:val="30"/>
              </w:numPr>
              <w:autoSpaceDE/>
              <w:autoSpaceDN/>
              <w:adjustRightInd/>
              <w:rPr>
                <w:rFonts w:ascii="Calibri" w:hAnsi="Calibri"/>
                <w:color w:val="212121"/>
                <w:sz w:val="22"/>
                <w:szCs w:val="22"/>
              </w:rPr>
            </w:pPr>
            <w:r w:rsidRPr="003F37D3">
              <w:rPr>
                <w:bCs/>
                <w:sz w:val="18"/>
                <w:szCs w:val="18"/>
              </w:rPr>
              <w:t>Perform skills requiring use of the hands.</w:t>
            </w:r>
          </w:p>
        </w:tc>
      </w:tr>
      <w:tr w:rsidR="00F048DA" w:rsidRPr="003F37D3" w:rsidTr="00C43DD8">
        <w:tc>
          <w:tcPr>
            <w:tcW w:w="1887" w:type="dxa"/>
            <w:shd w:val="clear" w:color="auto" w:fill="auto"/>
          </w:tcPr>
          <w:p w:rsidR="00F048DA" w:rsidRPr="003F37D3" w:rsidRDefault="00F048DA" w:rsidP="003F37D3">
            <w:pPr>
              <w:jc w:val="center"/>
              <w:rPr>
                <w:b/>
                <w:bCs/>
                <w:sz w:val="18"/>
                <w:szCs w:val="18"/>
              </w:rPr>
            </w:pPr>
            <w:r w:rsidRPr="003F37D3">
              <w:rPr>
                <w:b/>
                <w:bCs/>
                <w:sz w:val="18"/>
                <w:szCs w:val="18"/>
              </w:rPr>
              <w:t>ACCOUNTABILITY</w:t>
            </w:r>
          </w:p>
          <w:p w:rsidR="00F048DA" w:rsidRPr="003F37D3" w:rsidRDefault="00F048DA" w:rsidP="003F37D3">
            <w:pPr>
              <w:jc w:val="center"/>
              <w:rPr>
                <w:b/>
                <w:bCs/>
                <w:sz w:val="18"/>
                <w:szCs w:val="18"/>
              </w:rPr>
            </w:pPr>
            <w:r w:rsidRPr="003F37D3">
              <w:rPr>
                <w:b/>
                <w:bCs/>
                <w:sz w:val="18"/>
                <w:szCs w:val="18"/>
              </w:rPr>
              <w:t>&amp;</w:t>
            </w:r>
          </w:p>
          <w:p w:rsidR="00F048DA" w:rsidRPr="003F37D3" w:rsidRDefault="00F048DA" w:rsidP="003F37D3">
            <w:pPr>
              <w:widowControl/>
              <w:autoSpaceDE/>
              <w:autoSpaceDN/>
              <w:adjustRightInd/>
              <w:rPr>
                <w:rFonts w:ascii="Calibri" w:hAnsi="Calibri"/>
                <w:color w:val="212121"/>
                <w:sz w:val="22"/>
                <w:szCs w:val="22"/>
              </w:rPr>
            </w:pPr>
            <w:r w:rsidRPr="003F37D3">
              <w:rPr>
                <w:b/>
                <w:sz w:val="18"/>
                <w:szCs w:val="18"/>
              </w:rPr>
              <w:t>RESPONSIBILITY</w:t>
            </w:r>
          </w:p>
        </w:tc>
        <w:tc>
          <w:tcPr>
            <w:tcW w:w="3281" w:type="dxa"/>
            <w:shd w:val="clear" w:color="auto" w:fill="auto"/>
          </w:tcPr>
          <w:p w:rsidR="00F048DA" w:rsidRPr="003F37D3" w:rsidRDefault="00F048DA" w:rsidP="003F37D3">
            <w:pPr>
              <w:widowControl/>
              <w:autoSpaceDE/>
              <w:autoSpaceDN/>
              <w:adjustRightInd/>
              <w:rPr>
                <w:rFonts w:ascii="Calibri" w:hAnsi="Calibri"/>
                <w:color w:val="212121"/>
                <w:sz w:val="22"/>
                <w:szCs w:val="22"/>
              </w:rPr>
            </w:pPr>
            <w:r w:rsidRPr="003F37D3">
              <w:rPr>
                <w:bCs/>
                <w:sz w:val="18"/>
                <w:szCs w:val="18"/>
              </w:rPr>
              <w:t>Demonstrate accountability and responsibility in all aspects of nursing practice.</w:t>
            </w:r>
          </w:p>
        </w:tc>
        <w:tc>
          <w:tcPr>
            <w:tcW w:w="6028" w:type="dxa"/>
            <w:shd w:val="clear" w:color="auto" w:fill="auto"/>
          </w:tcPr>
          <w:p w:rsidR="00F048DA" w:rsidRPr="003F37D3" w:rsidRDefault="00F048DA" w:rsidP="003F37D3">
            <w:pPr>
              <w:pStyle w:val="1Squares"/>
              <w:numPr>
                <w:ilvl w:val="0"/>
                <w:numId w:val="27"/>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Able to distinguish right from wrong, legal from illegal and act accordingly.</w:t>
            </w:r>
          </w:p>
          <w:p w:rsidR="00F048DA" w:rsidRPr="003F37D3" w:rsidRDefault="00F048DA" w:rsidP="003F37D3">
            <w:pPr>
              <w:pStyle w:val="1Squares"/>
              <w:numPr>
                <w:ilvl w:val="0"/>
                <w:numId w:val="27"/>
              </w:numPr>
              <w:tabs>
                <w:tab w:val="clear" w:pos="720"/>
                <w:tab w:val="left" w:pos="1440"/>
                <w:tab w:val="left" w:pos="2160"/>
                <w:tab w:val="left" w:pos="2880"/>
                <w:tab w:val="left" w:pos="3600"/>
                <w:tab w:val="left" w:pos="4320"/>
                <w:tab w:val="left" w:pos="5040"/>
              </w:tabs>
              <w:jc w:val="left"/>
              <w:rPr>
                <w:bCs/>
                <w:sz w:val="18"/>
                <w:szCs w:val="18"/>
              </w:rPr>
            </w:pPr>
            <w:r w:rsidRPr="003F37D3">
              <w:rPr>
                <w:bCs/>
                <w:sz w:val="18"/>
                <w:szCs w:val="18"/>
              </w:rPr>
              <w:t>Accept responsibility for own actions.</w:t>
            </w:r>
          </w:p>
          <w:p w:rsidR="00F048DA" w:rsidRPr="003F37D3" w:rsidRDefault="00F048DA" w:rsidP="003F37D3">
            <w:pPr>
              <w:pStyle w:val="1Squares"/>
              <w:numPr>
                <w:ilvl w:val="0"/>
                <w:numId w:val="27"/>
              </w:numPr>
              <w:tabs>
                <w:tab w:val="clear" w:pos="720"/>
                <w:tab w:val="left" w:pos="1440"/>
                <w:tab w:val="left" w:pos="2160"/>
                <w:tab w:val="left" w:pos="2880"/>
                <w:tab w:val="left" w:pos="3600"/>
                <w:tab w:val="left" w:pos="4320"/>
                <w:tab w:val="left" w:pos="5040"/>
              </w:tabs>
              <w:jc w:val="left"/>
              <w:rPr>
                <w:sz w:val="18"/>
                <w:szCs w:val="18"/>
              </w:rPr>
            </w:pPr>
            <w:r w:rsidRPr="003F37D3">
              <w:rPr>
                <w:bCs/>
                <w:sz w:val="18"/>
                <w:szCs w:val="18"/>
              </w:rPr>
              <w:t>Consider the needs of patients in deference to one’s own needs.</w:t>
            </w:r>
          </w:p>
          <w:p w:rsidR="00F048DA" w:rsidRPr="003F37D3" w:rsidRDefault="00F048DA" w:rsidP="003F37D3">
            <w:pPr>
              <w:widowControl/>
              <w:numPr>
                <w:ilvl w:val="0"/>
                <w:numId w:val="27"/>
              </w:numPr>
              <w:autoSpaceDE/>
              <w:autoSpaceDN/>
              <w:adjustRightInd/>
              <w:rPr>
                <w:rFonts w:ascii="Calibri" w:hAnsi="Calibri"/>
                <w:color w:val="212121"/>
                <w:sz w:val="22"/>
                <w:szCs w:val="22"/>
              </w:rPr>
            </w:pPr>
            <w:r w:rsidRPr="003F37D3">
              <w:rPr>
                <w:bCs/>
                <w:sz w:val="18"/>
                <w:szCs w:val="18"/>
              </w:rPr>
              <w:t>Able to comprehend ethical standards and agree to abide by them</w:t>
            </w:r>
          </w:p>
        </w:tc>
      </w:tr>
    </w:tbl>
    <w:p w:rsidR="00600859" w:rsidRDefault="00600859" w:rsidP="00F048DA">
      <w:pPr>
        <w:rPr>
          <w:b/>
          <w:bCs/>
          <w:sz w:val="18"/>
          <w:szCs w:val="18"/>
        </w:rPr>
      </w:pPr>
    </w:p>
    <w:p w:rsidR="00C43DD8" w:rsidRPr="00F048DA" w:rsidRDefault="00C43DD8" w:rsidP="00C43DD8">
      <w:pPr>
        <w:widowControl/>
        <w:shd w:val="clear" w:color="auto" w:fill="FFFFFF"/>
        <w:autoSpaceDE/>
        <w:autoSpaceDN/>
        <w:adjustRightInd/>
        <w:rPr>
          <w:rFonts w:ascii="Calibri" w:hAnsi="Calibri"/>
          <w:color w:val="212121"/>
          <w:sz w:val="22"/>
          <w:szCs w:val="22"/>
        </w:rPr>
      </w:pPr>
      <w:r w:rsidRPr="00F048DA">
        <w:rPr>
          <w:rFonts w:ascii="Calibri" w:hAnsi="Calibri"/>
          <w:b/>
          <w:bCs/>
          <w:color w:val="212121"/>
        </w:rPr>
        <w:t>Notice of Non-discrimination Statement</w:t>
      </w:r>
    </w:p>
    <w:p w:rsidR="00C43DD8" w:rsidRPr="001E2C52" w:rsidRDefault="001E2C52" w:rsidP="001E2C52">
      <w:pPr>
        <w:rPr>
          <w:rFonts w:ascii="Calibri" w:hAnsi="Calibri"/>
          <w:color w:val="212121"/>
          <w:lang w:val="en"/>
        </w:rPr>
      </w:pPr>
      <w:r w:rsidRPr="001E2C52">
        <w:rPr>
          <w:rFonts w:ascii="Calibri" w:hAnsi="Calibri"/>
          <w:color w:val="212121"/>
        </w:rPr>
        <w:t xml:space="preserve">In compliance with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have been designated to handle inquiries regarding these policies: </w:t>
      </w:r>
      <w:r w:rsidRPr="001E2C52">
        <w:rPr>
          <w:rFonts w:ascii="Calibri" w:hAnsi="Calibri"/>
          <w:b/>
          <w:bCs/>
          <w:color w:val="212121"/>
        </w:rPr>
        <w:t>EEOC Compliance</w:t>
      </w:r>
      <w:r w:rsidRPr="001E2C52">
        <w:rPr>
          <w:rFonts w:ascii="Calibri" w:hAnsi="Calibri"/>
          <w:color w:val="212121"/>
        </w:rPr>
        <w:t xml:space="preserve">: Sherry Franklin, Vice President for Utica Campus and Administrative Services, Box 1003, Utica, MS 39175; Phone: 601.885.7002 or Email: </w:t>
      </w:r>
      <w:hyperlink r:id="rId9" w:history="1">
        <w:r w:rsidRPr="001E2C52">
          <w:rPr>
            <w:rStyle w:val="Hyperlink"/>
            <w:rFonts w:ascii="Calibri" w:hAnsi="Calibri"/>
          </w:rPr>
          <w:t>EEOC@hindscc.edu</w:t>
        </w:r>
      </w:hyperlink>
      <w:r w:rsidRPr="001E2C52">
        <w:rPr>
          <w:rFonts w:ascii="Calibri" w:hAnsi="Calibri"/>
          <w:color w:val="212121"/>
        </w:rPr>
        <w:t xml:space="preserve">. </w:t>
      </w:r>
      <w:r w:rsidRPr="001E2C52">
        <w:rPr>
          <w:rFonts w:ascii="Calibri" w:hAnsi="Calibri"/>
          <w:b/>
          <w:bCs/>
          <w:color w:val="212121"/>
        </w:rPr>
        <w:t>Title IX</w:t>
      </w:r>
      <w:r w:rsidRPr="001E2C52">
        <w:rPr>
          <w:rFonts w:ascii="Calibri" w:hAnsi="Calibri"/>
          <w:color w:val="212121"/>
        </w:rPr>
        <w:t xml:space="preserve">:  Randall Harris, Vice President for Advancement and Student Services, Title IX Coordinator, Box 1100 Raymond MS 39154; Phone: 601.857.3889 or Email: </w:t>
      </w:r>
      <w:hyperlink r:id="rId10" w:history="1">
        <w:r w:rsidRPr="001E2C52">
          <w:rPr>
            <w:rStyle w:val="Hyperlink"/>
            <w:rFonts w:ascii="Calibri" w:hAnsi="Calibri"/>
          </w:rPr>
          <w:t>Titleix@hindscc.edu</w:t>
        </w:r>
      </w:hyperlink>
      <w:r w:rsidRPr="001E2C52">
        <w:rPr>
          <w:rFonts w:ascii="Calibri" w:hAnsi="Calibri"/>
          <w:color w:val="212121"/>
        </w:rPr>
        <w:t>.</w:t>
      </w:r>
    </w:p>
    <w:sectPr w:rsidR="00C43DD8" w:rsidRPr="001E2C52">
      <w:footerReference w:type="default" r:id="rId11"/>
      <w:type w:val="continuous"/>
      <w:pgSz w:w="12240" w:h="15840"/>
      <w:pgMar w:top="810" w:right="630" w:bottom="630" w:left="630" w:header="720" w:footer="1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17" w:rsidRDefault="00B95017">
      <w:r>
        <w:separator/>
      </w:r>
    </w:p>
  </w:endnote>
  <w:endnote w:type="continuationSeparator" w:id="0">
    <w:p w:rsidR="00B95017" w:rsidRDefault="00B9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7" w:rsidRDefault="00134B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7" w:rsidRDefault="00134B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17" w:rsidRDefault="00B95017">
      <w:r>
        <w:separator/>
      </w:r>
    </w:p>
  </w:footnote>
  <w:footnote w:type="continuationSeparator" w:id="0">
    <w:p w:rsidR="00B95017" w:rsidRDefault="00B95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F4A"/>
    <w:multiLevelType w:val="hybridMultilevel"/>
    <w:tmpl w:val="F920E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8053B2"/>
    <w:multiLevelType w:val="hybridMultilevel"/>
    <w:tmpl w:val="18921D3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35732B5"/>
    <w:multiLevelType w:val="hybridMultilevel"/>
    <w:tmpl w:val="2A041E8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4873F9D"/>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4" w15:restartNumberingAfterBreak="0">
    <w:nsid w:val="1FED7D92"/>
    <w:multiLevelType w:val="hybridMultilevel"/>
    <w:tmpl w:val="2C3A16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F36D0A"/>
    <w:multiLevelType w:val="hybridMultilevel"/>
    <w:tmpl w:val="B4B650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CA6062"/>
    <w:multiLevelType w:val="hybridMultilevel"/>
    <w:tmpl w:val="BBE0F8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C740EC9"/>
    <w:multiLevelType w:val="hybridMultilevel"/>
    <w:tmpl w:val="15B061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0FA3345"/>
    <w:multiLevelType w:val="hybridMultilevel"/>
    <w:tmpl w:val="4042A0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C34F78"/>
    <w:multiLevelType w:val="hybridMultilevel"/>
    <w:tmpl w:val="C7E65B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D43449"/>
    <w:multiLevelType w:val="hybridMultilevel"/>
    <w:tmpl w:val="36408F7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4BE1C92"/>
    <w:multiLevelType w:val="hybridMultilevel"/>
    <w:tmpl w:val="83BAE49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5BA5206"/>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13" w15:restartNumberingAfterBreak="0">
    <w:nsid w:val="3D60434F"/>
    <w:multiLevelType w:val="hybridMultilevel"/>
    <w:tmpl w:val="CABE8D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52627A"/>
    <w:multiLevelType w:val="hybridMultilevel"/>
    <w:tmpl w:val="B85AFB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F7A69BF"/>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16" w15:restartNumberingAfterBreak="0">
    <w:nsid w:val="45842DD1"/>
    <w:multiLevelType w:val="hybridMultilevel"/>
    <w:tmpl w:val="CBD2E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733351C"/>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18" w15:restartNumberingAfterBreak="0">
    <w:nsid w:val="47926F2D"/>
    <w:multiLevelType w:val="hybridMultilevel"/>
    <w:tmpl w:val="E2382F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A10077D"/>
    <w:multiLevelType w:val="hybridMultilevel"/>
    <w:tmpl w:val="986C10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D1E4130"/>
    <w:multiLevelType w:val="hybridMultilevel"/>
    <w:tmpl w:val="28A21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15339B"/>
    <w:multiLevelType w:val="hybridMultilevel"/>
    <w:tmpl w:val="FBDAA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470DF0"/>
    <w:multiLevelType w:val="hybridMultilevel"/>
    <w:tmpl w:val="CA7C6B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F2E259D"/>
    <w:multiLevelType w:val="hybridMultilevel"/>
    <w:tmpl w:val="1794D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B82C74"/>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25" w15:restartNumberingAfterBreak="0">
    <w:nsid w:val="65A52BF8"/>
    <w:multiLevelType w:val="hybridMultilevel"/>
    <w:tmpl w:val="E6C21D9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6D2919"/>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27" w15:restartNumberingAfterBreak="0">
    <w:nsid w:val="6AA2278A"/>
    <w:multiLevelType w:val="multilevel"/>
    <w:tmpl w:val="07F81952"/>
    <w:lvl w:ilvl="0">
      <w:start w:val="1"/>
      <w:numFmt w:val="none"/>
      <w:lvlText w:val=""/>
      <w:legacy w:legacy="1" w:legacySpace="0" w:legacyIndent="5250"/>
      <w:lvlJc w:val="left"/>
      <w:pPr>
        <w:ind w:left="5250" w:hanging="5250"/>
      </w:pPr>
      <w:rPr>
        <w:rFonts w:ascii="WP TypographicSymbols" w:hAnsi="WP TypographicSymbols" w:cs="WP TypographicSymbols" w:hint="default"/>
      </w:rPr>
    </w:lvl>
    <w:lvl w:ilvl="1">
      <w:start w:val="1"/>
      <w:numFmt w:val="none"/>
      <w:lvlText w:val=""/>
      <w:legacy w:legacy="1" w:legacySpace="0" w:legacyIndent="5250"/>
      <w:lvlJc w:val="left"/>
      <w:pPr>
        <w:ind w:left="10500" w:hanging="5250"/>
      </w:pPr>
      <w:rPr>
        <w:rFonts w:ascii="WP TypographicSymbols" w:hAnsi="WP TypographicSymbols" w:cs="WP TypographicSymbols" w:hint="default"/>
      </w:rPr>
    </w:lvl>
    <w:lvl w:ilvl="2">
      <w:start w:val="1"/>
      <w:numFmt w:val="none"/>
      <w:lvlText w:val=""/>
      <w:legacy w:legacy="1" w:legacySpace="0" w:legacyIndent="5250"/>
      <w:lvlJc w:val="left"/>
      <w:pPr>
        <w:ind w:left="15750" w:hanging="5250"/>
      </w:pPr>
      <w:rPr>
        <w:rFonts w:ascii="WP TypographicSymbols" w:hAnsi="WP TypographicSymbols" w:cs="WP TypographicSymbols" w:hint="default"/>
      </w:rPr>
    </w:lvl>
    <w:lvl w:ilvl="3">
      <w:start w:val="1"/>
      <w:numFmt w:val="none"/>
      <w:lvlText w:val=""/>
      <w:legacy w:legacy="1" w:legacySpace="0" w:legacyIndent="5250"/>
      <w:lvlJc w:val="left"/>
      <w:pPr>
        <w:ind w:left="21000" w:hanging="5250"/>
      </w:pPr>
      <w:rPr>
        <w:rFonts w:ascii="WP TypographicSymbols" w:hAnsi="WP TypographicSymbols" w:cs="WP TypographicSymbols" w:hint="default"/>
      </w:rPr>
    </w:lvl>
    <w:lvl w:ilvl="4">
      <w:start w:val="1"/>
      <w:numFmt w:val="none"/>
      <w:lvlText w:val=""/>
      <w:legacy w:legacy="1" w:legacySpace="0" w:legacyIndent="5250"/>
      <w:lvlJc w:val="left"/>
      <w:pPr>
        <w:ind w:left="26250" w:hanging="5250"/>
      </w:pPr>
      <w:rPr>
        <w:rFonts w:ascii="WP TypographicSymbols" w:hAnsi="WP TypographicSymbols" w:cs="WP TypographicSymbols" w:hint="default"/>
      </w:rPr>
    </w:lvl>
    <w:lvl w:ilvl="5">
      <w:start w:val="1"/>
      <w:numFmt w:val="none"/>
      <w:lvlText w:val=""/>
      <w:legacy w:legacy="1" w:legacySpace="0" w:legacyIndent="5250"/>
      <w:lvlJc w:val="left"/>
      <w:pPr>
        <w:ind w:left="31500" w:hanging="5250"/>
      </w:pPr>
      <w:rPr>
        <w:rFonts w:ascii="WP TypographicSymbols" w:hAnsi="WP TypographicSymbols" w:cs="WP TypographicSymbols" w:hint="default"/>
      </w:rPr>
    </w:lvl>
    <w:lvl w:ilvl="6">
      <w:start w:val="1"/>
      <w:numFmt w:val="none"/>
      <w:lvlText w:val=""/>
      <w:legacy w:legacy="1" w:legacySpace="0" w:legacyIndent="5250"/>
      <w:lvlJc w:val="left"/>
      <w:pPr>
        <w:ind w:left="-28786" w:hanging="5250"/>
      </w:pPr>
      <w:rPr>
        <w:rFonts w:ascii="WP TypographicSymbols" w:hAnsi="WP TypographicSymbols" w:cs="WP TypographicSymbols" w:hint="default"/>
      </w:rPr>
    </w:lvl>
    <w:lvl w:ilvl="7">
      <w:start w:val="1"/>
      <w:numFmt w:val="none"/>
      <w:lvlText w:val=""/>
      <w:legacy w:legacy="1" w:legacySpace="0" w:legacyIndent="5250"/>
      <w:lvlJc w:val="left"/>
      <w:pPr>
        <w:ind w:left="-23536" w:hanging="5250"/>
      </w:pPr>
      <w:rPr>
        <w:rFonts w:ascii="WP TypographicSymbols" w:hAnsi="WP TypographicSymbols" w:cs="WP TypographicSymbols" w:hint="default"/>
      </w:rPr>
    </w:lvl>
    <w:lvl w:ilvl="8">
      <w:start w:val="1"/>
      <w:numFmt w:val="lowerRoman"/>
      <w:lvlText w:val="%9"/>
      <w:legacy w:legacy="1" w:legacySpace="0" w:legacyIndent="5250"/>
      <w:lvlJc w:val="left"/>
      <w:pPr>
        <w:ind w:left="-18286" w:hanging="5250"/>
      </w:pPr>
    </w:lvl>
  </w:abstractNum>
  <w:abstractNum w:abstractNumId="28" w15:restartNumberingAfterBreak="0">
    <w:nsid w:val="6AAD29E3"/>
    <w:multiLevelType w:val="hybridMultilevel"/>
    <w:tmpl w:val="3D50A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B458A8"/>
    <w:multiLevelType w:val="hybridMultilevel"/>
    <w:tmpl w:val="3DE26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78F516C1"/>
    <w:multiLevelType w:val="hybridMultilevel"/>
    <w:tmpl w:val="5F90AD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7"/>
  </w:num>
  <w:num w:numId="3">
    <w:abstractNumId w:val="26"/>
  </w:num>
  <w:num w:numId="4">
    <w:abstractNumId w:val="17"/>
  </w:num>
  <w:num w:numId="5">
    <w:abstractNumId w:val="15"/>
  </w:num>
  <w:num w:numId="6">
    <w:abstractNumId w:val="24"/>
  </w:num>
  <w:num w:numId="7">
    <w:abstractNumId w:val="3"/>
  </w:num>
  <w:num w:numId="8">
    <w:abstractNumId w:val="4"/>
  </w:num>
  <w:num w:numId="9">
    <w:abstractNumId w:val="18"/>
  </w:num>
  <w:num w:numId="10">
    <w:abstractNumId w:val="25"/>
  </w:num>
  <w:num w:numId="11">
    <w:abstractNumId w:val="9"/>
  </w:num>
  <w:num w:numId="12">
    <w:abstractNumId w:val="30"/>
  </w:num>
  <w:num w:numId="13">
    <w:abstractNumId w:val="13"/>
  </w:num>
  <w:num w:numId="14">
    <w:abstractNumId w:val="21"/>
  </w:num>
  <w:num w:numId="15">
    <w:abstractNumId w:val="16"/>
  </w:num>
  <w:num w:numId="16">
    <w:abstractNumId w:val="22"/>
  </w:num>
  <w:num w:numId="17">
    <w:abstractNumId w:val="8"/>
  </w:num>
  <w:num w:numId="18">
    <w:abstractNumId w:val="5"/>
  </w:num>
  <w:num w:numId="19">
    <w:abstractNumId w:val="6"/>
  </w:num>
  <w:num w:numId="20">
    <w:abstractNumId w:val="11"/>
  </w:num>
  <w:num w:numId="21">
    <w:abstractNumId w:val="2"/>
  </w:num>
  <w:num w:numId="22">
    <w:abstractNumId w:val="1"/>
  </w:num>
  <w:num w:numId="23">
    <w:abstractNumId w:val="7"/>
  </w:num>
  <w:num w:numId="24">
    <w:abstractNumId w:val="29"/>
  </w:num>
  <w:num w:numId="25">
    <w:abstractNumId w:val="14"/>
  </w:num>
  <w:num w:numId="26">
    <w:abstractNumId w:val="10"/>
  </w:num>
  <w:num w:numId="27">
    <w:abstractNumId w:val="19"/>
  </w:num>
  <w:num w:numId="28">
    <w:abstractNumId w:val="20"/>
  </w:num>
  <w:num w:numId="29">
    <w:abstractNumId w:val="28"/>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8F"/>
    <w:rsid w:val="00022DFE"/>
    <w:rsid w:val="00121DA9"/>
    <w:rsid w:val="00134B87"/>
    <w:rsid w:val="001E2C52"/>
    <w:rsid w:val="002F7CB1"/>
    <w:rsid w:val="003A5305"/>
    <w:rsid w:val="003E3A32"/>
    <w:rsid w:val="003F05A1"/>
    <w:rsid w:val="003F37D3"/>
    <w:rsid w:val="005E3097"/>
    <w:rsid w:val="005E6543"/>
    <w:rsid w:val="00600859"/>
    <w:rsid w:val="0063039E"/>
    <w:rsid w:val="006B4F14"/>
    <w:rsid w:val="006C310D"/>
    <w:rsid w:val="006E7AC2"/>
    <w:rsid w:val="0089248F"/>
    <w:rsid w:val="009843F8"/>
    <w:rsid w:val="00A80880"/>
    <w:rsid w:val="00AC5320"/>
    <w:rsid w:val="00B93B56"/>
    <w:rsid w:val="00B95017"/>
    <w:rsid w:val="00BC40DA"/>
    <w:rsid w:val="00C43DD8"/>
    <w:rsid w:val="00CF2366"/>
    <w:rsid w:val="00D2392B"/>
    <w:rsid w:val="00E53D0F"/>
    <w:rsid w:val="00F0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25F9B3"/>
  <w15:chartTrackingRefBased/>
  <w15:docId w15:val="{FE613C94-5A8A-44A5-B536-6FE44FF9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quares">
    <w:name w:val="1Squares"/>
    <w:pPr>
      <w:widowControl w:val="0"/>
      <w:tabs>
        <w:tab w:val="left" w:pos="720"/>
      </w:tabs>
      <w:autoSpaceDE w:val="0"/>
      <w:autoSpaceDN w:val="0"/>
      <w:adjustRightInd w:val="0"/>
      <w:ind w:left="720" w:hanging="720"/>
      <w:jc w:val="both"/>
    </w:pPr>
    <w:rPr>
      <w:sz w:val="24"/>
      <w:szCs w:val="24"/>
    </w:rPr>
  </w:style>
  <w:style w:type="paragraph" w:customStyle="1" w:styleId="2Squares">
    <w:name w:val="2Squares"/>
    <w:pPr>
      <w:widowControl w:val="0"/>
      <w:tabs>
        <w:tab w:val="left" w:pos="720"/>
        <w:tab w:val="left" w:pos="1440"/>
      </w:tabs>
      <w:autoSpaceDE w:val="0"/>
      <w:autoSpaceDN w:val="0"/>
      <w:adjustRightInd w:val="0"/>
      <w:ind w:left="1440" w:hanging="720"/>
      <w:jc w:val="both"/>
    </w:pPr>
    <w:rPr>
      <w:sz w:val="24"/>
      <w:szCs w:val="24"/>
    </w:rPr>
  </w:style>
  <w:style w:type="paragraph" w:customStyle="1" w:styleId="3Squares">
    <w:name w:val="3Squares"/>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Squares">
    <w:name w:val="4Squares"/>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Squares">
    <w:name w:val="5Squares"/>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Squares">
    <w:name w:val="6Squares"/>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Squares">
    <w:name w:val="7Squares"/>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Squares">
    <w:name w:val="8Squares"/>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F04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F37D3"/>
  </w:style>
  <w:style w:type="character" w:styleId="Hyperlink">
    <w:name w:val="Hyperlink"/>
    <w:basedOn w:val="DefaultParagraphFont"/>
    <w:rsid w:val="001E2C52"/>
    <w:rPr>
      <w:color w:val="0563C1" w:themeColor="hyperlink"/>
      <w:u w:val="single"/>
    </w:rPr>
  </w:style>
  <w:style w:type="paragraph" w:styleId="BalloonText">
    <w:name w:val="Balloon Text"/>
    <w:basedOn w:val="Normal"/>
    <w:link w:val="BalloonTextChar"/>
    <w:rsid w:val="001E2C52"/>
    <w:rPr>
      <w:rFonts w:ascii="Segoe UI" w:hAnsi="Segoe UI" w:cs="Segoe UI"/>
      <w:sz w:val="18"/>
      <w:szCs w:val="18"/>
    </w:rPr>
  </w:style>
  <w:style w:type="character" w:customStyle="1" w:styleId="BalloonTextChar">
    <w:name w:val="Balloon Text Char"/>
    <w:basedOn w:val="DefaultParagraphFont"/>
    <w:link w:val="BalloonText"/>
    <w:rsid w:val="001E2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03">
      <w:bodyDiv w:val="1"/>
      <w:marLeft w:val="0"/>
      <w:marRight w:val="0"/>
      <w:marTop w:val="0"/>
      <w:marBottom w:val="0"/>
      <w:divBdr>
        <w:top w:val="none" w:sz="0" w:space="0" w:color="auto"/>
        <w:left w:val="none" w:sz="0" w:space="0" w:color="auto"/>
        <w:bottom w:val="none" w:sz="0" w:space="0" w:color="auto"/>
        <w:right w:val="none" w:sz="0" w:space="0" w:color="auto"/>
      </w:divBdr>
    </w:div>
    <w:div w:id="15027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titleix@hindscc.edu" TargetMode="External"/><Relationship Id="rId4" Type="http://schemas.openxmlformats.org/officeDocument/2006/relationships/settings" Target="settings.xml"/><Relationship Id="rId9" Type="http://schemas.openxmlformats.org/officeDocument/2006/relationships/hyperlink" Target="mailto:EEOC@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8CDF-4FAE-44B4-83C0-B323B6F6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ASSOCIATE DEGREE NURSING PROGRAM</vt:lpstr>
    </vt:vector>
  </TitlesOfParts>
  <Company>Hinds Community College</Company>
  <LinksUpToDate>false</LinksUpToDate>
  <CharactersWithSpaces>8067</CharactersWithSpaces>
  <SharedDoc>false</SharedDoc>
  <HLinks>
    <vt:vector size="6" baseType="variant">
      <vt:variant>
        <vt:i4>7929922</vt:i4>
      </vt:variant>
      <vt:variant>
        <vt:i4>0</vt:i4>
      </vt:variant>
      <vt:variant>
        <vt:i4>0</vt:i4>
      </vt:variant>
      <vt:variant>
        <vt:i4>5</vt:i4>
      </vt:variant>
      <vt:variant>
        <vt:lpwstr>mailto:titleIX@hindscc.edu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DEGREE NURSING PROGRAM</dc:title>
  <dc:subject/>
  <dc:creator>HINDS CC</dc:creator>
  <cp:keywords/>
  <dc:description/>
  <cp:lastModifiedBy>Adair, Christie  L.</cp:lastModifiedBy>
  <cp:revision>3</cp:revision>
  <cp:lastPrinted>2019-06-28T19:50:00Z</cp:lastPrinted>
  <dcterms:created xsi:type="dcterms:W3CDTF">2019-06-27T14:46:00Z</dcterms:created>
  <dcterms:modified xsi:type="dcterms:W3CDTF">2019-06-28T19:50:00Z</dcterms:modified>
</cp:coreProperties>
</file>