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F759" w14:textId="3FF7F40E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bookmarkStart w:id="0" w:name="_GoBack"/>
      <w:bookmarkEnd w:id="0"/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Con fundamento en los artículos 34 fracciones I y XXXIII de la Ley Orgánica de la Administración Pública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Federal, 4o. fracción III, 5</w:t>
      </w:r>
      <w:r w:rsidR="00E459ED">
        <w:rPr>
          <w:rFonts w:ascii="Arial" w:hAnsi="Arial" w:cs="Arial"/>
          <w:color w:val="2F2F2F"/>
          <w:sz w:val="22"/>
          <w:szCs w:val="22"/>
          <w:lang w:eastAsia="es-MX"/>
        </w:rPr>
        <w:t>o. fracciones III, V, y XII, 17 y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 20 de la Ley de Comercio Exterior, 5 fracción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XVII del Reglamento Interior de la Secretaría de Economía, y</w:t>
      </w:r>
    </w:p>
    <w:p w14:paraId="0A9ACF4D" w14:textId="77777777" w:rsidR="00974401" w:rsidRPr="00974401" w:rsidRDefault="00974401" w:rsidP="00974401">
      <w:pPr>
        <w:shd w:val="clear" w:color="auto" w:fill="FFFFFF"/>
        <w:ind w:firstLine="289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700F78C3" w14:textId="77777777" w:rsidR="00974401" w:rsidRP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CONSIDERANDO</w:t>
      </w:r>
    </w:p>
    <w:p w14:paraId="17E8FF1F" w14:textId="77777777" w:rsid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2D4DA81B" w14:textId="5B7E50A7" w:rsid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Que el Acuerdo por el que la Secretaría de Economía emite reglas y criterios de carácter general en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materia de Comercio Exterior (Acuerdo), publicado en el Diario Oficial de la Federación el 31 de diciembre de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2012 y sus diversas modificaciones, tiene por objeto dar a conocer las reglas que establecen disposiciones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de carácter general y los criterios necesarios para el cumplimiento de las leyes, acuerdos o tratados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comerciales internacionales, reglamentos, decretos, acuerdos y demás ordenamientos generales competencia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de esta Secretaría, agrupándolos de modo que fac</w:t>
      </w:r>
      <w:r>
        <w:rPr>
          <w:rFonts w:ascii="Arial" w:hAnsi="Arial" w:cs="Arial"/>
          <w:color w:val="2F2F2F"/>
          <w:sz w:val="22"/>
          <w:szCs w:val="22"/>
          <w:lang w:eastAsia="es-MX"/>
        </w:rPr>
        <w:t>iliten al usuario su aplicación;</w:t>
      </w:r>
    </w:p>
    <w:p w14:paraId="4C5D1E68" w14:textId="77777777" w:rsid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76A7C85D" w14:textId="79BAF104" w:rsidR="00D448DA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Que</w:t>
      </w:r>
      <w:r w:rsidR="00D448DA">
        <w:rPr>
          <w:rFonts w:ascii="Arial" w:hAnsi="Arial" w:cs="Arial"/>
          <w:color w:val="2F2F2F"/>
          <w:sz w:val="22"/>
          <w:szCs w:val="22"/>
          <w:lang w:eastAsia="es-MX"/>
        </w:rPr>
        <w:t xml:space="preserve"> el 20 de septiembre de 2019, se publicó en el Diario Oficial de la Federación el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D</w:t>
      </w:r>
      <w:r w:rsidR="00D448DA">
        <w:rPr>
          <w:rFonts w:ascii="Arial" w:hAnsi="Arial" w:cs="Arial"/>
          <w:color w:val="2F2F2F"/>
          <w:sz w:val="22"/>
          <w:szCs w:val="22"/>
          <w:lang w:eastAsia="es-MX"/>
        </w:rPr>
        <w:t xml:space="preserve">ecreto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por el que se modifica la Tarifa de la Ley de los Impuestos Generales de Importación y de Exportación, el Decreto </w:t>
      </w:r>
      <w:r w:rsidR="00D448DA" w:rsidRPr="00D448DA">
        <w:rPr>
          <w:rFonts w:ascii="Arial" w:hAnsi="Arial" w:cs="Arial"/>
          <w:color w:val="2F2F2F"/>
          <w:sz w:val="22"/>
          <w:szCs w:val="22"/>
          <w:lang w:eastAsia="es-MX"/>
        </w:rPr>
        <w:t>por el que se modifica la Tarifa de la Ley de los Impuestos Generales de Importación y de Exportación, el Decreto por el que se establece el impuesto general de importación para la región fronteriza y la franja fronteriza norte, el Decreto por el que se establecen diversos Programas de Promoción Sectorial y el Decreto para el Fomento de la Industria Manufacturera, Maquiladora y de Servicios de Exportación</w:t>
      </w:r>
      <w:r w:rsidR="00D448DA">
        <w:rPr>
          <w:rFonts w:ascii="Arial" w:hAnsi="Arial" w:cs="Arial"/>
          <w:color w:val="2F2F2F"/>
          <w:sz w:val="22"/>
          <w:szCs w:val="22"/>
          <w:lang w:eastAsia="es-MX"/>
        </w:rPr>
        <w:t>, mediante el cual se crearon, modificaron y eliminaron diversas fracciones arancelarias pertenecientes al sector siderúrgico;</w:t>
      </w:r>
    </w:p>
    <w:p w14:paraId="1A40B43D" w14:textId="77777777" w:rsidR="00864237" w:rsidRDefault="00864237" w:rsidP="00864237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2C77338F" w14:textId="2A160896" w:rsidR="00864237" w:rsidRDefault="00864237" w:rsidP="00864237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864237">
        <w:rPr>
          <w:rFonts w:ascii="Arial" w:hAnsi="Arial" w:cs="Arial"/>
          <w:color w:val="2F2F2F"/>
          <w:sz w:val="22"/>
          <w:szCs w:val="22"/>
          <w:lang w:eastAsia="es-MX"/>
        </w:rPr>
        <w:t>Que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en los Anexos 2.2.1 y 2.2.2. del Acuerdo, se encuentran listadas las fracciones arancelarias del sector acero, sujetas al requisito de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aviso automático de importación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,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con el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objeto de efectuar un monitoreo estadístico que oper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e de manera transparente y ágil, lo que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permite obtener una mejor información sobre las importaciones, constituyéndose como un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instrumento para prevenir y combatir prácticas lesivas recurrentes como lo son la incorrecta clasificación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arancelaria de las mercancías, la subvaluación y la triangulación de origen de las mismas, que afectan la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participación de la industria siderúrgica en </w:t>
      </w:r>
      <w:r>
        <w:rPr>
          <w:rFonts w:ascii="Arial" w:hAnsi="Arial" w:cs="Arial"/>
          <w:color w:val="2F2F2F"/>
          <w:sz w:val="22"/>
          <w:szCs w:val="22"/>
          <w:lang w:eastAsia="es-MX"/>
        </w:rPr>
        <w:t>la actividad económica nacional</w:t>
      </w:r>
      <w:r w:rsidR="00B1255F">
        <w:rPr>
          <w:rFonts w:ascii="Arial" w:hAnsi="Arial" w:cs="Arial"/>
          <w:color w:val="2F2F2F"/>
          <w:sz w:val="22"/>
          <w:szCs w:val="22"/>
          <w:lang w:eastAsia="es-MX"/>
        </w:rPr>
        <w:t>;</w:t>
      </w:r>
    </w:p>
    <w:p w14:paraId="54198CD8" w14:textId="77777777" w:rsidR="00864237" w:rsidRDefault="00864237" w:rsidP="00864237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7B08D649" w14:textId="6987516C" w:rsidR="00974401" w:rsidRDefault="00D448DA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>
        <w:rPr>
          <w:rFonts w:ascii="Arial" w:hAnsi="Arial" w:cs="Arial"/>
          <w:color w:val="2F2F2F"/>
          <w:sz w:val="22"/>
          <w:szCs w:val="22"/>
          <w:lang w:eastAsia="es-MX"/>
        </w:rPr>
        <w:t>Que en virtud de lo anterior, resulta necesario</w:t>
      </w:r>
      <w:r w:rsidR="00864237">
        <w:rPr>
          <w:rFonts w:ascii="Arial" w:hAnsi="Arial" w:cs="Arial"/>
          <w:color w:val="2F2F2F"/>
          <w:sz w:val="22"/>
          <w:szCs w:val="22"/>
          <w:lang w:eastAsia="es-MX"/>
        </w:rPr>
        <w:t xml:space="preserve"> modificar los Anexos mencionados en el considerando anterior a efecto de actualizar el listado de 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fracciones arancelarias sujetas al esquema de </w:t>
      </w:r>
      <w:r w:rsidR="00974401" w:rsidRPr="00974401">
        <w:rPr>
          <w:rFonts w:ascii="Arial" w:hAnsi="Arial" w:cs="Arial"/>
          <w:color w:val="2F2F2F"/>
          <w:sz w:val="22"/>
          <w:szCs w:val="22"/>
          <w:lang w:eastAsia="es-MX"/>
        </w:rPr>
        <w:t>Aviso Automático de Importación de Productos Siderúrgicos</w:t>
      </w:r>
      <w:r w:rsidR="00974401">
        <w:rPr>
          <w:rFonts w:ascii="Arial" w:hAnsi="Arial" w:cs="Arial"/>
          <w:color w:val="2F2F2F"/>
          <w:sz w:val="22"/>
          <w:szCs w:val="22"/>
          <w:lang w:eastAsia="es-MX"/>
        </w:rPr>
        <w:t>;</w:t>
      </w:r>
    </w:p>
    <w:p w14:paraId="3E141DCA" w14:textId="77777777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1D119BFE" w14:textId="73095908" w:rsidR="00974401" w:rsidRPr="00974401" w:rsidRDefault="00864237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864237">
        <w:rPr>
          <w:rFonts w:ascii="Arial" w:hAnsi="Arial" w:cs="Arial"/>
          <w:color w:val="2F2F2F"/>
          <w:sz w:val="22"/>
          <w:szCs w:val="22"/>
          <w:lang w:eastAsia="es-MX"/>
        </w:rPr>
        <w:t>Que conforme a lo dispuesto en la Ley de Comercio Exterior, las medidas a que se refieren en el presente Decreto cuentan con la opinión de la Comisión de Comercio Exterior, he tenido a bien expedir el siguiente</w:t>
      </w:r>
      <w:r w:rsidR="00974401" w:rsidRPr="00974401">
        <w:rPr>
          <w:rFonts w:ascii="Arial" w:hAnsi="Arial" w:cs="Arial"/>
          <w:color w:val="2F2F2F"/>
          <w:sz w:val="22"/>
          <w:szCs w:val="22"/>
          <w:lang w:eastAsia="es-MX"/>
        </w:rPr>
        <w:t>, por lo que se expide el siguiente:</w:t>
      </w:r>
    </w:p>
    <w:p w14:paraId="479A2149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7EFBC854" w14:textId="04BFCFBB" w:rsidR="00974401" w:rsidRP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ACUERDO QUE MODIFICA AL DIVERSO POR EL QUE LA SECRETARÍA DE ECONOMÍA EMITE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REGLAS Y CRITERIOS DE CARÁCTER GENERAL EN MATERIA DE COMERCIO EXTERIOR</w:t>
      </w:r>
    </w:p>
    <w:p w14:paraId="1C41446A" w14:textId="77777777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0EEA60C4" w14:textId="2453D85D" w:rsid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lastRenderedPageBreak/>
        <w:t xml:space="preserve">Primero. 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–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Se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adicionan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al numeral 8 fracción II, Anexo 2.2.1 y numeral 7 fracción II, Anexo 2.2.2 del Acuerdo por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el que la Secretaría de Economía emite reglas y criterios de carácter general 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n materia de Comercio Exterior,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publicado en el Diario Oficial de la Federación el 31 de diciembre de 2012 y sus posteriores modificaciones,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las siguientes fracciones arancelarias en el orden que les corresponde según su numeración, como 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continuación se indica:</w:t>
      </w:r>
    </w:p>
    <w:p w14:paraId="3FA0344A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508EF2E7" w14:textId="77777777" w:rsidR="00974401" w:rsidRP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"Anexo 2.2.1</w:t>
      </w:r>
    </w:p>
    <w:p w14:paraId="17096E7F" w14:textId="239F2DCD" w:rsidR="00974401" w:rsidRDefault="00974401" w:rsidP="005B624E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2CACCC5E" w14:textId="77777777" w:rsidR="005B624E" w:rsidRPr="00974401" w:rsidRDefault="005B624E" w:rsidP="005B624E">
      <w:pPr>
        <w:shd w:val="clear" w:color="auto" w:fill="FFFFFF"/>
        <w:contextualSpacing/>
        <w:jc w:val="center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p w14:paraId="5FE0CB29" w14:textId="74A9220B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1.-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val="en-US" w:eastAsia="es-MX"/>
        </w:rPr>
        <w:t>a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7 BIS. -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178BFCAE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p w14:paraId="4DDED99B" w14:textId="5797A14B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8.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6F139ED6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p w14:paraId="794EF6DB" w14:textId="1ACA8969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I.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0C6AF495" w14:textId="7777777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</w:p>
    <w:p w14:paraId="656130CF" w14:textId="6CD6EDBA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II.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5C9A5BC6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7113"/>
      </w:tblGrid>
      <w:tr w:rsidR="00974401" w:rsidRPr="00974401" w14:paraId="00DBD94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FAE5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Fracción</w:t>
            </w: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br/>
            </w: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arancelaria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F4F2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Descripción</w:t>
            </w:r>
          </w:p>
        </w:tc>
      </w:tr>
      <w:tr w:rsidR="00974401" w:rsidRPr="00974401" w14:paraId="5B1685F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AE09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F6E75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2CADF173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ED05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7208.10.04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B717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espesor inferior a 4.75 mm, sin decapar.</w:t>
            </w:r>
          </w:p>
        </w:tc>
      </w:tr>
      <w:tr w:rsidR="00974401" w:rsidRPr="00974401" w14:paraId="352A8D2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49A3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D678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88943C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C1F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7209.18.02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C6A5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espesor inferior a 0.361 mm (placa negra).</w:t>
            </w:r>
          </w:p>
        </w:tc>
      </w:tr>
      <w:tr w:rsidR="00974401" w:rsidRPr="00974401" w14:paraId="0E83D07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9386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7209.18.99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49EF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demás.</w:t>
            </w:r>
          </w:p>
        </w:tc>
      </w:tr>
      <w:tr w:rsidR="00974401" w:rsidRPr="00974401" w14:paraId="6D4A9AB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0169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CF06F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414B41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EB479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7210.70.03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E7D2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Láminas pintadas, cincadas por inmersión.</w:t>
            </w:r>
          </w:p>
        </w:tc>
      </w:tr>
      <w:tr w:rsidR="00974401" w:rsidRPr="00974401" w14:paraId="1C5560E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D852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7210.70.04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B4A1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Sin revestimiento metálico o plaqueado.</w:t>
            </w:r>
          </w:p>
        </w:tc>
      </w:tr>
      <w:tr w:rsidR="00974401" w:rsidRPr="00974401" w14:paraId="565EC6F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2E83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7210.70.05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25FB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Cincados electrolíticamente.</w:t>
            </w:r>
          </w:p>
        </w:tc>
      </w:tr>
      <w:tr w:rsidR="00974401" w:rsidRPr="00974401" w14:paraId="73A783E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50479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7210.70.91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955A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demás, cincadas por inmersión.</w:t>
            </w:r>
          </w:p>
        </w:tc>
      </w:tr>
      <w:tr w:rsidR="00974401" w:rsidRPr="00974401" w14:paraId="26BE0C8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C943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4E73D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3A3DF2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3EE6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7210.90.91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D272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Los demás plaqueados. </w:t>
            </w:r>
          </w:p>
        </w:tc>
      </w:tr>
      <w:tr w:rsidR="00974401" w:rsidRPr="00974401" w14:paraId="7D55328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5C3A6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1F8C4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5C901E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FF10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7211.14.04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E9C2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Enrollados.</w:t>
            </w:r>
          </w:p>
        </w:tc>
      </w:tr>
      <w:tr w:rsidR="00974401" w:rsidRPr="00974401" w14:paraId="4F636C5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B837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D03A9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2E674B0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14BF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7213.99.02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CCED3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sección transversal circular, con un diámetro igual  o superior a 19 mm.</w:t>
            </w:r>
          </w:p>
        </w:tc>
      </w:tr>
      <w:tr w:rsidR="00974401" w:rsidRPr="00974401" w14:paraId="75A7CAB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6CF6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3F2CD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56E6B5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629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7224.90.03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8220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herramienta.</w:t>
            </w:r>
          </w:p>
        </w:tc>
      </w:tr>
      <w:tr w:rsidR="00974401" w:rsidRPr="00974401" w14:paraId="0E3691B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7D72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6772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6E89743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05B3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7225.30.08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28F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herramienta, excepto lo comprendido en la fracción 7225.30.06.</w:t>
            </w:r>
          </w:p>
        </w:tc>
      </w:tr>
      <w:tr w:rsidR="00974401" w:rsidRPr="00974401" w14:paraId="148C2D9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C10A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8038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espesor inferior a 4.75 mm.</w:t>
            </w:r>
          </w:p>
        </w:tc>
      </w:tr>
      <w:tr w:rsidR="00974401" w:rsidRPr="00974401" w14:paraId="4E53DBA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E6BC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7225.40.07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A5EC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herramienta, excepto lo comprendido en la fracción 7225.40.05.</w:t>
            </w:r>
          </w:p>
        </w:tc>
      </w:tr>
      <w:tr w:rsidR="00974401" w:rsidRPr="00974401" w14:paraId="047234E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F69B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7225.40.91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6901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espesor inferior a 4.75 mm.</w:t>
            </w:r>
          </w:p>
        </w:tc>
      </w:tr>
      <w:tr w:rsidR="00974401" w:rsidRPr="00974401" w14:paraId="783B802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3252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5CF3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F681BD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0CFF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7225.50.08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6B7D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3 mm, pero inferior a 4.75 mm, enrollada, excepto lo comprendido en la fracción 7225.50.12.</w:t>
            </w:r>
          </w:p>
        </w:tc>
      </w:tr>
      <w:tr w:rsidR="00974401" w:rsidRPr="00974401" w14:paraId="6E3F7F0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09AF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7225.50.09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5AE6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4.75 mm, enrollada, excepto lo comprendido en la fracción 7225.50.12.</w:t>
            </w:r>
          </w:p>
        </w:tc>
      </w:tr>
      <w:tr w:rsidR="00974401" w:rsidRPr="00974401" w14:paraId="4CC7922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812F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7225.50.10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B8FC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inferior a 4.75 mm, sin enrollar, excepto lo comprendido en la fracción 7225.50.12.</w:t>
            </w:r>
          </w:p>
        </w:tc>
      </w:tr>
      <w:tr w:rsidR="00974401" w:rsidRPr="00974401" w14:paraId="50D9B42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F6366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7225.50.11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5097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4.75 mm, sin enrollar, excepto lo comprendido en la fracción 7225.50.12.</w:t>
            </w:r>
          </w:p>
        </w:tc>
      </w:tr>
      <w:tr w:rsidR="00974401" w:rsidRPr="00974401" w14:paraId="744157D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25C9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7225.50.12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808A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herramienta, excepto lo comprendido en la fracción 7225.50.06.</w:t>
            </w:r>
          </w:p>
        </w:tc>
      </w:tr>
      <w:tr w:rsidR="00974401" w:rsidRPr="00974401" w14:paraId="3882E9E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3DD8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53DD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espesor superior o igual a 4.75 mm.</w:t>
            </w:r>
          </w:p>
        </w:tc>
      </w:tr>
      <w:tr w:rsidR="00974401" w:rsidRPr="00974401" w14:paraId="314AFBC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4199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7559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A6E128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A32E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7226.91.08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E819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3 mm pero inferior a 4.75 mm, enrollada, excepto lo comprendido en la fracción 7226.91.12.</w:t>
            </w:r>
          </w:p>
        </w:tc>
      </w:tr>
      <w:tr w:rsidR="00974401" w:rsidRPr="00974401" w14:paraId="4A68D6E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9F0B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7226.91.09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4088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a 4.75, enrollada, excepto lo comprendido en la fracción 7226.91.12.</w:t>
            </w:r>
          </w:p>
        </w:tc>
      </w:tr>
      <w:tr w:rsidR="00974401" w:rsidRPr="00974401" w14:paraId="0B836A1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A037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7226.91.10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2A22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sin enrollar, con un espesor inferior a 4.75 mm, excepto lo comprendido en la fracción 7226.91.12.</w:t>
            </w:r>
          </w:p>
        </w:tc>
      </w:tr>
      <w:tr w:rsidR="00974401" w:rsidRPr="00974401" w14:paraId="7CBC9BC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8D4F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7226.91.11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F93F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sin enrollar, con un espesor superior o igual a 4.75 mm, excepto lo comprendido en la fracción 7226.91.12.</w:t>
            </w:r>
          </w:p>
        </w:tc>
      </w:tr>
      <w:tr w:rsidR="00974401" w:rsidRPr="00974401" w14:paraId="36C50E3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1502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7226.91.12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DA66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herramienta, excepto acero rápido.</w:t>
            </w:r>
          </w:p>
        </w:tc>
      </w:tr>
      <w:tr w:rsidR="00974401" w:rsidRPr="00974401" w14:paraId="7961BD0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F1D3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F7FA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espesor superior o igual a 4.75 mm.</w:t>
            </w:r>
          </w:p>
        </w:tc>
      </w:tr>
      <w:tr w:rsidR="00974401" w:rsidRPr="00974401" w14:paraId="5056DCF3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DA3C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0512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5BF66C6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739B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7226.92.07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DB00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acero grado herramienta, excepto acero rápido.</w:t>
            </w:r>
          </w:p>
        </w:tc>
      </w:tr>
      <w:tr w:rsidR="00974401" w:rsidRPr="00974401" w14:paraId="0CBEFCC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AB62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A586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596A3D6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52EF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7227.20.02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6D80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Alambre para soldadura con diámetro inferior a 10 mm, con un contenido inferior a 0.2 % de carbono, inferior a 0.04 % de azufre e inferior a 0.04 % de fósforo.</w:t>
            </w:r>
          </w:p>
        </w:tc>
      </w:tr>
      <w:tr w:rsidR="00974401" w:rsidRPr="00974401" w14:paraId="54E0343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2E04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7227.20.99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1E1C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demás.</w:t>
            </w:r>
          </w:p>
        </w:tc>
      </w:tr>
      <w:tr w:rsidR="00974401" w:rsidRPr="00974401" w14:paraId="318BDEC3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EF08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9F264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F640F2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DB36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7227.90.02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985F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Alambre para soldadura con diámetro inferior a 10 mm, con un contenido inferior a 0.2%  de carbono, inferior a 0.04 % de azufre e inferior a 0.04 % de fósforo.</w:t>
            </w:r>
          </w:p>
        </w:tc>
      </w:tr>
      <w:tr w:rsidR="00974401" w:rsidRPr="00974401" w14:paraId="51CFE2F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5D8C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7227.90.03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B49E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diámetro inferior a 19 mm, de sección transversal circular, excepto lo comprendido en la fracción 7227.90.01.</w:t>
            </w:r>
          </w:p>
        </w:tc>
      </w:tr>
      <w:tr w:rsidR="00974401" w:rsidRPr="00974401" w14:paraId="24582A4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1E2D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8EB5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83331A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B24A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7228.30.03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94D3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Barras y varillas para concreto, excepto lo comprendido en la fracción 7228.30.01.</w:t>
            </w:r>
          </w:p>
        </w:tc>
      </w:tr>
      <w:tr w:rsidR="00974401" w:rsidRPr="00974401" w14:paraId="61F50DC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5DB2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B5DD3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0CB043B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D7F7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7228.60.03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0476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Laminadas en caliente, excepto lo comprendido en la fracción 7228.60.01.</w:t>
            </w:r>
          </w:p>
        </w:tc>
      </w:tr>
      <w:tr w:rsidR="00974401" w:rsidRPr="00974401" w14:paraId="1789813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187C9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3037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6E13C47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FEF2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7228.70.02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69DE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Laminados en caliente, sin perforar ni trabajar de otro modo, con un peralte (altura) inferior a 76 mm.</w:t>
            </w:r>
          </w:p>
        </w:tc>
      </w:tr>
      <w:tr w:rsidR="00974401" w:rsidRPr="00974401" w14:paraId="3581B57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4C94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7228.70.99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B27C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demás.</w:t>
            </w:r>
          </w:p>
        </w:tc>
      </w:tr>
      <w:tr w:rsidR="00974401" w:rsidRPr="00974401" w14:paraId="71F6543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C5F1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8D7A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4FDAEEF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9E2D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7304.19.91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09E7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con un diámetro exterior inferior o igual a 406.4 mm.</w:t>
            </w:r>
          </w:p>
        </w:tc>
      </w:tr>
      <w:tr w:rsidR="00974401" w:rsidRPr="00974401" w14:paraId="7ABC091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EC0D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07DD2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EA9587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5B516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7304.31.91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0DF0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demás, diseñados para su uso en calderas, sobrecalentadores, intercambiadores de calor, condensadores, hornos de refinación, calentadores de agua u otros similares.</w:t>
            </w:r>
          </w:p>
        </w:tc>
      </w:tr>
      <w:tr w:rsidR="00974401" w:rsidRPr="00974401" w14:paraId="54ABD71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5067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7304.39.10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690B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“térmicos”, sin recubrimientos distintos de los obtenidos por laqueado y barnizado o sin trabajos de superficie, de diámetro exterior inferior o igual a 114.3 mm y espesor de pared igual o superior a 4 mm, sin exceder 19.5 mm.</w:t>
            </w:r>
          </w:p>
        </w:tc>
      </w:tr>
      <w:tr w:rsidR="00974401" w:rsidRPr="00974401" w14:paraId="27B16F3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74FD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DE33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“conducción”, sin recubrimientos distintos de los obtenidos por laqueado y barnizado o sin trabajos de superficie, de diámetro exterior inferior o igual a 114.3 mm y espesor de pared igual o superior a 4 mm, sin exceder 19.5 mm.</w:t>
            </w:r>
          </w:p>
        </w:tc>
      </w:tr>
      <w:tr w:rsidR="00974401" w:rsidRPr="00974401" w14:paraId="3939AB7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5905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E316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“térmicos”, sin recubrimientos distintos de los obtenidos por laqueado y barnizado o sin trabajos de superficie, de diámetro exterior superior a 114.3 mm sin exceder de 406.4 mm y espesor de pared igual o superior a 6.35 mm sin exceder de 38.1 mm.</w:t>
            </w:r>
          </w:p>
        </w:tc>
      </w:tr>
      <w:tr w:rsidR="00974401" w:rsidRPr="00974401" w14:paraId="6A4EC9F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48BE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29528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E5D38A9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33C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C9A6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“conducción”, sin recubrimientos distintos de los obtenidos por laqueado y barnizado o sin trabajos de superficie, de diámetro exterior superior a 114.3 mm sin exceder de 406.4 mm y espesor de pared igual o superior a 6.35 mm sin exceder de 38.1 mm.</w:t>
            </w:r>
          </w:p>
        </w:tc>
      </w:tr>
      <w:tr w:rsidR="00974401" w:rsidRPr="00974401" w14:paraId="5DD781A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3AF44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7B7E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“térmicos”, sin recubrimientos distintos de los obtenidos por laqueado y barnizado o sin trabajos de superficie, de diámetro exterior superior a 406.4 mm y espesor de pared igual o superior a 9.52 mm sin exceder de 31.75 mm.</w:t>
            </w:r>
          </w:p>
        </w:tc>
      </w:tr>
      <w:tr w:rsidR="00974401" w:rsidRPr="00974401" w14:paraId="34F3CFD9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577A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CEE6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“conducción”, sin recubrimientos distintos de los obtenidos por laqueado y barnizado o sin trabajos de superficie,  de diámetro exterior superior a 406.4 mm y espesor de pared igual o superior a 9.52 mm sin exceder de 31.75 mm.</w:t>
            </w:r>
          </w:p>
        </w:tc>
      </w:tr>
      <w:tr w:rsidR="00974401" w:rsidRPr="00974401" w14:paraId="1E38498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9822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7304.39.16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33FE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Diseñados para su uso en calderas, sobrecalentadores, intercambiadores de calor, condensadores, hornos de refinación, calentadores de agua u otros similares, excepto lo comprendido en las fracciones 7304.39.10, 7304.39.12 y 7304.39.14.</w:t>
            </w:r>
          </w:p>
        </w:tc>
      </w:tr>
      <w:tr w:rsidR="00974401" w:rsidRPr="00974401" w14:paraId="211A079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A99F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A24AB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B16B18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2A21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7304.39.91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0616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diámetro exterior superior o igual a 38.1 mm, pero inferior o igual a 406.4 mm, con un espesor de pared superior a 12.7 mm.</w:t>
            </w:r>
          </w:p>
        </w:tc>
      </w:tr>
      <w:tr w:rsidR="00974401" w:rsidRPr="00974401" w14:paraId="637DB4B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51F1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7304.39.92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7C00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diámetro exterior superior o igual a 38.1 mm, pero inferior o igual a 114.3 mm, con un espesor de pared superior a 6.4 mm pero inferior o igual a 12.7 mm.</w:t>
            </w:r>
          </w:p>
        </w:tc>
      </w:tr>
      <w:tr w:rsidR="00974401" w:rsidRPr="00974401" w14:paraId="680AAD9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B9059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D906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4AE235C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26DB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7304.51.91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7187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demás, diseñados para su uso en calderas, sobrecalentadores, intercambiadores de calor, condensadores, hornos de refinación, calentadores de agua u otros similares.</w:t>
            </w:r>
          </w:p>
        </w:tc>
      </w:tr>
      <w:tr w:rsidR="00974401" w:rsidRPr="00974401" w14:paraId="7ECF298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5844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197F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8B4B35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9219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AA04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“térmicos”, sin recubrimientos distintos de los obtenidos por laqueado y barnizado o sin trabajos de superficie, de diámetro exterior inferior o igual a 114.3 mm y espesor de pared igual o superior a 4 mm sin exceder de 19.5 mm.</w:t>
            </w:r>
          </w:p>
        </w:tc>
      </w:tr>
      <w:tr w:rsidR="00974401" w:rsidRPr="00974401" w14:paraId="366638F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0025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5B9C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“conducción”, sin recubrimientos distintos de los obtenidos por laqueado y barnizado o sin trabajos de superficie, de diámetro exterior inferior o igual a 114.3 mm y espesor de pared igual o superior a 4 mm sin exceder de 19.5 mm.</w:t>
            </w:r>
          </w:p>
        </w:tc>
      </w:tr>
      <w:tr w:rsidR="00974401" w:rsidRPr="00974401" w14:paraId="7C07E3C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4B58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596D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“térmicos”, sin recubrimientos distintos de los obtenidos por laqueado y barnizado o sin trabajos de superficie, de diámetro exterior superior a 114.3 mm sin exceder de 406.4 mm y espesor de pared igual o superior a 6.35 mm sin exceder de 38.1 mm.</w:t>
            </w:r>
          </w:p>
        </w:tc>
      </w:tr>
      <w:tr w:rsidR="00974401" w:rsidRPr="00974401" w14:paraId="4284732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971D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1931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“conducción”, sin recubrimientos distintos de los obtenidos por laqueado y barnizado o sin trabajos de superficie, de diámetro exterior superior a 114.3 mm sin exceder de 406.4 mm y espesor de pared igual o superior a 6.35 mm sin exceder de 38.1 mm.</w:t>
            </w:r>
          </w:p>
        </w:tc>
      </w:tr>
      <w:tr w:rsidR="00974401" w:rsidRPr="00974401" w14:paraId="5519EE5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1A56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3809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"térmicos", sin recubrimientos distintos de los obtenidos por laqueado y barnizado o sin trabajos de superficie, de diámetro exterior superior a 406.4 mm y espesor de pared igual o superior a 9.52 mm sin exceder de 31.75 mm.</w:t>
            </w:r>
          </w:p>
        </w:tc>
      </w:tr>
      <w:tr w:rsidR="00974401" w:rsidRPr="00974401" w14:paraId="61A60479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A2BC4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7304.59.16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DF11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Tubos llamados de "conducción", sin recubrimientos distintos de los obtenidos por laqueado y barnizado o sin trabajos de superficie, de diámetro exterior superior a 406.4 mm y espesor de pared igual o superior a 9.52 mm sin exceder de 31.75 mm.</w:t>
            </w:r>
          </w:p>
        </w:tc>
      </w:tr>
      <w:tr w:rsidR="00974401" w:rsidRPr="00974401" w14:paraId="610719E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673F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7304.59.17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CAF8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Diseñados para su uso en calderas, sobrecalentadores, intercambiadores de calor, condensadores, hornos de refinación, calentadores de agua u otros similares, excepto lo comprendido en las fracciones 7304.59.11, 7304.59.13 y 7304.59.15.</w:t>
            </w:r>
          </w:p>
        </w:tc>
      </w:tr>
      <w:tr w:rsidR="00974401" w:rsidRPr="00974401" w14:paraId="0171E7A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A55F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FC4E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diámetro exterior superior o igual a 38.1 mm, pero inferior o igual a 406.4 mm, con un espesor de pared superior a 12.7 mm.</w:t>
            </w:r>
          </w:p>
        </w:tc>
      </w:tr>
      <w:tr w:rsidR="00974401" w:rsidRPr="00974401" w14:paraId="1FA983E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FBBD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7304.59.92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520D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diámetro exterior superior o igual a 38.1 mm, pero inferior o igual a 114.3 mm, con un espesor de pared superior a 6.4 mm pero inferior o igual a 12.7 mm.</w:t>
            </w:r>
          </w:p>
        </w:tc>
      </w:tr>
      <w:tr w:rsidR="00974401" w:rsidRPr="00974401" w14:paraId="61037CE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6020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9CB9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6D5ED1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A793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7305.31.91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9E72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 de acero inoxidable.</w:t>
            </w:r>
          </w:p>
        </w:tc>
      </w:tr>
      <w:tr w:rsidR="00974401" w:rsidRPr="00974401" w14:paraId="5156A54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F5FD2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D7AA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0004B23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F0AA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7306.19.01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9920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 diámetro exterior superior a 114.3 mm.</w:t>
            </w:r>
          </w:p>
        </w:tc>
      </w:tr>
      <w:tr w:rsidR="00974401" w:rsidRPr="00974401" w14:paraId="770207E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602B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2B6F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0749C6C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72C6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7306.30.03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E1C8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Galvanizados, con un espesor de pared inferior a 1.65 mm, excepto lo comprendido en la fracción 7306.30.02.</w:t>
            </w:r>
          </w:p>
        </w:tc>
      </w:tr>
      <w:tr w:rsidR="00974401" w:rsidRPr="00974401" w14:paraId="4D45EA5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BA8A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7306.30.04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282E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Galvanizados, con un espesor de pared superior o igual a 1.65 mm, excepto lo comprendido en la fracción 7306.30.02.</w:t>
            </w:r>
          </w:p>
        </w:tc>
      </w:tr>
      <w:tr w:rsidR="00974401" w:rsidRPr="00974401" w14:paraId="5DF5525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C959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7306.30.05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4080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Diseñados para su uso en calderas, sobrecalentadores, intercambiadores de calor, condensadores, hornos de refinación y calentadores de agua.</w:t>
            </w:r>
          </w:p>
        </w:tc>
      </w:tr>
      <w:tr w:rsidR="00974401" w:rsidRPr="00974401" w14:paraId="4FEB889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4538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7306.30.06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55B4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Tubería cónica y tubos de acero utilizados principalmente como partes de artículos de iluminación.</w:t>
            </w:r>
          </w:p>
        </w:tc>
      </w:tr>
      <w:tr w:rsidR="00974401" w:rsidRPr="00974401" w14:paraId="3B129FD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3BB8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7306.30.91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D3BF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demás, con un espesor de pared inferior a 1.65 mm o rolados en frío.</w:t>
            </w:r>
          </w:p>
        </w:tc>
      </w:tr>
      <w:tr w:rsidR="00974401" w:rsidRPr="00974401" w14:paraId="0DE0DBB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9DF07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E020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15BB0E1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A3AD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7306.50.03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06D3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Diseñados para su uso en calderas, sobrecalentadores, intercambiadores de calor, condensadores, hornos de refinación y calentadores de agua.</w:t>
            </w:r>
          </w:p>
        </w:tc>
      </w:tr>
      <w:tr w:rsidR="00974401" w:rsidRPr="00974401" w14:paraId="3C2ECC2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8F8F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7306.50.04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365A3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Tubería cónica y tubos de acero utilizados principalmente como partes de artículos de iluminación.</w:t>
            </w:r>
          </w:p>
        </w:tc>
      </w:tr>
      <w:tr w:rsidR="00974401" w:rsidRPr="00974401" w14:paraId="43BD6D0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A8E8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B41F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FBAC719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75E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7306.61.02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0BAC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espesor de pared superior o igual a 4 mm.</w:t>
            </w:r>
          </w:p>
        </w:tc>
      </w:tr>
      <w:tr w:rsidR="00974401" w:rsidRPr="00974401" w14:paraId="3208610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5039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7306.61.03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89B3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espesor de pared inferior a 4 mm, de acero inoxidable.</w:t>
            </w:r>
          </w:p>
        </w:tc>
      </w:tr>
      <w:tr w:rsidR="00974401" w:rsidRPr="00974401" w14:paraId="341662B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E482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7306.61.99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272AF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Los demás.</w:t>
            </w:r>
          </w:p>
        </w:tc>
      </w:tr>
      <w:tr w:rsidR="00974401" w:rsidRPr="00974401" w14:paraId="2CD6F67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6CB3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F0607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F22309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AD8E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7306.69.01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EDD73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espesor de pared superior o igual a 4 mm.</w:t>
            </w:r>
          </w:p>
        </w:tc>
      </w:tr>
      <w:tr w:rsidR="00974401" w:rsidRPr="00974401" w14:paraId="26F6283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FB47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7306.69.02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B841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espesor de pared inferior a 4 mm, de acero inoxidable.</w:t>
            </w:r>
          </w:p>
        </w:tc>
      </w:tr>
    </w:tbl>
    <w:p w14:paraId="4C709320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15C91CBA" w14:textId="77777777" w:rsidR="00974401" w:rsidRP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"Anexo 2.2.2</w:t>
      </w:r>
    </w:p>
    <w:p w14:paraId="5F5FC6D6" w14:textId="77777777" w:rsidR="00974401" w:rsidRPr="00974401" w:rsidRDefault="00974401" w:rsidP="00E30523">
      <w:pPr>
        <w:shd w:val="clear" w:color="auto" w:fill="FFFFFF"/>
        <w:contextualSpacing/>
        <w:jc w:val="center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...</w:t>
      </w:r>
    </w:p>
    <w:p w14:paraId="7F088DC4" w14:textId="7777777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785BF394" w14:textId="18B8F3F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1.-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6.-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...</w:t>
      </w:r>
    </w:p>
    <w:p w14:paraId="0A7406FA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7A9C6DEC" w14:textId="035C7B88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7.-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...</w:t>
      </w:r>
    </w:p>
    <w:p w14:paraId="0DFBB6B3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5E31EBFF" w14:textId="26199FA4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I.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...</w:t>
      </w:r>
    </w:p>
    <w:p w14:paraId="2E4FF80D" w14:textId="7777777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3C3779D1" w14:textId="2D9AFFB1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II.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...</w:t>
      </w:r>
    </w:p>
    <w:p w14:paraId="37491B25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305"/>
        <w:gridCol w:w="3349"/>
      </w:tblGrid>
      <w:tr w:rsidR="00974401" w:rsidRPr="00974401" w14:paraId="670163C3" w14:textId="77777777" w:rsidTr="00974401">
        <w:trPr>
          <w:trHeight w:val="331"/>
        </w:trPr>
        <w:tc>
          <w:tcPr>
            <w:tcW w:w="2058" w:type="dxa"/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34BE3F" w14:textId="77777777" w:rsidR="00974401" w:rsidRPr="00974401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Fracción arancelaria</w:t>
            </w:r>
          </w:p>
        </w:tc>
        <w:tc>
          <w:tcPr>
            <w:tcW w:w="3305" w:type="dxa"/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7361F7" w14:textId="77777777" w:rsidR="00974401" w:rsidRPr="00974401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Criterio</w:t>
            </w:r>
          </w:p>
        </w:tc>
        <w:tc>
          <w:tcPr>
            <w:tcW w:w="3349" w:type="dxa"/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81E37F" w14:textId="77777777" w:rsidR="00974401" w:rsidRPr="00974401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Requisito</w:t>
            </w:r>
          </w:p>
        </w:tc>
      </w:tr>
      <w:tr w:rsidR="00974401" w:rsidRPr="00DD448A" w14:paraId="2D6AD1CF" w14:textId="77777777" w:rsidTr="00974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5D2DD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0B58B6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7208.10.04</w:t>
            </w:r>
          </w:p>
          <w:p w14:paraId="4FB265A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9F3ADF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7209.18.02</w:t>
            </w:r>
          </w:p>
          <w:p w14:paraId="64649A7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7209.18.99</w:t>
            </w:r>
          </w:p>
          <w:p w14:paraId="0285BB1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5F682E1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7210.70.03</w:t>
            </w:r>
          </w:p>
          <w:p w14:paraId="3ABDDB9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7210.70.04</w:t>
            </w:r>
          </w:p>
          <w:p w14:paraId="209D09A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7210.70.05</w:t>
            </w:r>
          </w:p>
          <w:p w14:paraId="43889D3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7210.70.91</w:t>
            </w:r>
          </w:p>
          <w:p w14:paraId="6B052F3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40F1F739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7210.90.91</w:t>
            </w:r>
          </w:p>
          <w:p w14:paraId="1DA62B3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AD57B5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7211.14.04</w:t>
            </w:r>
          </w:p>
          <w:p w14:paraId="3AEA34B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45F618F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7213.99.02</w:t>
            </w:r>
          </w:p>
          <w:p w14:paraId="0D28A19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6ACABF0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7224.90.03</w:t>
            </w:r>
          </w:p>
          <w:p w14:paraId="7F0EF502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7BDA57F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7225.30.08</w:t>
            </w:r>
          </w:p>
          <w:p w14:paraId="026DA3E2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7225.30.91</w:t>
            </w:r>
          </w:p>
          <w:p w14:paraId="4334C009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7225.40.07</w:t>
            </w:r>
          </w:p>
          <w:p w14:paraId="59B7F62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7225.40.91</w:t>
            </w:r>
          </w:p>
          <w:p w14:paraId="016C3C8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305B87A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7225.50.08</w:t>
            </w:r>
          </w:p>
          <w:p w14:paraId="4270AFE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7225.50.09</w:t>
            </w:r>
          </w:p>
          <w:p w14:paraId="7818C46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7225.50.10</w:t>
            </w:r>
          </w:p>
          <w:p w14:paraId="6934CF8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7225.50.11</w:t>
            </w:r>
          </w:p>
          <w:p w14:paraId="2A0B76E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7225.50.12</w:t>
            </w:r>
          </w:p>
          <w:p w14:paraId="14DCEFC8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7225.50.91</w:t>
            </w:r>
          </w:p>
          <w:p w14:paraId="7AE79528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2152270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7226.91.08</w:t>
            </w:r>
          </w:p>
          <w:p w14:paraId="67AF146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7226.91.09</w:t>
            </w:r>
          </w:p>
          <w:p w14:paraId="42AF62E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7226.91.10</w:t>
            </w:r>
          </w:p>
          <w:p w14:paraId="5D711DF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7226.91.11</w:t>
            </w:r>
          </w:p>
          <w:p w14:paraId="579675F9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7226.91.12</w:t>
            </w:r>
          </w:p>
          <w:p w14:paraId="4238BFFA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7226.91.91</w:t>
            </w:r>
          </w:p>
          <w:p w14:paraId="1629B09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5868515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7226.92.07</w:t>
            </w:r>
          </w:p>
          <w:p w14:paraId="35066C0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526BED9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7227.20.02</w:t>
            </w:r>
          </w:p>
          <w:p w14:paraId="11867C8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7227.20.99</w:t>
            </w:r>
          </w:p>
          <w:p w14:paraId="6F64AD4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4591D6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7227.90.02</w:t>
            </w:r>
          </w:p>
          <w:p w14:paraId="69CA5F6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7227.90.03</w:t>
            </w:r>
          </w:p>
          <w:p w14:paraId="13BB8C0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1CF6A6B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7228.30.03</w:t>
            </w:r>
          </w:p>
          <w:p w14:paraId="3D6624E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12A27FC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7228.60.03</w:t>
            </w:r>
          </w:p>
          <w:p w14:paraId="7F0C77D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1C5E53B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7228.70.02</w:t>
            </w:r>
          </w:p>
          <w:p w14:paraId="69BD660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7228.70.99</w:t>
            </w:r>
          </w:p>
          <w:p w14:paraId="21FFBAEA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6AB2687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7304.19.91</w:t>
            </w:r>
          </w:p>
          <w:p w14:paraId="595E85A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1A3B45F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7304.31.91</w:t>
            </w:r>
          </w:p>
          <w:p w14:paraId="6EF8FCA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7304.39.10</w:t>
            </w:r>
          </w:p>
          <w:p w14:paraId="6102B67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7304.39.11</w:t>
            </w:r>
          </w:p>
          <w:p w14:paraId="401FCF6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7304.39.12</w:t>
            </w:r>
          </w:p>
          <w:p w14:paraId="1F653F4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A3A110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7304.39.13</w:t>
            </w:r>
          </w:p>
          <w:p w14:paraId="70AB881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7304.39.14</w:t>
            </w:r>
          </w:p>
          <w:p w14:paraId="7F90B8B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7304.39.15</w:t>
            </w:r>
          </w:p>
          <w:p w14:paraId="6E0A2C2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7304.39.16</w:t>
            </w:r>
          </w:p>
          <w:p w14:paraId="174CA38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7229E69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7304.39.91</w:t>
            </w:r>
          </w:p>
          <w:p w14:paraId="4C7F9D9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7304.39.92</w:t>
            </w:r>
          </w:p>
          <w:p w14:paraId="56CEBF4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548D749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7304.51.91</w:t>
            </w:r>
          </w:p>
          <w:p w14:paraId="51BF991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3E61742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7304.59.11</w:t>
            </w:r>
          </w:p>
          <w:p w14:paraId="3BB0EF3A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7304.59.12</w:t>
            </w:r>
          </w:p>
          <w:p w14:paraId="0DD66ABA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7304.59.13</w:t>
            </w:r>
          </w:p>
          <w:p w14:paraId="75C90F33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7304.59.14</w:t>
            </w:r>
          </w:p>
          <w:p w14:paraId="3D59091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7304.59.15</w:t>
            </w:r>
          </w:p>
          <w:p w14:paraId="1BBFABD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7304.59.16</w:t>
            </w:r>
          </w:p>
          <w:p w14:paraId="232F950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7304.59.17</w:t>
            </w:r>
          </w:p>
          <w:p w14:paraId="7374B2B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7304.59.91</w:t>
            </w:r>
          </w:p>
          <w:p w14:paraId="5EF8DE69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7304.59.92</w:t>
            </w:r>
          </w:p>
          <w:p w14:paraId="0C794A6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2426EB6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7305.31.91</w:t>
            </w:r>
          </w:p>
          <w:p w14:paraId="04211CBF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5586E7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7306.19.01</w:t>
            </w:r>
          </w:p>
          <w:p w14:paraId="2C923248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7F9FBB56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7306.30.03</w:t>
            </w:r>
          </w:p>
          <w:p w14:paraId="2DE2C183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7306.30.04</w:t>
            </w:r>
          </w:p>
          <w:p w14:paraId="6F268E63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7306.30.05</w:t>
            </w:r>
          </w:p>
          <w:p w14:paraId="353156F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7306.30.06</w:t>
            </w:r>
          </w:p>
          <w:p w14:paraId="40E203E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7306.30.91</w:t>
            </w:r>
          </w:p>
          <w:p w14:paraId="39BC2A9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02BA4710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7306.50.03</w:t>
            </w:r>
          </w:p>
          <w:p w14:paraId="3F44D56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7306.50.04</w:t>
            </w:r>
          </w:p>
          <w:p w14:paraId="4EBAB64B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6BF033BC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7306.61.02</w:t>
            </w:r>
          </w:p>
          <w:p w14:paraId="78FDA0FD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7306.61.03</w:t>
            </w:r>
          </w:p>
          <w:p w14:paraId="3516071E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7306.61.99</w:t>
            </w:r>
          </w:p>
          <w:p w14:paraId="291BD175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  <w:p w14:paraId="2B3F3AE4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7306.69.01</w:t>
            </w:r>
          </w:p>
          <w:p w14:paraId="33C2F7F3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7306.69.02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AEE4D1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...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8D00F7" w14:textId="77777777" w:rsidR="00974401" w:rsidRPr="00DD448A" w:rsidRDefault="00974401" w:rsidP="00974401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DD448A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</w:tbl>
    <w:p w14:paraId="2A6B73B8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1845303A" w14:textId="73E3CFB9" w:rsid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Segundo. 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–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Se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modifican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al numeral 8 fracción II, 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del Anexo 2.2.1 del Acuerdo por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el que la Secretaría de Economía emite reglas y criterios de carácter general e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n materia de Comercio Exterior,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publicado en el Diario Oficial de la Federación el 31 de diciembre de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lastRenderedPageBreak/>
        <w:t>2012 y sus posteriores modificaciones,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las siguientes fracciones arancelarias en el orden que les corresponde según su numeración, como a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eastAsia="es-MX"/>
        </w:rPr>
        <w:t>continuación se indica:</w:t>
      </w:r>
    </w:p>
    <w:p w14:paraId="05A4E6F2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3157D66C" w14:textId="0044A5A1" w:rsid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"Anexo 2.2.1</w:t>
      </w:r>
    </w:p>
    <w:p w14:paraId="6492BB4C" w14:textId="7E551695" w:rsidR="00E30523" w:rsidRPr="00974401" w:rsidRDefault="00E30523" w:rsidP="00974401">
      <w:pPr>
        <w:shd w:val="clear" w:color="auto" w:fill="FFFFFF"/>
        <w:contextualSpacing/>
        <w:jc w:val="center"/>
        <w:rPr>
          <w:rFonts w:ascii="Arial" w:hAnsi="Arial" w:cs="Arial"/>
          <w:color w:val="2F2F2F"/>
          <w:sz w:val="22"/>
          <w:szCs w:val="22"/>
          <w:lang w:val="en-US" w:eastAsia="es-MX"/>
        </w:rPr>
      </w:pP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…</w:t>
      </w:r>
    </w:p>
    <w:p w14:paraId="11C9AD4D" w14:textId="73D76962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p w14:paraId="010A2211" w14:textId="3E2C10FC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1.-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color w:val="2F2F2F"/>
          <w:sz w:val="22"/>
          <w:szCs w:val="22"/>
          <w:lang w:val="en-US" w:eastAsia="es-MX"/>
        </w:rPr>
        <w:t>a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7 BIS. -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2BAEDD1E" w14:textId="7777777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</w:p>
    <w:p w14:paraId="7CC99766" w14:textId="51639543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8.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746212D0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p w14:paraId="5CC23138" w14:textId="51768CE8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I.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25A20C09" w14:textId="77777777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</w:p>
    <w:p w14:paraId="20E71ED1" w14:textId="4A28EECF" w:rsid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II.</w:t>
      </w:r>
      <w:r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 xml:space="preserve"> </w:t>
      </w:r>
      <w:r w:rsidRPr="00974401">
        <w:rPr>
          <w:rFonts w:ascii="Arial" w:hAnsi="Arial" w:cs="Arial"/>
          <w:b/>
          <w:bCs/>
          <w:color w:val="2F2F2F"/>
          <w:sz w:val="22"/>
          <w:szCs w:val="22"/>
          <w:lang w:val="en-US" w:eastAsia="es-MX"/>
        </w:rPr>
        <w:t>...</w:t>
      </w:r>
    </w:p>
    <w:p w14:paraId="1F5E62E7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color w:val="2F2F2F"/>
          <w:sz w:val="22"/>
          <w:szCs w:val="22"/>
          <w:lang w:val="en-US"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7113"/>
      </w:tblGrid>
      <w:tr w:rsidR="00974401" w:rsidRPr="00974401" w14:paraId="474440A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5F9DC" w14:textId="1672DF90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Fracción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arancelaria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F672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Descripción</w:t>
            </w:r>
          </w:p>
        </w:tc>
      </w:tr>
      <w:tr w:rsidR="00974401" w:rsidRPr="00974401" w14:paraId="5620F84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0C3B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124D0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75CAF72E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931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7211.14.01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2A40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Flejes, excepto lo comprendido en la 7211.14.04.</w:t>
            </w:r>
          </w:p>
        </w:tc>
      </w:tr>
      <w:tr w:rsidR="00974401" w:rsidRPr="00974401" w14:paraId="02937C5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995B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7211.14.02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1B759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Laminados en caliente (“chapas”), de espesor superior o igual a 4.75 mm pero inferior a 12 mm, excepto lo comprendido en la 7211.14.04.</w:t>
            </w:r>
          </w:p>
        </w:tc>
      </w:tr>
      <w:tr w:rsidR="00974401" w:rsidRPr="00974401" w14:paraId="5A7749F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5F97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10F44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164CC3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E49B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7213.99.01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F1DB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Alambrón de acero con un contenido máximo de carbono de 0.13%, 0.1% máximo de silicio, y un contenido mínimo de aluminio de 0.02%, en peso, excepto lo comprendido en la fracción 7213.99.02.</w:t>
            </w:r>
          </w:p>
        </w:tc>
      </w:tr>
      <w:tr w:rsidR="00974401" w:rsidRPr="00974401" w14:paraId="7AC3B48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AB9FD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DE33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09A40CD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1FC02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DA58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a 10 mm, excepto lo comprendido en la fracción 7225.30.08.</w:t>
            </w:r>
          </w:p>
        </w:tc>
      </w:tr>
      <w:tr w:rsidR="00974401" w:rsidRPr="00974401" w14:paraId="4EF90C0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DD4B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77D2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o igual a 4.75 mm, pero inferior o igual a 10 mm, excepto lo comprendido en la fracción 7225.30.08.</w:t>
            </w:r>
          </w:p>
        </w:tc>
      </w:tr>
      <w:tr w:rsidR="00974401" w:rsidRPr="00974401" w14:paraId="452BAA1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F0744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6815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o igual a 3 mm, pero inferior a 4.75 mm, excepto lo comprendido en la fracción 7225.30.08.</w:t>
            </w:r>
          </w:p>
        </w:tc>
      </w:tr>
      <w:tr w:rsidR="00974401" w:rsidRPr="00974401" w14:paraId="3FEC2C8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8E78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7225.30.05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7289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inferior a 3 mm, excepto lo comprendido en la fracción 7225.30.08.</w:t>
            </w:r>
          </w:p>
        </w:tc>
      </w:tr>
      <w:tr w:rsidR="00974401" w:rsidRPr="00974401" w14:paraId="7EA7F59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75E9F3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CE91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24FC921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4BB6F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7225.40.01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7394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a 10 mm, excepto lo comprendido en la fracción 7225.40.07.</w:t>
            </w:r>
          </w:p>
        </w:tc>
      </w:tr>
      <w:tr w:rsidR="00974401" w:rsidRPr="00974401" w14:paraId="1660663D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C37A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7225.40.02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07C61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o igual a 4.75 mm, pero inferior o igual a 10 mm, excepto lo comprendido en la fracción 7225.40.07.</w:t>
            </w:r>
          </w:p>
        </w:tc>
      </w:tr>
      <w:tr w:rsidR="00974401" w:rsidRPr="00974401" w14:paraId="15260F11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EF334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7225.40.03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4B87B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superior o igual a 3 mm, pero inferior  a 4.75 mm, excepto lo comprendido en la fracción 7225.40.07.</w:t>
            </w:r>
          </w:p>
        </w:tc>
      </w:tr>
      <w:tr w:rsidR="00974401" w:rsidRPr="00974401" w14:paraId="1F518EF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CC47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7225.40.04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AA39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de espesor inferior a 3 mm, excepto lo comprendido en la fracción 7225.40.07.</w:t>
            </w:r>
          </w:p>
        </w:tc>
      </w:tr>
      <w:tr w:rsidR="00974401" w:rsidRPr="00974401" w14:paraId="5EB43157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6C12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B93D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2240AB56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5CF5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7225.50.02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F21CE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a 1 mm, pero inferior a 3 mm, enrollada, excepto lo comprendido en la fracción 7225.50.12.</w:t>
            </w:r>
          </w:p>
        </w:tc>
      </w:tr>
      <w:tr w:rsidR="00974401" w:rsidRPr="00974401" w14:paraId="21D3B40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9D15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1D5C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0.5 mm, pero inferior o igual a 1 mm, enrollada, excepto lo comprendido en la fracción 7225.50.12.</w:t>
            </w:r>
          </w:p>
        </w:tc>
      </w:tr>
      <w:tr w:rsidR="00974401" w:rsidRPr="00974401" w14:paraId="59FF949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D232A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7225.50.04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AE0D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inferior a 0.5 mm, enrollada, excepto lo comprendido en la fracción 7225.50.12.</w:t>
            </w:r>
          </w:p>
        </w:tc>
      </w:tr>
      <w:tr w:rsidR="00974401" w:rsidRPr="00974401" w14:paraId="135B7840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4E0B1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CACBC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6821C384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0DB7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FF7CA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a 1 mm, pero inferior a 3 mm, enrollada, excepto lo comprendido en la fracción 7226.91.12.</w:t>
            </w:r>
          </w:p>
        </w:tc>
      </w:tr>
      <w:tr w:rsidR="00974401" w:rsidRPr="00974401" w14:paraId="766D91A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6959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4BAC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0.5 mm, pero inferior o igual a 1 mm, enrollada, excepto lo comprendido en la fracción 7226.91.12.</w:t>
            </w:r>
          </w:p>
        </w:tc>
      </w:tr>
      <w:tr w:rsidR="00974401" w:rsidRPr="00974401" w14:paraId="5AF51942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959CE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7226.91.05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71F36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inferior a 0.5 mm, enrollada, excepto lo comprendido en la fracción 7226.91.12.</w:t>
            </w:r>
          </w:p>
        </w:tc>
      </w:tr>
      <w:tr w:rsidR="00974401" w:rsidRPr="00974401" w14:paraId="392BF048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6CD2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7F76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3EC0BF9B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DD245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8924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3 mm, enrollada, excepto lo comprendido en la fracción 7226.92.07.</w:t>
            </w:r>
          </w:p>
        </w:tc>
      </w:tr>
      <w:tr w:rsidR="00974401" w:rsidRPr="00974401" w14:paraId="7C1A793A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362E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7226.92.02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76A165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a 1 mm, pero inferior a 3 mm, enrollada, excepto lo comprendido en la fracción 7226.92.07.</w:t>
            </w:r>
          </w:p>
        </w:tc>
      </w:tr>
      <w:tr w:rsidR="00974401" w:rsidRPr="00974401" w14:paraId="6F905A2F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9A899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7226.92.03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5B93D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superior o igual a 0.5 mm, pero inferior o igual a 1 mm, enrollada, excepto lo comprendido en la fracción 7226.92.07.</w:t>
            </w:r>
          </w:p>
        </w:tc>
      </w:tr>
      <w:tr w:rsidR="00974401" w:rsidRPr="00974401" w14:paraId="4E4DC84C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0B530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7226.92.04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3AC82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y espesor inferior a 0.5 mm, enrollada, excepto lo comprendido en la 7226.92.07.</w:t>
            </w:r>
          </w:p>
        </w:tc>
      </w:tr>
      <w:tr w:rsidR="00974401" w:rsidRPr="00974401" w14:paraId="4429F13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9F9FB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7226.92.05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7DB04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Con un contenido de boro igual o superior a 0.0008%, sin enrollar, excepto lo comprendido en la fracción 7226.92.07.</w:t>
            </w:r>
          </w:p>
        </w:tc>
      </w:tr>
      <w:tr w:rsidR="00974401" w:rsidRPr="00974401" w14:paraId="74A370D5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76668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069B0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...</w:t>
            </w:r>
          </w:p>
        </w:tc>
      </w:tr>
      <w:tr w:rsidR="00974401" w:rsidRPr="00974401" w14:paraId="4C48EE39" w14:textId="77777777" w:rsidTr="00974401">
        <w:trPr>
          <w:trHeight w:val="20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C8ACC" w14:textId="77777777" w:rsidR="00974401" w:rsidRPr="00974401" w:rsidRDefault="00974401" w:rsidP="0097440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7211.14.01</w:t>
            </w:r>
          </w:p>
        </w:tc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591D8" w14:textId="77777777" w:rsidR="00974401" w:rsidRPr="00974401" w:rsidRDefault="00974401" w:rsidP="0097440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7440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Flejes, excepto lo comprendido en la 7211.14.04.</w:t>
            </w:r>
          </w:p>
        </w:tc>
      </w:tr>
    </w:tbl>
    <w:p w14:paraId="700DE3A1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5FE28A0D" w14:textId="678AA7E6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Tercero. 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–</w:t>
      </w:r>
      <w:r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sz w:val="22"/>
          <w:szCs w:val="22"/>
          <w:lang w:eastAsia="es-MX"/>
        </w:rPr>
        <w:t>Se</w:t>
      </w:r>
      <w:r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b/>
          <w:bCs/>
          <w:sz w:val="22"/>
          <w:szCs w:val="22"/>
          <w:lang w:eastAsia="es-MX"/>
        </w:rPr>
        <w:t>eliminan</w:t>
      </w:r>
      <w:r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las fracciones arancelarias 7209.18.01, 7210.70.01, </w:t>
      </w:r>
      <w:r w:rsidR="00E30523" w:rsidRPr="00974401">
        <w:rPr>
          <w:rFonts w:ascii="Arial" w:hAnsi="Arial" w:cs="Arial"/>
          <w:sz w:val="22"/>
          <w:szCs w:val="22"/>
          <w:lang w:eastAsia="es-MX"/>
        </w:rPr>
        <w:t>7225.30.01, 7225.50.01,</w:t>
      </w:r>
      <w:r w:rsidR="00E3052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E30523" w:rsidRPr="00974401">
        <w:rPr>
          <w:rFonts w:ascii="Arial" w:hAnsi="Arial" w:cs="Arial"/>
          <w:sz w:val="22"/>
          <w:szCs w:val="22"/>
          <w:lang w:eastAsia="es-MX"/>
        </w:rPr>
        <w:t>7225.50.05,</w:t>
      </w:r>
      <w:r w:rsidR="00E30523">
        <w:rPr>
          <w:rFonts w:ascii="Arial" w:hAnsi="Arial" w:cs="Arial"/>
          <w:sz w:val="22"/>
          <w:szCs w:val="22"/>
          <w:lang w:eastAsia="es-MX"/>
        </w:rPr>
        <w:t xml:space="preserve"> 7226.91.01,</w:t>
      </w:r>
      <w:r w:rsidR="00E30523" w:rsidRPr="00974401">
        <w:rPr>
          <w:rFonts w:ascii="Arial" w:hAnsi="Arial" w:cs="Arial"/>
          <w:sz w:val="22"/>
          <w:szCs w:val="22"/>
          <w:lang w:eastAsia="es-MX"/>
        </w:rPr>
        <w:t xml:space="preserve"> 7226.91.02,</w:t>
      </w:r>
      <w:r w:rsidR="00E3052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E30523" w:rsidRPr="00974401">
        <w:rPr>
          <w:rFonts w:ascii="Arial" w:hAnsi="Arial" w:cs="Arial"/>
          <w:sz w:val="22"/>
          <w:szCs w:val="22"/>
          <w:lang w:eastAsia="es-MX"/>
        </w:rPr>
        <w:t>7226.91.06, 7227.20.01</w:t>
      </w:r>
      <w:r w:rsidR="00E30523">
        <w:rPr>
          <w:rFonts w:ascii="Arial" w:hAnsi="Arial" w:cs="Arial"/>
          <w:sz w:val="22"/>
          <w:szCs w:val="22"/>
          <w:lang w:eastAsia="es-MX"/>
        </w:rPr>
        <w:t>,</w:t>
      </w:r>
      <w:r w:rsidR="00E30523" w:rsidRPr="00974401">
        <w:rPr>
          <w:rFonts w:ascii="Arial" w:hAnsi="Arial" w:cs="Arial"/>
          <w:sz w:val="22"/>
          <w:szCs w:val="22"/>
          <w:lang w:eastAsia="es-MX"/>
        </w:rPr>
        <w:t xml:space="preserve"> 7228.70.01</w:t>
      </w:r>
      <w:r w:rsidR="00E30523">
        <w:rPr>
          <w:rFonts w:ascii="Arial" w:hAnsi="Arial" w:cs="Arial"/>
          <w:sz w:val="22"/>
          <w:szCs w:val="22"/>
          <w:lang w:eastAsia="es-MX"/>
        </w:rPr>
        <w:t xml:space="preserve">, </w:t>
      </w:r>
      <w:r w:rsidRPr="00974401">
        <w:rPr>
          <w:rFonts w:ascii="Arial" w:hAnsi="Arial" w:cs="Arial"/>
          <w:sz w:val="22"/>
          <w:szCs w:val="22"/>
          <w:lang w:eastAsia="es-MX"/>
        </w:rPr>
        <w:t>7304.39.05, 7304.39.06, 7304.39.07, 7304.59.06, 7304.59.07, 7304.59.08, 7306.30.01, y 7306.61.01 de la fracción II del numeral 8 del Anexo 2.2.1, así como de la fracción II del numeral 7 del Anexo 2.2.2 del Acuerdo por el que la Secretaría de Economía emite reglas y criterios de carácter general en materia de Comercio Exterior, publicado en el Diario Oficial de la Federación el 31 de diciembre de 2012 y sus posteriores modificaciones.</w:t>
      </w:r>
    </w:p>
    <w:p w14:paraId="10D70A97" w14:textId="77777777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24BDEB9E" w14:textId="77777777" w:rsidR="00974401" w:rsidRPr="00974401" w:rsidRDefault="00974401" w:rsidP="00974401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TRANSITORIOS</w:t>
      </w:r>
    </w:p>
    <w:p w14:paraId="2504DF0C" w14:textId="77777777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b/>
          <w:bCs/>
          <w:color w:val="2F2F2F"/>
          <w:sz w:val="22"/>
          <w:szCs w:val="22"/>
          <w:lang w:eastAsia="es-MX"/>
        </w:rPr>
      </w:pPr>
    </w:p>
    <w:p w14:paraId="46ED903F" w14:textId="3371092A" w:rsidR="00974401" w:rsidRDefault="005B624E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PRIMERO. -</w:t>
      </w:r>
      <w:r w:rsid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 </w:t>
      </w:r>
      <w:r w:rsidR="00974401" w:rsidRP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El presente Acuerdo entrará en vigor el día siguiente al de su publicación en el </w:t>
      </w:r>
      <w:r w:rsidR="00974401">
        <w:rPr>
          <w:rFonts w:ascii="Arial" w:hAnsi="Arial" w:cs="Arial"/>
          <w:color w:val="2F2F2F"/>
          <w:sz w:val="22"/>
          <w:szCs w:val="22"/>
          <w:lang w:eastAsia="es-MX"/>
        </w:rPr>
        <w:t xml:space="preserve">Diario Oficial </w:t>
      </w:r>
      <w:r w:rsidR="00974401" w:rsidRPr="00974401">
        <w:rPr>
          <w:rFonts w:ascii="Arial" w:hAnsi="Arial" w:cs="Arial"/>
          <w:color w:val="2F2F2F"/>
          <w:sz w:val="22"/>
          <w:szCs w:val="22"/>
          <w:lang w:eastAsia="es-MX"/>
        </w:rPr>
        <w:t>de la Federación.</w:t>
      </w:r>
    </w:p>
    <w:p w14:paraId="0BAA6AD7" w14:textId="77777777" w:rsidR="00974401" w:rsidRPr="00974401" w:rsidRDefault="00974401" w:rsidP="00974401">
      <w:pPr>
        <w:shd w:val="clear" w:color="auto" w:fill="FFFFFF"/>
        <w:contextualSpacing/>
        <w:jc w:val="both"/>
        <w:rPr>
          <w:rFonts w:ascii="Arial" w:hAnsi="Arial" w:cs="Arial"/>
          <w:color w:val="2F2F2F"/>
          <w:sz w:val="22"/>
          <w:szCs w:val="22"/>
          <w:lang w:eastAsia="es-MX"/>
        </w:rPr>
      </w:pPr>
    </w:p>
    <w:p w14:paraId="23EE8B41" w14:textId="09E9974C" w:rsidR="002D787E" w:rsidRDefault="00974401" w:rsidP="005B624E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  <w:lang w:eastAsia="es-MX"/>
        </w:rPr>
      </w:pPr>
      <w:r w:rsidRPr="00974401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lastRenderedPageBreak/>
        <w:t xml:space="preserve">SEGUNDO. </w:t>
      </w:r>
      <w:r w:rsidR="00E007B7"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>–</w:t>
      </w:r>
      <w:r>
        <w:rPr>
          <w:rFonts w:ascii="Arial" w:hAnsi="Arial" w:cs="Arial"/>
          <w:b/>
          <w:bCs/>
          <w:color w:val="2F2F2F"/>
          <w:sz w:val="22"/>
          <w:szCs w:val="22"/>
          <w:lang w:eastAsia="es-MX"/>
        </w:rPr>
        <w:t xml:space="preserve"> </w:t>
      </w:r>
      <w:r w:rsidR="00E007B7">
        <w:rPr>
          <w:rFonts w:ascii="Arial" w:hAnsi="Arial" w:cs="Arial"/>
          <w:sz w:val="22"/>
          <w:szCs w:val="22"/>
          <w:lang w:eastAsia="es-MX"/>
        </w:rPr>
        <w:t>A la entrada en vigor del presente Acuerdo, l</w:t>
      </w:r>
      <w:r w:rsidRPr="00974401">
        <w:rPr>
          <w:rFonts w:ascii="Arial" w:hAnsi="Arial" w:cs="Arial"/>
          <w:sz w:val="22"/>
          <w:szCs w:val="22"/>
          <w:lang w:eastAsia="es-MX"/>
        </w:rPr>
        <w:t>a Ventanilla Digital Mexicana de Comercio Exterior quedará habilitada para la recepción de</w:t>
      </w:r>
      <w:r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los Avisos </w:t>
      </w:r>
      <w:r w:rsidR="00E007B7">
        <w:rPr>
          <w:rFonts w:ascii="Arial" w:hAnsi="Arial" w:cs="Arial"/>
          <w:sz w:val="22"/>
          <w:szCs w:val="22"/>
          <w:lang w:eastAsia="es-MX"/>
        </w:rPr>
        <w:t>A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utomáticos de </w:t>
      </w:r>
      <w:r w:rsidR="00E007B7">
        <w:rPr>
          <w:rFonts w:ascii="Arial" w:hAnsi="Arial" w:cs="Arial"/>
          <w:sz w:val="22"/>
          <w:szCs w:val="22"/>
          <w:lang w:eastAsia="es-MX"/>
        </w:rPr>
        <w:t>I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mportación de </w:t>
      </w:r>
      <w:r w:rsidR="00E007B7">
        <w:rPr>
          <w:rFonts w:ascii="Arial" w:hAnsi="Arial" w:cs="Arial"/>
          <w:sz w:val="22"/>
          <w:szCs w:val="22"/>
          <w:lang w:eastAsia="es-MX"/>
        </w:rPr>
        <w:t>P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roductos </w:t>
      </w:r>
      <w:r w:rsidR="00E007B7">
        <w:rPr>
          <w:rFonts w:ascii="Arial" w:hAnsi="Arial" w:cs="Arial"/>
          <w:sz w:val="22"/>
          <w:szCs w:val="22"/>
          <w:lang w:eastAsia="es-MX"/>
        </w:rPr>
        <w:t>S</w:t>
      </w:r>
      <w:r w:rsidRPr="00974401">
        <w:rPr>
          <w:rFonts w:ascii="Arial" w:hAnsi="Arial" w:cs="Arial"/>
          <w:sz w:val="22"/>
          <w:szCs w:val="22"/>
          <w:lang w:eastAsia="es-MX"/>
        </w:rPr>
        <w:t>iderúrgicos</w:t>
      </w:r>
      <w:r>
        <w:rPr>
          <w:rFonts w:ascii="Arial" w:hAnsi="Arial" w:cs="Arial"/>
          <w:sz w:val="22"/>
          <w:szCs w:val="22"/>
          <w:lang w:eastAsia="es-MX"/>
        </w:rPr>
        <w:t xml:space="preserve">, por lo </w:t>
      </w:r>
      <w:r w:rsidRPr="00974401">
        <w:rPr>
          <w:rFonts w:ascii="Arial" w:hAnsi="Arial" w:cs="Arial"/>
          <w:sz w:val="22"/>
          <w:szCs w:val="22"/>
          <w:lang w:eastAsia="es-MX"/>
        </w:rPr>
        <w:t xml:space="preserve">anterior, serán exigibles en la aduana, en términos del Artículo 36-A de la Ley Aduanera, </w:t>
      </w:r>
      <w:r>
        <w:rPr>
          <w:rFonts w:ascii="Arial" w:hAnsi="Arial" w:cs="Arial"/>
          <w:sz w:val="22"/>
          <w:szCs w:val="22"/>
          <w:lang w:eastAsia="es-MX"/>
        </w:rPr>
        <w:t xml:space="preserve">a los </w:t>
      </w:r>
      <w:r w:rsidRPr="00974401">
        <w:rPr>
          <w:rFonts w:ascii="Arial" w:hAnsi="Arial" w:cs="Arial"/>
          <w:sz w:val="22"/>
          <w:szCs w:val="22"/>
          <w:lang w:eastAsia="es-MX"/>
        </w:rPr>
        <w:t>dos</w:t>
      </w:r>
      <w:r>
        <w:rPr>
          <w:rFonts w:ascii="Arial" w:hAnsi="Arial" w:cs="Arial"/>
          <w:sz w:val="22"/>
          <w:szCs w:val="22"/>
          <w:lang w:eastAsia="es-MX"/>
        </w:rPr>
        <w:t xml:space="preserve"> días hábiles </w:t>
      </w:r>
      <w:r w:rsidRPr="00974401">
        <w:rPr>
          <w:rFonts w:ascii="Arial" w:hAnsi="Arial" w:cs="Arial"/>
          <w:sz w:val="22"/>
          <w:szCs w:val="22"/>
          <w:lang w:eastAsia="es-MX"/>
        </w:rPr>
        <w:t>siguientes a la habilitación de la citada ventanilla.</w:t>
      </w:r>
    </w:p>
    <w:p w14:paraId="7E0D36F2" w14:textId="0EEF78B5" w:rsidR="005B624E" w:rsidRDefault="005B624E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br w:type="page"/>
      </w:r>
    </w:p>
    <w:p w14:paraId="64561E53" w14:textId="77777777" w:rsidR="00974401" w:rsidRPr="008424B6" w:rsidRDefault="00974401" w:rsidP="00974401">
      <w:pPr>
        <w:ind w:left="4536"/>
        <w:jc w:val="both"/>
        <w:rPr>
          <w:rFonts w:ascii="Arial" w:hAnsi="Arial" w:cs="Arial"/>
          <w:bCs/>
          <w:sz w:val="20"/>
          <w:szCs w:val="20"/>
        </w:rPr>
      </w:pPr>
      <w:r w:rsidRPr="008424B6">
        <w:rPr>
          <w:rFonts w:ascii="Arial" w:hAnsi="Arial" w:cs="Arial"/>
          <w:sz w:val="20"/>
          <w:szCs w:val="20"/>
        </w:rPr>
        <w:lastRenderedPageBreak/>
        <w:t xml:space="preserve">ESTA HOJA DE FIRMA FORMA PARTE DEL </w:t>
      </w:r>
      <w:r w:rsidRPr="008424B6">
        <w:rPr>
          <w:rFonts w:ascii="Arial" w:hAnsi="Arial" w:cs="Arial"/>
          <w:bCs/>
          <w:sz w:val="20"/>
          <w:szCs w:val="20"/>
        </w:rPr>
        <w:t>ACUERDO QUE MODIFICA AL DIVERSO POR EL QUE LA SECRETARÍA DE ECONOMÍA EMITE REGLAS Y CRITERIOS DE CARÁCTER GENERAL EN MATERIA DE COMERCIO EXTERIOR</w:t>
      </w:r>
    </w:p>
    <w:p w14:paraId="56D6487E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75A7EAA7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45E2038D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0AAF0DDF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78B3C8B9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24286190" w14:textId="77777777" w:rsidR="00974401" w:rsidRPr="008424B6" w:rsidRDefault="00974401" w:rsidP="00974401">
      <w:pPr>
        <w:jc w:val="both"/>
        <w:rPr>
          <w:rFonts w:ascii="Arial" w:hAnsi="Arial" w:cs="Arial"/>
          <w:lang w:eastAsia="es-MX"/>
        </w:rPr>
      </w:pPr>
    </w:p>
    <w:p w14:paraId="3C338AA2" w14:textId="77777777" w:rsidR="00974401" w:rsidRPr="008424B6" w:rsidRDefault="00974401" w:rsidP="00974401">
      <w:pPr>
        <w:ind w:left="2410"/>
        <w:jc w:val="both"/>
        <w:rPr>
          <w:rFonts w:ascii="Arial" w:hAnsi="Arial" w:cs="Arial"/>
        </w:rPr>
      </w:pPr>
      <w:r w:rsidRPr="008424B6">
        <w:rPr>
          <w:rFonts w:ascii="Arial" w:hAnsi="Arial" w:cs="Arial"/>
        </w:rPr>
        <w:t>Ciudad de México, a</w:t>
      </w:r>
    </w:p>
    <w:p w14:paraId="205A40F8" w14:textId="77777777" w:rsidR="00974401" w:rsidRPr="008424B6" w:rsidRDefault="00974401" w:rsidP="00974401">
      <w:pPr>
        <w:jc w:val="center"/>
        <w:rPr>
          <w:rFonts w:ascii="Arial" w:hAnsi="Arial" w:cs="Arial"/>
        </w:rPr>
      </w:pPr>
    </w:p>
    <w:p w14:paraId="417B34F3" w14:textId="77777777" w:rsidR="00974401" w:rsidRPr="008424B6" w:rsidRDefault="00974401" w:rsidP="00974401">
      <w:pPr>
        <w:jc w:val="center"/>
        <w:rPr>
          <w:rFonts w:ascii="Arial" w:hAnsi="Arial" w:cs="Arial"/>
        </w:rPr>
      </w:pPr>
    </w:p>
    <w:p w14:paraId="2EAB135D" w14:textId="77777777" w:rsidR="00974401" w:rsidRPr="008424B6" w:rsidRDefault="00974401" w:rsidP="00974401">
      <w:pPr>
        <w:jc w:val="center"/>
        <w:rPr>
          <w:rFonts w:ascii="Arial" w:hAnsi="Arial" w:cs="Arial"/>
        </w:rPr>
      </w:pPr>
    </w:p>
    <w:p w14:paraId="74129C64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  <w:r w:rsidRPr="008424B6">
        <w:rPr>
          <w:rFonts w:ascii="Arial" w:hAnsi="Arial" w:cs="Arial"/>
        </w:rPr>
        <w:t>La Secretaria de Economía</w:t>
      </w:r>
    </w:p>
    <w:p w14:paraId="09069EB8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5E03AC05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4DEB17FA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4F03BBB2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5D446864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24659E2B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6971A94A" w14:textId="77777777" w:rsidR="00974401" w:rsidRPr="008424B6" w:rsidRDefault="00974401" w:rsidP="00974401">
      <w:pPr>
        <w:pStyle w:val="Sinespaciado"/>
        <w:jc w:val="center"/>
        <w:rPr>
          <w:rFonts w:ascii="Arial" w:hAnsi="Arial" w:cs="Arial"/>
        </w:rPr>
      </w:pPr>
    </w:p>
    <w:p w14:paraId="48787BA3" w14:textId="77777777" w:rsidR="00974401" w:rsidRPr="00691F13" w:rsidRDefault="00974401" w:rsidP="00974401">
      <w:pPr>
        <w:pStyle w:val="Sinespaciado"/>
        <w:jc w:val="center"/>
        <w:rPr>
          <w:rFonts w:ascii="Arial" w:hAnsi="Arial" w:cs="Arial"/>
        </w:rPr>
      </w:pPr>
      <w:r w:rsidRPr="008424B6">
        <w:rPr>
          <w:rFonts w:ascii="Arial" w:hAnsi="Arial" w:cs="Arial"/>
        </w:rPr>
        <w:t>Graciela Márquez Colín</w:t>
      </w:r>
    </w:p>
    <w:p w14:paraId="512BEA70" w14:textId="77777777" w:rsidR="00974401" w:rsidRPr="00691F13" w:rsidRDefault="00974401" w:rsidP="00974401">
      <w:pPr>
        <w:jc w:val="both"/>
        <w:rPr>
          <w:rFonts w:ascii="Arial" w:hAnsi="Arial" w:cs="Arial"/>
        </w:rPr>
      </w:pPr>
    </w:p>
    <w:p w14:paraId="1CCDBCCE" w14:textId="77777777" w:rsidR="00974401" w:rsidRPr="00691F13" w:rsidRDefault="00974401" w:rsidP="00974401">
      <w:pPr>
        <w:rPr>
          <w:rFonts w:ascii="Arial" w:hAnsi="Arial" w:cs="Arial"/>
        </w:rPr>
      </w:pPr>
    </w:p>
    <w:p w14:paraId="1BD0F6D1" w14:textId="77777777" w:rsidR="00974401" w:rsidRPr="00691F13" w:rsidRDefault="00974401" w:rsidP="00974401">
      <w:pPr>
        <w:rPr>
          <w:rFonts w:ascii="Arial" w:hAnsi="Arial" w:cs="Arial"/>
        </w:rPr>
      </w:pPr>
    </w:p>
    <w:p w14:paraId="3A996A72" w14:textId="77777777" w:rsidR="00974401" w:rsidRPr="00691F13" w:rsidRDefault="00974401" w:rsidP="00974401">
      <w:pPr>
        <w:rPr>
          <w:rFonts w:ascii="Arial" w:hAnsi="Arial" w:cs="Arial"/>
        </w:rPr>
      </w:pPr>
    </w:p>
    <w:p w14:paraId="1A29274E" w14:textId="77777777" w:rsidR="00974401" w:rsidRPr="00974401" w:rsidRDefault="00974401" w:rsidP="00974401">
      <w:pPr>
        <w:shd w:val="clear" w:color="auto" w:fill="FFFFFF"/>
        <w:ind w:firstLine="288"/>
        <w:contextualSpacing/>
        <w:jc w:val="both"/>
        <w:rPr>
          <w:sz w:val="22"/>
          <w:szCs w:val="22"/>
        </w:rPr>
      </w:pPr>
    </w:p>
    <w:sectPr w:rsidR="00974401" w:rsidRPr="00974401" w:rsidSect="00974401">
      <w:headerReference w:type="default" r:id="rId8"/>
      <w:footerReference w:type="default" r:id="rId9"/>
      <w:headerReference w:type="first" r:id="rId10"/>
      <w:pgSz w:w="12240" w:h="15840" w:code="1"/>
      <w:pgMar w:top="1843" w:right="1701" w:bottom="1701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C0EF" w14:textId="77777777" w:rsidR="00CF3477" w:rsidRDefault="00CF3477">
      <w:r>
        <w:separator/>
      </w:r>
    </w:p>
  </w:endnote>
  <w:endnote w:type="continuationSeparator" w:id="0">
    <w:p w14:paraId="57377025" w14:textId="77777777" w:rsidR="00CF3477" w:rsidRDefault="00C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1681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77AB59" w14:textId="62578DF2" w:rsidR="00974401" w:rsidRPr="004943E6" w:rsidRDefault="00974401">
        <w:pPr>
          <w:pStyle w:val="Piedepgina"/>
          <w:jc w:val="center"/>
          <w:rPr>
            <w:rFonts w:ascii="Arial" w:hAnsi="Arial" w:cs="Arial"/>
          </w:rPr>
        </w:pPr>
        <w:r w:rsidRPr="004943E6">
          <w:rPr>
            <w:rFonts w:ascii="Arial" w:hAnsi="Arial" w:cs="Arial"/>
          </w:rPr>
          <w:fldChar w:fldCharType="begin"/>
        </w:r>
        <w:r w:rsidRPr="004943E6">
          <w:rPr>
            <w:rFonts w:ascii="Arial" w:hAnsi="Arial" w:cs="Arial"/>
          </w:rPr>
          <w:instrText>PAGE   \* MERGEFORMAT</w:instrText>
        </w:r>
        <w:r w:rsidRPr="004943E6">
          <w:rPr>
            <w:rFonts w:ascii="Arial" w:hAnsi="Arial" w:cs="Arial"/>
          </w:rPr>
          <w:fldChar w:fldCharType="separate"/>
        </w:r>
        <w:r w:rsidR="00346600">
          <w:rPr>
            <w:rFonts w:ascii="Arial" w:hAnsi="Arial" w:cs="Arial"/>
            <w:noProof/>
          </w:rPr>
          <w:t>11</w:t>
        </w:r>
        <w:r w:rsidRPr="004943E6">
          <w:rPr>
            <w:rFonts w:ascii="Arial" w:hAnsi="Arial" w:cs="Arial"/>
          </w:rPr>
          <w:fldChar w:fldCharType="end"/>
        </w:r>
      </w:p>
    </w:sdtContent>
  </w:sdt>
  <w:p w14:paraId="3CF56606" w14:textId="77777777" w:rsidR="00974401" w:rsidRDefault="00974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E97E" w14:textId="77777777" w:rsidR="00CF3477" w:rsidRDefault="00CF3477">
      <w:r>
        <w:separator/>
      </w:r>
    </w:p>
  </w:footnote>
  <w:footnote w:type="continuationSeparator" w:id="0">
    <w:p w14:paraId="19017AFB" w14:textId="77777777" w:rsidR="00CF3477" w:rsidRDefault="00CF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7D8A" w14:textId="77777777" w:rsidR="00974401" w:rsidRDefault="00974401" w:rsidP="00992667">
    <w:pPr>
      <w:pStyle w:val="Encabezado"/>
      <w:jc w:val="both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05A670EA" wp14:editId="5D4686C4">
          <wp:simplePos x="0" y="0"/>
          <wp:positionH relativeFrom="page">
            <wp:posOffset>1118379</wp:posOffset>
          </wp:positionH>
          <wp:positionV relativeFrom="paragraph">
            <wp:posOffset>105756</wp:posOffset>
          </wp:positionV>
          <wp:extent cx="485486" cy="489527"/>
          <wp:effectExtent l="0" t="0" r="0" b="635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486" cy="48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5ACEB29" wp14:editId="05C67B8F">
          <wp:simplePos x="0" y="0"/>
          <wp:positionH relativeFrom="column">
            <wp:posOffset>635635</wp:posOffset>
          </wp:positionH>
          <wp:positionV relativeFrom="paragraph">
            <wp:posOffset>470535</wp:posOffset>
          </wp:positionV>
          <wp:extent cx="534670" cy="121285"/>
          <wp:effectExtent l="0" t="0" r="0" b="0"/>
          <wp:wrapNone/>
          <wp:docPr id="4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70" cy="12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7ED393" wp14:editId="5E8771D6">
              <wp:simplePos x="0" y="0"/>
              <wp:positionH relativeFrom="page">
                <wp:posOffset>1714500</wp:posOffset>
              </wp:positionH>
              <wp:positionV relativeFrom="paragraph">
                <wp:posOffset>163830</wp:posOffset>
              </wp:positionV>
              <wp:extent cx="339090" cy="207010"/>
              <wp:effectExtent l="0" t="0" r="0" b="0"/>
              <wp:wrapNone/>
              <wp:docPr id="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090" cy="207010"/>
                        <a:chOff x="2192" y="200"/>
                        <a:chExt cx="534" cy="326"/>
                      </a:xfrm>
                    </wpg:grpSpPr>
                    <pic:pic xmlns:pic="http://schemas.openxmlformats.org/drawingml/2006/picture">
                      <pic:nvPicPr>
                        <pic:cNvPr id="9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2" y="200"/>
                          <a:ext cx="229" cy="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9" y="204"/>
                          <a:ext cx="267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67DA657" id="Group 21" o:spid="_x0000_s1026" style="position:absolute;margin-left:135pt;margin-top:12.9pt;width:26.7pt;height:16.3pt;z-index:251660288;mso-position-horizontal-relative:page" coordorigin="2192,200" coordsize="534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2192;top:200;width:22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">
                <v:imagedata r:id="rId5" o:title=""/>
              </v:shape>
              <v:shape id="Picture 22" o:spid="_x0000_s1028" type="#_x0000_t75" style="position:absolute;left:2459;top:204;width:26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">
                <v:imagedata r:id="rId6" o:title=""/>
              </v:shape>
              <w10:wrap anchorx="page"/>
            </v:group>
          </w:pict>
        </mc:Fallback>
      </mc:AlternateContent>
    </w:r>
  </w:p>
  <w:p w14:paraId="253E0BF3" w14:textId="77777777" w:rsidR="00974401" w:rsidRDefault="00974401" w:rsidP="00992667">
    <w:pPr>
      <w:pStyle w:val="Encabezado"/>
      <w:tabs>
        <w:tab w:val="left" w:pos="2547"/>
      </w:tabs>
    </w:pPr>
    <w:r>
      <w:tab/>
    </w:r>
  </w:p>
  <w:p w14:paraId="585D23A5" w14:textId="77777777" w:rsidR="00974401" w:rsidRDefault="009744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5B13" w14:textId="77777777" w:rsidR="00974401" w:rsidRDefault="00974401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63360" behindDoc="0" locked="0" layoutInCell="1" allowOverlap="1" wp14:anchorId="31967961" wp14:editId="74BB481D">
          <wp:simplePos x="0" y="0"/>
          <wp:positionH relativeFrom="page">
            <wp:posOffset>1110206</wp:posOffset>
          </wp:positionH>
          <wp:positionV relativeFrom="paragraph">
            <wp:posOffset>-38389</wp:posOffset>
          </wp:positionV>
          <wp:extent cx="485486" cy="489527"/>
          <wp:effectExtent l="0" t="0" r="0" b="635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486" cy="48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3BA82F" wp14:editId="0DAFEFFD">
              <wp:simplePos x="0" y="0"/>
              <wp:positionH relativeFrom="page">
                <wp:posOffset>1703417</wp:posOffset>
              </wp:positionH>
              <wp:positionV relativeFrom="paragraph">
                <wp:posOffset>64135</wp:posOffset>
              </wp:positionV>
              <wp:extent cx="339090" cy="207010"/>
              <wp:effectExtent l="0" t="0" r="0" b="0"/>
              <wp:wrapNone/>
              <wp:docPr id="10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090" cy="207010"/>
                        <a:chOff x="2192" y="200"/>
                        <a:chExt cx="534" cy="326"/>
                      </a:xfrm>
                    </wpg:grpSpPr>
                    <pic:pic xmlns:pic="http://schemas.openxmlformats.org/drawingml/2006/picture">
                      <pic:nvPicPr>
                        <pic:cNvPr id="1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2" y="200"/>
                          <a:ext cx="229" cy="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9" y="204"/>
                          <a:ext cx="267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6BF361B" id="Group 21" o:spid="_x0000_s1026" style="position:absolute;margin-left:134.15pt;margin-top:5.05pt;width:26.7pt;height:16.3pt;z-index:251665408;mso-position-horizontal-relative:page" coordorigin="2192,200" coordsize="534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2192;top:200;width:22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">
                <v:imagedata r:id="rId4" o:title=""/>
              </v:shape>
              <v:shape id="Picture 22" o:spid="_x0000_s1028" type="#_x0000_t75" style="position:absolute;left:2459;top:204;width:26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">
                <v:imagedata r:id="rId5" o:title=""/>
              </v:shape>
              <w10:wrap anchorx="page"/>
            </v:group>
          </w:pict>
        </mc:Fallback>
      </mc:AlternateContent>
    </w:r>
  </w:p>
  <w:p w14:paraId="6C01B54D" w14:textId="77777777" w:rsidR="00974401" w:rsidRDefault="009744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0D270ADE" wp14:editId="2DD89E3F">
          <wp:simplePos x="0" y="0"/>
          <wp:positionH relativeFrom="column">
            <wp:posOffset>579236</wp:posOffset>
          </wp:positionH>
          <wp:positionV relativeFrom="paragraph">
            <wp:posOffset>191597</wp:posOffset>
          </wp:positionV>
          <wp:extent cx="534670" cy="121285"/>
          <wp:effectExtent l="0" t="0" r="0" b="0"/>
          <wp:wrapNone/>
          <wp:docPr id="4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70" cy="12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4A81"/>
    <w:multiLevelType w:val="hybridMultilevel"/>
    <w:tmpl w:val="A8649A32"/>
    <w:lvl w:ilvl="0" w:tplc="1C4E65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74E0F3A"/>
    <w:multiLevelType w:val="hybridMultilevel"/>
    <w:tmpl w:val="E45C620A"/>
    <w:lvl w:ilvl="0" w:tplc="872293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A53B2"/>
    <w:multiLevelType w:val="hybridMultilevel"/>
    <w:tmpl w:val="CE72838E"/>
    <w:lvl w:ilvl="0" w:tplc="453685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7B06B38"/>
    <w:multiLevelType w:val="hybridMultilevel"/>
    <w:tmpl w:val="25405B20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07"/>
    <w:rsid w:val="000057C4"/>
    <w:rsid w:val="000069C5"/>
    <w:rsid w:val="00012F76"/>
    <w:rsid w:val="000161EB"/>
    <w:rsid w:val="00020D7F"/>
    <w:rsid w:val="000245D3"/>
    <w:rsid w:val="00027073"/>
    <w:rsid w:val="00027123"/>
    <w:rsid w:val="00034A3C"/>
    <w:rsid w:val="0004244C"/>
    <w:rsid w:val="0004509F"/>
    <w:rsid w:val="000517ED"/>
    <w:rsid w:val="00056282"/>
    <w:rsid w:val="0006277A"/>
    <w:rsid w:val="00072F7F"/>
    <w:rsid w:val="00083B96"/>
    <w:rsid w:val="00084052"/>
    <w:rsid w:val="00085CFF"/>
    <w:rsid w:val="00090755"/>
    <w:rsid w:val="000934C4"/>
    <w:rsid w:val="000B42E5"/>
    <w:rsid w:val="000C50D4"/>
    <w:rsid w:val="000C5DC6"/>
    <w:rsid w:val="000C7666"/>
    <w:rsid w:val="000F0FA3"/>
    <w:rsid w:val="000F706A"/>
    <w:rsid w:val="000F788A"/>
    <w:rsid w:val="0010703B"/>
    <w:rsid w:val="00123B7D"/>
    <w:rsid w:val="001303A7"/>
    <w:rsid w:val="00140A5C"/>
    <w:rsid w:val="00147360"/>
    <w:rsid w:val="00151580"/>
    <w:rsid w:val="00155A7E"/>
    <w:rsid w:val="001574EC"/>
    <w:rsid w:val="00157BF9"/>
    <w:rsid w:val="001642EF"/>
    <w:rsid w:val="00167E55"/>
    <w:rsid w:val="00173C3E"/>
    <w:rsid w:val="00176B02"/>
    <w:rsid w:val="00190BAC"/>
    <w:rsid w:val="001919D6"/>
    <w:rsid w:val="001B6981"/>
    <w:rsid w:val="001C0F3A"/>
    <w:rsid w:val="001D759D"/>
    <w:rsid w:val="001E2277"/>
    <w:rsid w:val="001E6CB1"/>
    <w:rsid w:val="001F6325"/>
    <w:rsid w:val="001F7ABE"/>
    <w:rsid w:val="0021762A"/>
    <w:rsid w:val="002214D8"/>
    <w:rsid w:val="00234905"/>
    <w:rsid w:val="00244AF5"/>
    <w:rsid w:val="0025082C"/>
    <w:rsid w:val="00254324"/>
    <w:rsid w:val="00255299"/>
    <w:rsid w:val="00256F16"/>
    <w:rsid w:val="002744B6"/>
    <w:rsid w:val="00276DF5"/>
    <w:rsid w:val="00284250"/>
    <w:rsid w:val="00285BE5"/>
    <w:rsid w:val="00286668"/>
    <w:rsid w:val="00290296"/>
    <w:rsid w:val="00291CA7"/>
    <w:rsid w:val="002940B6"/>
    <w:rsid w:val="002B00EE"/>
    <w:rsid w:val="002B127D"/>
    <w:rsid w:val="002B3857"/>
    <w:rsid w:val="002C1B76"/>
    <w:rsid w:val="002C3644"/>
    <w:rsid w:val="002D787E"/>
    <w:rsid w:val="002E0094"/>
    <w:rsid w:val="002E0645"/>
    <w:rsid w:val="002F0E57"/>
    <w:rsid w:val="002F6279"/>
    <w:rsid w:val="002F666A"/>
    <w:rsid w:val="0030321A"/>
    <w:rsid w:val="00323864"/>
    <w:rsid w:val="0032394E"/>
    <w:rsid w:val="00326B04"/>
    <w:rsid w:val="00330780"/>
    <w:rsid w:val="003340A4"/>
    <w:rsid w:val="00346600"/>
    <w:rsid w:val="00352D97"/>
    <w:rsid w:val="00356D28"/>
    <w:rsid w:val="00357A6B"/>
    <w:rsid w:val="00363D07"/>
    <w:rsid w:val="0036410B"/>
    <w:rsid w:val="003656C6"/>
    <w:rsid w:val="00373DFE"/>
    <w:rsid w:val="003912FB"/>
    <w:rsid w:val="0039202C"/>
    <w:rsid w:val="003A720C"/>
    <w:rsid w:val="003B2887"/>
    <w:rsid w:val="003B7F4E"/>
    <w:rsid w:val="003C5EB9"/>
    <w:rsid w:val="003E5783"/>
    <w:rsid w:val="003E5971"/>
    <w:rsid w:val="003E7472"/>
    <w:rsid w:val="00410B8C"/>
    <w:rsid w:val="00412ED6"/>
    <w:rsid w:val="004142D5"/>
    <w:rsid w:val="004257B5"/>
    <w:rsid w:val="0042779F"/>
    <w:rsid w:val="00430D55"/>
    <w:rsid w:val="004352A9"/>
    <w:rsid w:val="00440349"/>
    <w:rsid w:val="00452506"/>
    <w:rsid w:val="004608EB"/>
    <w:rsid w:val="00464085"/>
    <w:rsid w:val="004652D9"/>
    <w:rsid w:val="00465E99"/>
    <w:rsid w:val="004943E6"/>
    <w:rsid w:val="004A6D6B"/>
    <w:rsid w:val="004A7426"/>
    <w:rsid w:val="004B2F2C"/>
    <w:rsid w:val="004B384F"/>
    <w:rsid w:val="004C49C6"/>
    <w:rsid w:val="004D4A72"/>
    <w:rsid w:val="004E16BE"/>
    <w:rsid w:val="004E6B1F"/>
    <w:rsid w:val="004E7148"/>
    <w:rsid w:val="004E77FB"/>
    <w:rsid w:val="004E7904"/>
    <w:rsid w:val="004F3FE9"/>
    <w:rsid w:val="004F4D51"/>
    <w:rsid w:val="00507073"/>
    <w:rsid w:val="00510C85"/>
    <w:rsid w:val="00512CDB"/>
    <w:rsid w:val="00514993"/>
    <w:rsid w:val="0051675B"/>
    <w:rsid w:val="00534337"/>
    <w:rsid w:val="0053581A"/>
    <w:rsid w:val="00535845"/>
    <w:rsid w:val="005438AB"/>
    <w:rsid w:val="0054733E"/>
    <w:rsid w:val="0055349C"/>
    <w:rsid w:val="00587897"/>
    <w:rsid w:val="005923B3"/>
    <w:rsid w:val="005A0268"/>
    <w:rsid w:val="005B167E"/>
    <w:rsid w:val="005B624E"/>
    <w:rsid w:val="005C4019"/>
    <w:rsid w:val="005C75DE"/>
    <w:rsid w:val="005C764F"/>
    <w:rsid w:val="005D7D14"/>
    <w:rsid w:val="005E206A"/>
    <w:rsid w:val="005E5B4E"/>
    <w:rsid w:val="005F278C"/>
    <w:rsid w:val="006231E1"/>
    <w:rsid w:val="00627360"/>
    <w:rsid w:val="00627D1A"/>
    <w:rsid w:val="0063495E"/>
    <w:rsid w:val="00634C63"/>
    <w:rsid w:val="006363FC"/>
    <w:rsid w:val="00647542"/>
    <w:rsid w:val="00656CFF"/>
    <w:rsid w:val="006711A8"/>
    <w:rsid w:val="00674139"/>
    <w:rsid w:val="00681BC5"/>
    <w:rsid w:val="006853FC"/>
    <w:rsid w:val="006866ED"/>
    <w:rsid w:val="00691836"/>
    <w:rsid w:val="0069357B"/>
    <w:rsid w:val="00697B7C"/>
    <w:rsid w:val="006A3A99"/>
    <w:rsid w:val="006B7539"/>
    <w:rsid w:val="006C0380"/>
    <w:rsid w:val="006C7135"/>
    <w:rsid w:val="006D2E40"/>
    <w:rsid w:val="006E135D"/>
    <w:rsid w:val="006E2487"/>
    <w:rsid w:val="006E4407"/>
    <w:rsid w:val="006E4EE3"/>
    <w:rsid w:val="006E66EC"/>
    <w:rsid w:val="006F4201"/>
    <w:rsid w:val="006F4FD7"/>
    <w:rsid w:val="0070415B"/>
    <w:rsid w:val="00705974"/>
    <w:rsid w:val="00717A6D"/>
    <w:rsid w:val="00724703"/>
    <w:rsid w:val="00735E9D"/>
    <w:rsid w:val="00737435"/>
    <w:rsid w:val="00741ABD"/>
    <w:rsid w:val="00746FC8"/>
    <w:rsid w:val="007517BC"/>
    <w:rsid w:val="007578BE"/>
    <w:rsid w:val="0077404D"/>
    <w:rsid w:val="00797AB4"/>
    <w:rsid w:val="007A0956"/>
    <w:rsid w:val="007A4CB3"/>
    <w:rsid w:val="007D00B8"/>
    <w:rsid w:val="007D286A"/>
    <w:rsid w:val="007D78C5"/>
    <w:rsid w:val="007E2C73"/>
    <w:rsid w:val="007E5970"/>
    <w:rsid w:val="00822630"/>
    <w:rsid w:val="00825649"/>
    <w:rsid w:val="00827CE1"/>
    <w:rsid w:val="0083080F"/>
    <w:rsid w:val="00841DD5"/>
    <w:rsid w:val="008422D4"/>
    <w:rsid w:val="008502FF"/>
    <w:rsid w:val="00864237"/>
    <w:rsid w:val="008651ED"/>
    <w:rsid w:val="00866A97"/>
    <w:rsid w:val="00875A59"/>
    <w:rsid w:val="0087759D"/>
    <w:rsid w:val="0089061A"/>
    <w:rsid w:val="0089558E"/>
    <w:rsid w:val="008958A0"/>
    <w:rsid w:val="008A23F3"/>
    <w:rsid w:val="008A7BF8"/>
    <w:rsid w:val="008B0083"/>
    <w:rsid w:val="008B5BD2"/>
    <w:rsid w:val="008C22DB"/>
    <w:rsid w:val="008D17A5"/>
    <w:rsid w:val="008E35DF"/>
    <w:rsid w:val="008F357A"/>
    <w:rsid w:val="008F7A18"/>
    <w:rsid w:val="00913D77"/>
    <w:rsid w:val="009167A0"/>
    <w:rsid w:val="009200A2"/>
    <w:rsid w:val="009329FB"/>
    <w:rsid w:val="00945F33"/>
    <w:rsid w:val="00956666"/>
    <w:rsid w:val="0097317F"/>
    <w:rsid w:val="00974401"/>
    <w:rsid w:val="00976774"/>
    <w:rsid w:val="009918AC"/>
    <w:rsid w:val="00992667"/>
    <w:rsid w:val="009932CA"/>
    <w:rsid w:val="009A7654"/>
    <w:rsid w:val="009C02DA"/>
    <w:rsid w:val="009D3FFB"/>
    <w:rsid w:val="009D6604"/>
    <w:rsid w:val="009D66CB"/>
    <w:rsid w:val="009E1AC6"/>
    <w:rsid w:val="009E3B35"/>
    <w:rsid w:val="009E63EA"/>
    <w:rsid w:val="009F050F"/>
    <w:rsid w:val="00A0351F"/>
    <w:rsid w:val="00A102AA"/>
    <w:rsid w:val="00A10336"/>
    <w:rsid w:val="00A31E9B"/>
    <w:rsid w:val="00A333DC"/>
    <w:rsid w:val="00A53D31"/>
    <w:rsid w:val="00A73F8A"/>
    <w:rsid w:val="00A74D5E"/>
    <w:rsid w:val="00A76032"/>
    <w:rsid w:val="00A8099D"/>
    <w:rsid w:val="00A81D62"/>
    <w:rsid w:val="00A84922"/>
    <w:rsid w:val="00A90C04"/>
    <w:rsid w:val="00AA362F"/>
    <w:rsid w:val="00AA645E"/>
    <w:rsid w:val="00AB2AD2"/>
    <w:rsid w:val="00AD54E0"/>
    <w:rsid w:val="00AE6305"/>
    <w:rsid w:val="00B00632"/>
    <w:rsid w:val="00B1255F"/>
    <w:rsid w:val="00B14C29"/>
    <w:rsid w:val="00B170E8"/>
    <w:rsid w:val="00B3769E"/>
    <w:rsid w:val="00B41C00"/>
    <w:rsid w:val="00B57D62"/>
    <w:rsid w:val="00B63531"/>
    <w:rsid w:val="00B7008A"/>
    <w:rsid w:val="00B717B3"/>
    <w:rsid w:val="00B81E73"/>
    <w:rsid w:val="00B84819"/>
    <w:rsid w:val="00B91EE6"/>
    <w:rsid w:val="00BE66E5"/>
    <w:rsid w:val="00BE6D74"/>
    <w:rsid w:val="00BF091C"/>
    <w:rsid w:val="00BF781B"/>
    <w:rsid w:val="00C01B5D"/>
    <w:rsid w:val="00C163F4"/>
    <w:rsid w:val="00C24D51"/>
    <w:rsid w:val="00C258E4"/>
    <w:rsid w:val="00C461BF"/>
    <w:rsid w:val="00C47B30"/>
    <w:rsid w:val="00C54322"/>
    <w:rsid w:val="00C65620"/>
    <w:rsid w:val="00C674B9"/>
    <w:rsid w:val="00C70050"/>
    <w:rsid w:val="00C70ECE"/>
    <w:rsid w:val="00C72F0B"/>
    <w:rsid w:val="00C8465E"/>
    <w:rsid w:val="00C87143"/>
    <w:rsid w:val="00C9060E"/>
    <w:rsid w:val="00C96371"/>
    <w:rsid w:val="00CA092D"/>
    <w:rsid w:val="00CA10E8"/>
    <w:rsid w:val="00CA2FDC"/>
    <w:rsid w:val="00CA3BBA"/>
    <w:rsid w:val="00CB5DF1"/>
    <w:rsid w:val="00CC0602"/>
    <w:rsid w:val="00CC39A6"/>
    <w:rsid w:val="00CC71C5"/>
    <w:rsid w:val="00CD6850"/>
    <w:rsid w:val="00CD694A"/>
    <w:rsid w:val="00CE2143"/>
    <w:rsid w:val="00CE67E8"/>
    <w:rsid w:val="00CE7C79"/>
    <w:rsid w:val="00CF07BE"/>
    <w:rsid w:val="00CF3477"/>
    <w:rsid w:val="00CF6193"/>
    <w:rsid w:val="00D04785"/>
    <w:rsid w:val="00D1306A"/>
    <w:rsid w:val="00D13B61"/>
    <w:rsid w:val="00D27551"/>
    <w:rsid w:val="00D32C7D"/>
    <w:rsid w:val="00D34588"/>
    <w:rsid w:val="00D3478E"/>
    <w:rsid w:val="00D42016"/>
    <w:rsid w:val="00D42FD2"/>
    <w:rsid w:val="00D448DA"/>
    <w:rsid w:val="00D448F9"/>
    <w:rsid w:val="00D540EA"/>
    <w:rsid w:val="00D54C2F"/>
    <w:rsid w:val="00D56E1A"/>
    <w:rsid w:val="00D64953"/>
    <w:rsid w:val="00D659BC"/>
    <w:rsid w:val="00D87572"/>
    <w:rsid w:val="00DA4DA7"/>
    <w:rsid w:val="00DC58B3"/>
    <w:rsid w:val="00DD356E"/>
    <w:rsid w:val="00DE4C7A"/>
    <w:rsid w:val="00DF030C"/>
    <w:rsid w:val="00DF07E0"/>
    <w:rsid w:val="00DF4491"/>
    <w:rsid w:val="00DF5CAE"/>
    <w:rsid w:val="00DF6036"/>
    <w:rsid w:val="00DF6BC3"/>
    <w:rsid w:val="00E007B7"/>
    <w:rsid w:val="00E21F6A"/>
    <w:rsid w:val="00E2247C"/>
    <w:rsid w:val="00E30523"/>
    <w:rsid w:val="00E30B22"/>
    <w:rsid w:val="00E33830"/>
    <w:rsid w:val="00E3798A"/>
    <w:rsid w:val="00E459ED"/>
    <w:rsid w:val="00E460F3"/>
    <w:rsid w:val="00E50177"/>
    <w:rsid w:val="00E5027B"/>
    <w:rsid w:val="00E5626A"/>
    <w:rsid w:val="00E61BA1"/>
    <w:rsid w:val="00E641C5"/>
    <w:rsid w:val="00E64988"/>
    <w:rsid w:val="00E755B7"/>
    <w:rsid w:val="00E772E5"/>
    <w:rsid w:val="00E77851"/>
    <w:rsid w:val="00E82585"/>
    <w:rsid w:val="00E82B0D"/>
    <w:rsid w:val="00E91458"/>
    <w:rsid w:val="00EA0ABD"/>
    <w:rsid w:val="00EA1197"/>
    <w:rsid w:val="00EA46E7"/>
    <w:rsid w:val="00EB3C2A"/>
    <w:rsid w:val="00EC2C40"/>
    <w:rsid w:val="00EC3E4C"/>
    <w:rsid w:val="00EE6353"/>
    <w:rsid w:val="00EF1962"/>
    <w:rsid w:val="00EF226B"/>
    <w:rsid w:val="00F00937"/>
    <w:rsid w:val="00F00C07"/>
    <w:rsid w:val="00F22399"/>
    <w:rsid w:val="00F26A15"/>
    <w:rsid w:val="00F315A9"/>
    <w:rsid w:val="00F315C9"/>
    <w:rsid w:val="00F42E31"/>
    <w:rsid w:val="00F51E5E"/>
    <w:rsid w:val="00F54237"/>
    <w:rsid w:val="00F61171"/>
    <w:rsid w:val="00F64B32"/>
    <w:rsid w:val="00F70C4B"/>
    <w:rsid w:val="00F808C0"/>
    <w:rsid w:val="00F83712"/>
    <w:rsid w:val="00F83D61"/>
    <w:rsid w:val="00F85CA3"/>
    <w:rsid w:val="00F975B7"/>
    <w:rsid w:val="00FA4FCB"/>
    <w:rsid w:val="00FA672D"/>
    <w:rsid w:val="00FC03A2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A847C"/>
  <w15:chartTrackingRefBased/>
  <w15:docId w15:val="{874FA856-B78F-4F83-AAA9-8E33905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styleId="Prrafodelista">
    <w:name w:val="List Paragraph"/>
    <w:basedOn w:val="Normal"/>
    <w:qFormat/>
    <w:rsid w:val="00F00C07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0">
    <w:name w:val="texto"/>
    <w:basedOn w:val="Normal"/>
    <w:rsid w:val="00F00C07"/>
    <w:pPr>
      <w:spacing w:after="101" w:line="216" w:lineRule="exact"/>
      <w:ind w:firstLine="288"/>
      <w:jc w:val="both"/>
    </w:pPr>
    <w:rPr>
      <w:rFonts w:ascii="ArAal" w:hAnsi="ArAal" w:cs="ArAal"/>
      <w:sz w:val="22"/>
      <w:szCs w:val="20"/>
      <w:lang w:val="es-MX" w:eastAsia="es-MX"/>
    </w:rPr>
  </w:style>
  <w:style w:type="paragraph" w:customStyle="1" w:styleId="textoCar0">
    <w:name w:val="texto Car"/>
    <w:basedOn w:val="Normal"/>
    <w:rsid w:val="00F00C07"/>
    <w:pPr>
      <w:spacing w:after="101" w:line="216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rsid w:val="000C5D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0C5DC6"/>
    <w:rPr>
      <w:rFonts w:ascii="Segoe UI" w:hAnsi="Segoe UI" w:cs="Segoe UI"/>
      <w:sz w:val="18"/>
      <w:szCs w:val="18"/>
      <w:lang w:val="es-ES" w:eastAsia="es-ES"/>
    </w:rPr>
  </w:style>
  <w:style w:type="character" w:customStyle="1" w:styleId="ya-q-full-text1">
    <w:name w:val="ya-q-full-text1"/>
    <w:rsid w:val="00DF07E0"/>
    <w:rPr>
      <w:color w:val="26282A"/>
      <w:sz w:val="23"/>
      <w:szCs w:val="23"/>
    </w:rPr>
  </w:style>
  <w:style w:type="paragraph" w:styleId="Textocomentario">
    <w:name w:val="annotation text"/>
    <w:basedOn w:val="Normal"/>
    <w:link w:val="TextocomentarioCar"/>
    <w:rsid w:val="00C674B9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rsid w:val="00C674B9"/>
    <w:rPr>
      <w:rFonts w:ascii="TiAes New Roman" w:hAnsi="TiAes New Roman" w:cs="TiAes New Roman"/>
      <w:lang w:val="es-ES"/>
    </w:rPr>
  </w:style>
  <w:style w:type="paragraph" w:styleId="Textonotapie">
    <w:name w:val="footnote text"/>
    <w:basedOn w:val="Normal"/>
    <w:link w:val="TextonotapieCar"/>
    <w:rsid w:val="00C674B9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notapieCar">
    <w:name w:val="Texto nota pie Car"/>
    <w:link w:val="Textonotapie"/>
    <w:rsid w:val="00C674B9"/>
    <w:rPr>
      <w:rFonts w:ascii="TiAes New Roman" w:hAnsi="TiAes New Roman" w:cs="TiAes New Roman"/>
      <w:lang w:val="es-ES"/>
    </w:rPr>
  </w:style>
  <w:style w:type="paragraph" w:customStyle="1" w:styleId="Textodeglobo1">
    <w:name w:val="Texto de globo1"/>
    <w:basedOn w:val="Normal"/>
    <w:rsid w:val="00C674B9"/>
    <w:rPr>
      <w:rFonts w:ascii="TaAoma" w:hAnsi="TaAoma" w:cs="TaA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C674B9"/>
    <w:rPr>
      <w:b/>
    </w:rPr>
  </w:style>
  <w:style w:type="paragraph" w:styleId="Sinespaciado">
    <w:name w:val="No Spacing"/>
    <w:link w:val="SinespaciadoCar"/>
    <w:qFormat/>
    <w:rsid w:val="00C674B9"/>
    <w:rPr>
      <w:rFonts w:ascii="CaAibri" w:hAnsi="CaAibri" w:cs="CaAibri"/>
      <w:sz w:val="22"/>
    </w:rPr>
  </w:style>
  <w:style w:type="paragraph" w:customStyle="1" w:styleId="Default">
    <w:name w:val="Default"/>
    <w:rsid w:val="00C674B9"/>
    <w:rPr>
      <w:rFonts w:ascii="ArAal" w:hAnsi="ArAal" w:cs="ArAal"/>
      <w:color w:val="000000"/>
      <w:sz w:val="24"/>
    </w:rPr>
  </w:style>
  <w:style w:type="paragraph" w:styleId="NormalWeb">
    <w:name w:val="Normal (Web)"/>
    <w:basedOn w:val="Normal"/>
    <w:rsid w:val="00C674B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Revisin">
    <w:name w:val="Revision"/>
    <w:rsid w:val="00C674B9"/>
    <w:rPr>
      <w:rFonts w:ascii="TiAes New Roman" w:hAnsi="TiAes New Roman" w:cs="TiAes New Roman"/>
      <w:sz w:val="24"/>
      <w:lang w:val="es-ES"/>
    </w:rPr>
  </w:style>
  <w:style w:type="paragraph" w:customStyle="1" w:styleId="Sumario">
    <w:name w:val="Sumario"/>
    <w:basedOn w:val="Normal"/>
    <w:rsid w:val="00F61171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61171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styleId="Refdecomentario">
    <w:name w:val="annotation reference"/>
    <w:uiPriority w:val="99"/>
    <w:semiHidden/>
    <w:unhideWhenUsed/>
    <w:rsid w:val="002D78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87E"/>
    <w:rPr>
      <w:rFonts w:ascii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D787E"/>
    <w:rPr>
      <w:rFonts w:ascii="TiAes New Roman" w:hAnsi="TiAes New Roman" w:cs="TiA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2F0E57"/>
    <w:rPr>
      <w:color w:val="0000FF"/>
      <w:u w:val="single"/>
    </w:rPr>
  </w:style>
  <w:style w:type="character" w:customStyle="1" w:styleId="control-label">
    <w:name w:val="control-label"/>
    <w:basedOn w:val="Fuentedeprrafopredeter"/>
    <w:rsid w:val="00A74D5E"/>
  </w:style>
  <w:style w:type="character" w:customStyle="1" w:styleId="EncabezadoCar">
    <w:name w:val="Encabezado Car"/>
    <w:basedOn w:val="Fuentedeprrafopredeter"/>
    <w:link w:val="Encabezado"/>
    <w:uiPriority w:val="99"/>
    <w:rsid w:val="00992667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rsid w:val="0004509F"/>
    <w:rPr>
      <w:rFonts w:ascii="CaAibri" w:hAnsi="CaAibri" w:cs="CaAibr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509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deza\Desktop\MODELO%20Al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0309-012C-4D8A-BBF8-5AF22ECF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Alma</Template>
  <TotalTime>0</TotalTime>
  <Pages>12</Pages>
  <Words>3027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Nora Cardenas</cp:lastModifiedBy>
  <cp:revision>2</cp:revision>
  <cp:lastPrinted>2019-05-07T15:31:00Z</cp:lastPrinted>
  <dcterms:created xsi:type="dcterms:W3CDTF">2019-10-10T19:52:00Z</dcterms:created>
  <dcterms:modified xsi:type="dcterms:W3CDTF">2019-10-10T19:52:00Z</dcterms:modified>
</cp:coreProperties>
</file>