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A028" w14:textId="77777777" w:rsidR="00325FAC" w:rsidRPr="0041082D" w:rsidRDefault="004A287A" w:rsidP="0041082D">
      <w:pPr>
        <w:spacing w:line="240" w:lineRule="auto"/>
        <w:jc w:val="center"/>
        <w:rPr>
          <w:b/>
          <w:u w:val="single"/>
        </w:rPr>
      </w:pPr>
      <w:bookmarkStart w:id="0" w:name="_GoBack"/>
      <w:bookmarkEnd w:id="0"/>
      <w:r w:rsidRPr="0041082D">
        <w:rPr>
          <w:b/>
          <w:u w:val="single"/>
        </w:rPr>
        <w:t xml:space="preserve">EXPANDED FAMILY AND MEDICAL </w:t>
      </w:r>
      <w:r w:rsidR="00325FAC" w:rsidRPr="0041082D">
        <w:rPr>
          <w:b/>
          <w:u w:val="single"/>
        </w:rPr>
        <w:t xml:space="preserve">LEAVE </w:t>
      </w:r>
      <w:r w:rsidR="0041082D" w:rsidRPr="0041082D">
        <w:rPr>
          <w:b/>
          <w:u w:val="single"/>
        </w:rPr>
        <w:t>POLICY</w:t>
      </w:r>
    </w:p>
    <w:p w14:paraId="70900F98" w14:textId="77777777" w:rsidR="0014678B" w:rsidRDefault="0014678B" w:rsidP="0041082D">
      <w:pPr>
        <w:spacing w:line="240" w:lineRule="auto"/>
        <w:rPr>
          <w:b/>
        </w:rPr>
      </w:pPr>
    </w:p>
    <w:p w14:paraId="61B33E2A" w14:textId="77777777" w:rsidR="0041082D" w:rsidRDefault="0041082D" w:rsidP="0041082D">
      <w:pPr>
        <w:spacing w:line="240" w:lineRule="auto"/>
      </w:pPr>
      <w:r>
        <w:t xml:space="preserve">This policy </w:t>
      </w:r>
      <w:r w:rsidR="00927268">
        <w:t>is a supplement to</w:t>
      </w:r>
      <w:r>
        <w:t xml:space="preserve"> [employer]’s FMLA Policy, and is intended to comply with the Emergency Family and Medical Leave Expansion Act (EFMLEA) contained within the Families First Coronavirus Response Act (FFCRA</w:t>
      </w:r>
      <w:r w:rsidR="000E7877">
        <w:t xml:space="preserve">).  This policy is also intended to comply with </w:t>
      </w:r>
      <w:r>
        <w:t>applicable regulations</w:t>
      </w:r>
      <w:r w:rsidR="00927268">
        <w:t xml:space="preserve"> to the EFMLEA</w:t>
      </w:r>
      <w:r>
        <w:t xml:space="preserve"> set forth at 29 CFR §826.10 </w:t>
      </w:r>
      <w:r w:rsidRPr="0041082D">
        <w:rPr>
          <w:i/>
        </w:rPr>
        <w:t>et seq</w:t>
      </w:r>
      <w:r>
        <w:t>.</w:t>
      </w:r>
    </w:p>
    <w:p w14:paraId="3464CC84" w14:textId="77777777" w:rsidR="0041082D" w:rsidRDefault="0041082D" w:rsidP="0041082D">
      <w:pPr>
        <w:spacing w:line="240" w:lineRule="auto"/>
      </w:pPr>
    </w:p>
    <w:p w14:paraId="1A06B614" w14:textId="77777777" w:rsidR="0041082D" w:rsidRPr="00FF3B87" w:rsidRDefault="0041082D" w:rsidP="0041082D">
      <w:pPr>
        <w:spacing w:line="240" w:lineRule="auto"/>
        <w:rPr>
          <w:b/>
          <w:u w:val="single"/>
        </w:rPr>
      </w:pPr>
      <w:r w:rsidRPr="00FF3B87">
        <w:rPr>
          <w:b/>
          <w:u w:val="single"/>
        </w:rPr>
        <w:t>Effective Period</w:t>
      </w:r>
    </w:p>
    <w:p w14:paraId="0E83D3BE" w14:textId="77777777" w:rsidR="0041082D" w:rsidRDefault="0041082D" w:rsidP="0041082D">
      <w:pPr>
        <w:spacing w:line="240" w:lineRule="auto"/>
        <w:rPr>
          <w:b/>
        </w:rPr>
      </w:pPr>
    </w:p>
    <w:p w14:paraId="725ED585" w14:textId="77777777" w:rsidR="0041082D" w:rsidRPr="0041082D" w:rsidRDefault="0041082D" w:rsidP="0041082D">
      <w:pPr>
        <w:spacing w:line="240" w:lineRule="auto"/>
      </w:pPr>
      <w:r>
        <w:t>This Expanded Family and Medical Leave Policy is effective from April 1, 2020 through December 31, 2020.</w:t>
      </w:r>
    </w:p>
    <w:p w14:paraId="3B3243AE" w14:textId="77777777" w:rsidR="0041082D" w:rsidRPr="0041082D" w:rsidRDefault="0041082D" w:rsidP="0041082D">
      <w:pPr>
        <w:spacing w:line="240" w:lineRule="auto"/>
      </w:pPr>
    </w:p>
    <w:p w14:paraId="125B4780" w14:textId="77777777" w:rsidR="0041082D" w:rsidRPr="00FF3B87" w:rsidRDefault="0041082D" w:rsidP="0041082D">
      <w:pPr>
        <w:rPr>
          <w:b/>
          <w:u w:val="single"/>
        </w:rPr>
      </w:pPr>
      <w:r w:rsidRPr="00FF3B87">
        <w:rPr>
          <w:b/>
          <w:u w:val="single"/>
        </w:rPr>
        <w:t>Explanation of EFML Benefits</w:t>
      </w:r>
    </w:p>
    <w:p w14:paraId="52D2B272" w14:textId="77777777" w:rsidR="00EA24BF" w:rsidRPr="00EA24BF" w:rsidRDefault="00EA24BF" w:rsidP="00EA24BF">
      <w:pPr>
        <w:spacing w:line="240" w:lineRule="auto"/>
      </w:pPr>
      <w:r w:rsidRPr="00EA24BF">
        <w:t>The Families First Coronavirus Response Act requires certain employers</w:t>
      </w:r>
      <w:r w:rsidR="0041082D">
        <w:t>, including, but not limited to local public entities,</w:t>
      </w:r>
      <w:r w:rsidRPr="00EA24BF">
        <w:t xml:space="preserve"> to provide their </w:t>
      </w:r>
      <w:r w:rsidR="0041082D">
        <w:t xml:space="preserve">qualified </w:t>
      </w:r>
      <w:r w:rsidRPr="00EA24BF">
        <w:t>employees with</w:t>
      </w:r>
      <w:r w:rsidR="0041082D">
        <w:t xml:space="preserve"> up to </w:t>
      </w:r>
      <w:r w:rsidR="00927268">
        <w:t>12</w:t>
      </w:r>
      <w:r w:rsidR="0041082D">
        <w:t xml:space="preserve"> weeks of</w:t>
      </w:r>
      <w:r w:rsidRPr="00EA24BF">
        <w:t xml:space="preserve"> Expanded Family and Medical Leave (EFML).</w:t>
      </w:r>
    </w:p>
    <w:p w14:paraId="78149B0C" w14:textId="77777777" w:rsidR="00EA24BF" w:rsidRPr="00EA24BF" w:rsidRDefault="00EA24BF" w:rsidP="00EA24BF">
      <w:pPr>
        <w:spacing w:line="240" w:lineRule="auto"/>
      </w:pPr>
    </w:p>
    <w:p w14:paraId="498D212E" w14:textId="77777777" w:rsidR="00E608AB" w:rsidRPr="00FF3B87" w:rsidRDefault="0041082D" w:rsidP="00EA24BF">
      <w:pPr>
        <w:spacing w:line="240" w:lineRule="auto"/>
        <w:rPr>
          <w:b/>
          <w:u w:val="single"/>
        </w:rPr>
      </w:pPr>
      <w:r w:rsidRPr="00FF3B87">
        <w:rPr>
          <w:b/>
          <w:u w:val="single"/>
        </w:rPr>
        <w:t>Eligible Employees</w:t>
      </w:r>
    </w:p>
    <w:p w14:paraId="463ECB6F" w14:textId="77777777" w:rsidR="0041082D" w:rsidRPr="0041082D" w:rsidRDefault="0041082D" w:rsidP="00EA24BF">
      <w:pPr>
        <w:spacing w:line="240" w:lineRule="auto"/>
        <w:rPr>
          <w:b/>
        </w:rPr>
      </w:pPr>
    </w:p>
    <w:p w14:paraId="720F467A" w14:textId="77777777" w:rsidR="00EA24BF" w:rsidRDefault="00EA24BF" w:rsidP="00EA24BF">
      <w:pPr>
        <w:spacing w:line="240" w:lineRule="auto"/>
      </w:pPr>
      <w:r w:rsidRPr="00EA24BF">
        <w:t xml:space="preserve">To qualify for </w:t>
      </w:r>
      <w:r w:rsidR="000E7877">
        <w:t>EFML</w:t>
      </w:r>
      <w:r w:rsidRPr="00EA24BF">
        <w:t>, an employee must have been employed for 30 or more calendar days.</w:t>
      </w:r>
    </w:p>
    <w:p w14:paraId="4F0F9867" w14:textId="77777777" w:rsidR="000B2B8B" w:rsidRDefault="000B2B8B" w:rsidP="000B2B8B">
      <w:pPr>
        <w:spacing w:line="240" w:lineRule="auto"/>
        <w:rPr>
          <w:b/>
          <w:u w:val="single"/>
        </w:rPr>
      </w:pPr>
    </w:p>
    <w:p w14:paraId="2456786B" w14:textId="77777777" w:rsidR="000B2B8B" w:rsidRDefault="000B2B8B" w:rsidP="000B2B8B">
      <w:pPr>
        <w:spacing w:line="240" w:lineRule="auto"/>
      </w:pPr>
      <w:r>
        <w:t xml:space="preserve">An employee is </w:t>
      </w:r>
      <w:r w:rsidRPr="0037359F">
        <w:t xml:space="preserve">considered to have been employed for at least 30 calendar days if </w:t>
      </w:r>
      <w:r>
        <w:t>the employee was on the</w:t>
      </w:r>
      <w:r w:rsidRPr="0037359F">
        <w:t xml:space="preserve"> payroll for the 30 calendar days immediately prior to the </w:t>
      </w:r>
      <w:r>
        <w:t xml:space="preserve">first </w:t>
      </w:r>
      <w:r w:rsidRPr="0037359F">
        <w:t xml:space="preserve">day </w:t>
      </w:r>
      <w:r>
        <w:t>of EFML</w:t>
      </w:r>
      <w:r w:rsidRPr="0037359F">
        <w:t xml:space="preserve">. </w:t>
      </w:r>
    </w:p>
    <w:p w14:paraId="245661E9" w14:textId="77777777" w:rsidR="000B2B8B" w:rsidRPr="0037359F" w:rsidRDefault="000B2B8B" w:rsidP="000B2B8B">
      <w:pPr>
        <w:spacing w:line="240" w:lineRule="auto"/>
      </w:pPr>
    </w:p>
    <w:p w14:paraId="20F6F499" w14:textId="77777777" w:rsidR="000B2B8B" w:rsidRDefault="000B2B8B" w:rsidP="000B2B8B">
      <w:pPr>
        <w:spacing w:line="240" w:lineRule="auto"/>
      </w:pPr>
      <w:r w:rsidRPr="0037359F">
        <w:t>If a temporary employee</w:t>
      </w:r>
      <w:r>
        <w:t xml:space="preserve"> is subsequently hired</w:t>
      </w:r>
      <w:r w:rsidRPr="0037359F">
        <w:t xml:space="preserve"> on a full-time basis, </w:t>
      </w:r>
      <w:r>
        <w:t xml:space="preserve">[employer] will </w:t>
      </w:r>
      <w:r w:rsidRPr="0037359F">
        <w:t xml:space="preserve">count any days </w:t>
      </w:r>
      <w:r>
        <w:t>the employee</w:t>
      </w:r>
      <w:r w:rsidRPr="0037359F">
        <w:t xml:space="preserve"> previously worked as a temporary employee toward this 30-day eligibility period.  </w:t>
      </w:r>
    </w:p>
    <w:p w14:paraId="3D1259F7" w14:textId="77777777" w:rsidR="000B2B8B" w:rsidRDefault="000B2B8B" w:rsidP="000B2B8B">
      <w:pPr>
        <w:spacing w:line="240" w:lineRule="auto"/>
      </w:pPr>
    </w:p>
    <w:p w14:paraId="04121E0B" w14:textId="77777777" w:rsidR="000B2B8B" w:rsidRPr="0037359F" w:rsidRDefault="000B2B8B" w:rsidP="000B2B8B">
      <w:pPr>
        <w:spacing w:line="240" w:lineRule="auto"/>
      </w:pPr>
      <w:r>
        <w:t>An employee who</w:t>
      </w:r>
      <w:r w:rsidRPr="00546DB2">
        <w:t xml:space="preserve"> was laid </w:t>
      </w:r>
      <w:r>
        <w:t>off on or after</w:t>
      </w:r>
      <w:r w:rsidRPr="00546DB2">
        <w:t xml:space="preserve"> March 1, 2020, had worked for </w:t>
      </w:r>
      <w:r>
        <w:t>[employer]</w:t>
      </w:r>
      <w:r w:rsidRPr="00546DB2">
        <w:t xml:space="preserve"> for not less than 30 of the last</w:t>
      </w:r>
      <w:r>
        <w:t xml:space="preserve"> 60 calendar days prior to the </w:t>
      </w:r>
      <w:r w:rsidRPr="00546DB2">
        <w:t>layoff, an</w:t>
      </w:r>
      <w:r>
        <w:t>d was rehired by [employer] is also eligible.</w:t>
      </w:r>
    </w:p>
    <w:p w14:paraId="46174025" w14:textId="77777777" w:rsidR="00E608AB" w:rsidRDefault="00E608AB" w:rsidP="00EA24BF">
      <w:pPr>
        <w:spacing w:line="240" w:lineRule="auto"/>
      </w:pPr>
    </w:p>
    <w:p w14:paraId="0504B578" w14:textId="77777777" w:rsidR="00E608AB" w:rsidRPr="00FF3B87" w:rsidRDefault="00E608AB" w:rsidP="00E608AB">
      <w:pPr>
        <w:spacing w:line="240" w:lineRule="auto"/>
        <w:rPr>
          <w:b/>
          <w:u w:val="single"/>
        </w:rPr>
      </w:pPr>
      <w:commentRangeStart w:id="1"/>
      <w:r w:rsidRPr="00FF3B87">
        <w:rPr>
          <w:b/>
          <w:u w:val="single"/>
        </w:rPr>
        <w:t>Healthcare Provider an</w:t>
      </w:r>
      <w:r w:rsidR="00D2162D">
        <w:rPr>
          <w:b/>
          <w:u w:val="single"/>
        </w:rPr>
        <w:t>d Emergency Responder Exclusion</w:t>
      </w:r>
    </w:p>
    <w:p w14:paraId="20B270E5" w14:textId="77777777" w:rsidR="00E608AB" w:rsidRDefault="00E608AB" w:rsidP="00E608AB">
      <w:pPr>
        <w:spacing w:line="240" w:lineRule="auto"/>
        <w:rPr>
          <w:b/>
        </w:rPr>
      </w:pPr>
    </w:p>
    <w:p w14:paraId="78A1D2C9" w14:textId="77777777" w:rsidR="00E608AB" w:rsidRPr="00E177FF" w:rsidRDefault="00E608AB" w:rsidP="00E608AB">
      <w:pPr>
        <w:spacing w:line="240" w:lineRule="auto"/>
      </w:pPr>
      <w:r>
        <w:t>Healthcare providers and emergency responders, as defined by Department of Labor regulations</w:t>
      </w:r>
      <w:r w:rsidR="0041082D">
        <w:t>,</w:t>
      </w:r>
      <w:r>
        <w:t xml:space="preserve"> are excluded from eligibility for EFML.</w:t>
      </w:r>
      <w:commentRangeEnd w:id="1"/>
      <w:r>
        <w:rPr>
          <w:rStyle w:val="CommentReference"/>
        </w:rPr>
        <w:commentReference w:id="1"/>
      </w:r>
    </w:p>
    <w:p w14:paraId="732061CD" w14:textId="77777777" w:rsidR="00EA24BF" w:rsidRPr="00EA24BF" w:rsidRDefault="00EA24BF" w:rsidP="00EA24BF">
      <w:pPr>
        <w:spacing w:line="240" w:lineRule="auto"/>
      </w:pPr>
    </w:p>
    <w:p w14:paraId="3C54EE2F" w14:textId="77777777" w:rsidR="000E7877" w:rsidRDefault="000E7877" w:rsidP="00EA24BF">
      <w:pPr>
        <w:spacing w:line="240" w:lineRule="auto"/>
        <w:rPr>
          <w:b/>
          <w:u w:val="single"/>
        </w:rPr>
      </w:pPr>
    </w:p>
    <w:p w14:paraId="21424C87" w14:textId="77777777" w:rsidR="00EA24BF" w:rsidRPr="00FF3B87" w:rsidRDefault="0041082D" w:rsidP="00EA24BF">
      <w:pPr>
        <w:spacing w:line="240" w:lineRule="auto"/>
        <w:rPr>
          <w:b/>
          <w:u w:val="single"/>
        </w:rPr>
      </w:pPr>
      <w:r w:rsidRPr="00FF3B87">
        <w:rPr>
          <w:b/>
          <w:u w:val="single"/>
        </w:rPr>
        <w:lastRenderedPageBreak/>
        <w:t>Qualifying Reason for</w:t>
      </w:r>
      <w:r w:rsidR="00D2162D">
        <w:rPr>
          <w:b/>
          <w:u w:val="single"/>
        </w:rPr>
        <w:t xml:space="preserve"> EFML</w:t>
      </w:r>
    </w:p>
    <w:p w14:paraId="077EAD84" w14:textId="77777777" w:rsidR="00EA24BF" w:rsidRPr="00EA24BF" w:rsidRDefault="00EA24BF" w:rsidP="00EA24BF">
      <w:pPr>
        <w:spacing w:line="240" w:lineRule="auto"/>
      </w:pPr>
    </w:p>
    <w:p w14:paraId="21D34598" w14:textId="77777777" w:rsidR="00EA24BF" w:rsidRDefault="00EA24BF" w:rsidP="00EA24BF">
      <w:pPr>
        <w:spacing w:line="240" w:lineRule="auto"/>
      </w:pPr>
      <w:r w:rsidRPr="00EA24BF">
        <w:t xml:space="preserve">An </w:t>
      </w:r>
      <w:r w:rsidR="0041082D">
        <w:t xml:space="preserve">eligible </w:t>
      </w:r>
      <w:r w:rsidRPr="00EA24BF">
        <w:t xml:space="preserve">employee is entitled to take EFML if the employee </w:t>
      </w:r>
      <w:r w:rsidRPr="0041082D">
        <w:rPr>
          <w:b/>
        </w:rPr>
        <w:t>is una</w:t>
      </w:r>
      <w:r w:rsidR="00E608AB" w:rsidRPr="0041082D">
        <w:rPr>
          <w:b/>
        </w:rPr>
        <w:t>ble to work or telework</w:t>
      </w:r>
      <w:r w:rsidR="00E608AB">
        <w:t xml:space="preserve"> because t</w:t>
      </w:r>
      <w:r w:rsidRPr="00EA24BF">
        <w:t>he employee is caring for a son or daughter whose school or daycare has been closed due to COVID-19 or the child care provider is unavailable for reasons related to COVID-19</w:t>
      </w:r>
      <w:r w:rsidR="00E608AB">
        <w:t xml:space="preserve">, </w:t>
      </w:r>
      <w:r w:rsidR="00E608AB" w:rsidRPr="0041082D">
        <w:rPr>
          <w:b/>
        </w:rPr>
        <w:t>and</w:t>
      </w:r>
      <w:r w:rsidR="00E608AB">
        <w:t xml:space="preserve"> no other suitable person is available to care for the son or daughter</w:t>
      </w:r>
      <w:r w:rsidRPr="00EA24BF">
        <w:t>.</w:t>
      </w:r>
    </w:p>
    <w:p w14:paraId="4121AB3D" w14:textId="77777777" w:rsidR="000E7877" w:rsidRDefault="000E7877" w:rsidP="00EA24BF">
      <w:pPr>
        <w:spacing w:line="240" w:lineRule="auto"/>
      </w:pPr>
    </w:p>
    <w:p w14:paraId="43B326E4" w14:textId="77777777" w:rsidR="000E7877" w:rsidRPr="000E7877" w:rsidRDefault="000E7877" w:rsidP="00EA24BF">
      <w:pPr>
        <w:spacing w:line="240" w:lineRule="auto"/>
        <w:rPr>
          <w:b/>
          <w:u w:val="single"/>
        </w:rPr>
      </w:pPr>
      <w:r>
        <w:rPr>
          <w:b/>
          <w:u w:val="single"/>
        </w:rPr>
        <w:t>Definitions</w:t>
      </w:r>
    </w:p>
    <w:p w14:paraId="4AE7C99A" w14:textId="77777777" w:rsidR="000E7877" w:rsidRDefault="000E7877" w:rsidP="00EA24BF">
      <w:pPr>
        <w:spacing w:line="240" w:lineRule="auto"/>
      </w:pPr>
    </w:p>
    <w:p w14:paraId="392DEB71" w14:textId="77777777" w:rsidR="000E7877" w:rsidRDefault="000E7877" w:rsidP="000E7877">
      <w:pPr>
        <w:spacing w:line="240" w:lineRule="auto"/>
      </w:pPr>
      <w:r>
        <w:t>An employee is “unable to work” if the employer has work available for the employee to do, but one of the COVID-19 qualifying reasons prevents the employee from being able to perform that work, either at the normal worksite or by means of telework.</w:t>
      </w:r>
    </w:p>
    <w:p w14:paraId="31AE275E" w14:textId="77777777" w:rsidR="00301875" w:rsidRDefault="00301875" w:rsidP="00EA24BF">
      <w:pPr>
        <w:spacing w:line="240" w:lineRule="auto"/>
      </w:pPr>
    </w:p>
    <w:p w14:paraId="01290869" w14:textId="77777777" w:rsidR="00301875" w:rsidRDefault="00301875" w:rsidP="00EA24BF">
      <w:pPr>
        <w:spacing w:line="240" w:lineRule="auto"/>
      </w:pPr>
      <w:r>
        <w:t xml:space="preserve">A “son or daughter” is an employee’s own child, including an employee’s biological, adopted, or foster child, stepchild, a legal ward, or a child for whom the employee is standing </w:t>
      </w:r>
      <w:r w:rsidRPr="001D50D1">
        <w:rPr>
          <w:i/>
        </w:rPr>
        <w:t>in loco parentis</w:t>
      </w:r>
      <w:r>
        <w:t>, who is under 18 years of age.  A “son or daughter” is also an adult son or daughter (i.e., one who is 18 years of age or older), who (1) has a mental or physical disability, and (2) is incapable of self-care because of that disability.</w:t>
      </w:r>
    </w:p>
    <w:p w14:paraId="1E344DA8" w14:textId="77777777" w:rsidR="000E7877" w:rsidRDefault="000E7877" w:rsidP="00EA24BF">
      <w:pPr>
        <w:spacing w:line="240" w:lineRule="auto"/>
      </w:pPr>
    </w:p>
    <w:p w14:paraId="5793F1A2" w14:textId="77777777" w:rsidR="000E7877" w:rsidRDefault="000E7877" w:rsidP="000E7877">
      <w:pPr>
        <w:spacing w:line="240" w:lineRule="auto"/>
      </w:pPr>
      <w:r>
        <w:t>“School” is defined as an elementary or secondary school up to grade 12.</w:t>
      </w:r>
    </w:p>
    <w:p w14:paraId="61A9C3C1" w14:textId="77777777" w:rsidR="00301875" w:rsidRDefault="00301875" w:rsidP="00EA24BF">
      <w:pPr>
        <w:spacing w:line="240" w:lineRule="auto"/>
      </w:pPr>
    </w:p>
    <w:p w14:paraId="48C7BAD9" w14:textId="77777777" w:rsidR="00301875" w:rsidRDefault="00301875" w:rsidP="00EA24BF">
      <w:pPr>
        <w:spacing w:line="240" w:lineRule="auto"/>
      </w:pPr>
      <w:r>
        <w:t>The term “child care provider” means a provider who receives compensation for providing child care services on a regular basis. The term includes a center-based child care provider, a group home child care provider, a family child care provider, or other provider of child care services for compensation that is licensed, regulated, or registered under state law. The eligible child care provider need not be compensated or licensed if he or she is a family member or friend, such as a neighbor, who regularly cares for the employee’s child.</w:t>
      </w:r>
    </w:p>
    <w:p w14:paraId="3157FAB6" w14:textId="77777777" w:rsidR="000E7877" w:rsidRDefault="000E7877" w:rsidP="00EA24BF">
      <w:pPr>
        <w:spacing w:line="240" w:lineRule="auto"/>
      </w:pPr>
    </w:p>
    <w:p w14:paraId="1739F6D4" w14:textId="77777777" w:rsidR="000E7877" w:rsidRDefault="000E7877" w:rsidP="000E7877">
      <w:pPr>
        <w:spacing w:line="240" w:lineRule="auto"/>
        <w:rPr>
          <w:b/>
          <w:u w:val="single"/>
        </w:rPr>
      </w:pPr>
      <w:r>
        <w:rPr>
          <w:b/>
          <w:u w:val="single"/>
        </w:rPr>
        <w:t>Telework</w:t>
      </w:r>
    </w:p>
    <w:p w14:paraId="25BEED46" w14:textId="77777777" w:rsidR="000E7877" w:rsidRDefault="000E7877" w:rsidP="000E7877">
      <w:pPr>
        <w:spacing w:line="240" w:lineRule="auto"/>
        <w:rPr>
          <w:b/>
          <w:u w:val="single"/>
        </w:rPr>
      </w:pPr>
    </w:p>
    <w:p w14:paraId="28A14A22" w14:textId="77777777" w:rsidR="000E7877" w:rsidRDefault="000E7877" w:rsidP="000E7877">
      <w:pPr>
        <w:spacing w:line="240" w:lineRule="auto"/>
      </w:pPr>
      <w:r>
        <w:t>To</w:t>
      </w:r>
      <w:r w:rsidRPr="00811DA8">
        <w:t xml:space="preserve"> the extent </w:t>
      </w:r>
      <w:r>
        <w:t>that an employee is</w:t>
      </w:r>
      <w:r w:rsidRPr="00811DA8">
        <w:t xml:space="preserve"> able to telework while caring for </w:t>
      </w:r>
      <w:r>
        <w:t>a</w:t>
      </w:r>
      <w:r w:rsidRPr="00811DA8">
        <w:t xml:space="preserve"> child, </w:t>
      </w:r>
      <w:r>
        <w:t>the employee is not eligible for EFML.</w:t>
      </w:r>
    </w:p>
    <w:p w14:paraId="4EA5BA91" w14:textId="77777777" w:rsidR="00FF3B87" w:rsidRDefault="00FF3B87" w:rsidP="00EA24BF">
      <w:pPr>
        <w:spacing w:line="240" w:lineRule="auto"/>
      </w:pPr>
    </w:p>
    <w:p w14:paraId="46F319B4" w14:textId="77777777" w:rsidR="0041082D" w:rsidRPr="00FF3B87" w:rsidRDefault="00921B17" w:rsidP="00EA24BF">
      <w:pPr>
        <w:spacing w:line="240" w:lineRule="auto"/>
        <w:rPr>
          <w:b/>
          <w:u w:val="single"/>
        </w:rPr>
      </w:pPr>
      <w:r>
        <w:rPr>
          <w:b/>
          <w:u w:val="single"/>
        </w:rPr>
        <w:t>Weeks 1 and 2 -- Unpaid</w:t>
      </w:r>
    </w:p>
    <w:p w14:paraId="772DDDBD" w14:textId="77777777" w:rsidR="00EA24BF" w:rsidRPr="00EA24BF" w:rsidRDefault="00EA24BF" w:rsidP="00EA24BF">
      <w:pPr>
        <w:spacing w:line="240" w:lineRule="auto"/>
      </w:pPr>
    </w:p>
    <w:p w14:paraId="35A08336" w14:textId="77777777" w:rsidR="00EA24BF" w:rsidRDefault="00EA24BF" w:rsidP="00EA24BF">
      <w:pPr>
        <w:spacing w:line="240" w:lineRule="auto"/>
      </w:pPr>
      <w:r w:rsidRPr="00EA24BF">
        <w:t xml:space="preserve">The first two weeks of EFML are unpaid.  An employee may elect to substitute Emergency Paid Sick Leave (EPSL) or other existing </w:t>
      </w:r>
      <w:r w:rsidR="0040090C">
        <w:t>paid leave</w:t>
      </w:r>
      <w:r w:rsidRPr="00EA24BF">
        <w:t xml:space="preserve"> for the first two weeks of </w:t>
      </w:r>
      <w:r w:rsidR="00301875">
        <w:t>unpaid EFML</w:t>
      </w:r>
      <w:r w:rsidRPr="00EA24BF">
        <w:t>.</w:t>
      </w:r>
      <w:r w:rsidR="004B4CBA">
        <w:t xml:space="preserve"> If the employee elects to substitute EPSL for the first two weeks of unpaid EFML, the employee will be paid at 2/3 of his or her regular rate of pay, but no more than $200 per day/$2,000 in the aggregate.  An employee may, however, elect to </w:t>
      </w:r>
      <w:r w:rsidR="004B4CBA">
        <w:lastRenderedPageBreak/>
        <w:t xml:space="preserve">supplement the EPSL with existing </w:t>
      </w:r>
      <w:r w:rsidR="0040090C">
        <w:t>paid leave</w:t>
      </w:r>
      <w:r w:rsidR="004B4CBA">
        <w:t xml:space="preserve">, so that the employee receives 100% or his or her regular rate of pay.  </w:t>
      </w:r>
    </w:p>
    <w:p w14:paraId="69D689A7" w14:textId="77777777" w:rsidR="00921B17" w:rsidRDefault="00921B17" w:rsidP="00EA24BF">
      <w:pPr>
        <w:spacing w:line="240" w:lineRule="auto"/>
        <w:rPr>
          <w:b/>
          <w:u w:val="single"/>
        </w:rPr>
      </w:pPr>
    </w:p>
    <w:p w14:paraId="666BC01B" w14:textId="77777777" w:rsidR="00921B17" w:rsidRPr="00921B17" w:rsidRDefault="00921B17" w:rsidP="00EA24BF">
      <w:pPr>
        <w:spacing w:line="240" w:lineRule="auto"/>
        <w:rPr>
          <w:b/>
          <w:u w:val="single"/>
        </w:rPr>
      </w:pPr>
      <w:r>
        <w:rPr>
          <w:b/>
          <w:u w:val="single"/>
        </w:rPr>
        <w:t xml:space="preserve">Weeks 3 through 12 </w:t>
      </w:r>
      <w:r w:rsidR="004B4CBA">
        <w:rPr>
          <w:b/>
          <w:u w:val="single"/>
        </w:rPr>
        <w:t>–Required Use of Concurrent Paid Leave</w:t>
      </w:r>
    </w:p>
    <w:p w14:paraId="4EB5AFFD" w14:textId="77777777" w:rsidR="00EA24BF" w:rsidRPr="00EA24BF" w:rsidRDefault="00EA24BF" w:rsidP="00EA24BF">
      <w:pPr>
        <w:spacing w:line="240" w:lineRule="auto"/>
      </w:pPr>
    </w:p>
    <w:p w14:paraId="2B2D5122" w14:textId="77777777" w:rsidR="00EA24BF" w:rsidRDefault="00E608AB" w:rsidP="00EA24BF">
      <w:pPr>
        <w:spacing w:line="240" w:lineRule="auto"/>
      </w:pPr>
      <w:r>
        <w:t>Beginning on week 3 of EFML, an</w:t>
      </w:r>
      <w:r w:rsidR="00EA24BF" w:rsidRPr="00EA24BF">
        <w:t xml:space="preserve"> employee</w:t>
      </w:r>
      <w:r w:rsidR="004B4CBA">
        <w:t xml:space="preserve"> is required to use existing </w:t>
      </w:r>
      <w:commentRangeStart w:id="2"/>
      <w:r w:rsidR="004B4CBA">
        <w:t>personal days and vacation days</w:t>
      </w:r>
      <w:commentRangeEnd w:id="2"/>
      <w:r w:rsidR="00495F3C">
        <w:rPr>
          <w:rStyle w:val="CommentReference"/>
        </w:rPr>
        <w:commentReference w:id="2"/>
      </w:r>
      <w:r w:rsidR="004B4CBA">
        <w:t xml:space="preserve"> concurrently with EFML and will be paid at 100% of his or her regular rate.  If the employee does not have any existing personal or vacation days, or runs out of personal or vacation days during weeks 3 through 12, the employee </w:t>
      </w:r>
      <w:r w:rsidR="00EA24BF" w:rsidRPr="00EA24BF">
        <w:t xml:space="preserve">will be paid at 2/3 </w:t>
      </w:r>
      <w:r w:rsidR="00D2162D">
        <w:t xml:space="preserve">of </w:t>
      </w:r>
      <w:r w:rsidR="004B4CBA">
        <w:t>his or her</w:t>
      </w:r>
      <w:r w:rsidR="00EA24BF" w:rsidRPr="00EA24BF">
        <w:t xml:space="preserve"> regular rate,</w:t>
      </w:r>
      <w:r>
        <w:t xml:space="preserve"> but</w:t>
      </w:r>
      <w:r w:rsidR="00677C2F">
        <w:t xml:space="preserve"> </w:t>
      </w:r>
      <w:r w:rsidR="004B4CBA">
        <w:t>no more than</w:t>
      </w:r>
      <w:r w:rsidR="00EA24BF" w:rsidRPr="00EA24BF">
        <w:t xml:space="preserve"> $200 per day/$</w:t>
      </w:r>
      <w:r>
        <w:t>10</w:t>
      </w:r>
      <w:r w:rsidR="00EA24BF" w:rsidRPr="00EA24BF">
        <w:t>,000 in the aggregate.</w:t>
      </w:r>
      <w:r w:rsidR="00677C2F">
        <w:t xml:space="preserve">  </w:t>
      </w:r>
    </w:p>
    <w:p w14:paraId="048E3F20" w14:textId="77777777" w:rsidR="00921B17" w:rsidRDefault="00921B17" w:rsidP="00921B17">
      <w:pPr>
        <w:spacing w:line="240" w:lineRule="auto"/>
        <w:rPr>
          <w:b/>
          <w:u w:val="single"/>
        </w:rPr>
      </w:pPr>
    </w:p>
    <w:p w14:paraId="601863D3" w14:textId="77777777" w:rsidR="0041082D" w:rsidRPr="00FF3B87" w:rsidRDefault="00271FAB" w:rsidP="00EA24BF">
      <w:pPr>
        <w:spacing w:line="240" w:lineRule="auto"/>
        <w:rPr>
          <w:b/>
          <w:u w:val="single"/>
        </w:rPr>
      </w:pPr>
      <w:r w:rsidRPr="00FF3B87">
        <w:rPr>
          <w:b/>
          <w:u w:val="single"/>
        </w:rPr>
        <w:t>Requesting EFML</w:t>
      </w:r>
    </w:p>
    <w:p w14:paraId="22BA6E25" w14:textId="77777777" w:rsidR="00271FAB" w:rsidRDefault="00271FAB" w:rsidP="00EA24BF">
      <w:pPr>
        <w:spacing w:line="240" w:lineRule="auto"/>
        <w:rPr>
          <w:b/>
        </w:rPr>
      </w:pPr>
    </w:p>
    <w:p w14:paraId="652048C5" w14:textId="77777777" w:rsidR="00921B17" w:rsidRPr="000E7877" w:rsidRDefault="00921B17" w:rsidP="00921B17">
      <w:pPr>
        <w:spacing w:line="240" w:lineRule="auto"/>
      </w:pPr>
      <w:r>
        <w:t>The employee must provide [employer] with notice of his or her need for EFML as soon as practicable after the first workday (or portion thereof) for which the employee takes EFML. If the employee fails to provide proper notice, [employer] will give the employee notice of the failure and an opportunity to provide required documentation prior to denying the request for leave.</w:t>
      </w:r>
    </w:p>
    <w:p w14:paraId="2294AAC6" w14:textId="77777777" w:rsidR="00921B17" w:rsidRDefault="00921B17" w:rsidP="00921B17">
      <w:pPr>
        <w:spacing w:line="240" w:lineRule="auto"/>
      </w:pPr>
    </w:p>
    <w:p w14:paraId="3C683569" w14:textId="77777777" w:rsidR="00271FAB" w:rsidRDefault="00271FAB" w:rsidP="00271FAB">
      <w:pPr>
        <w:spacing w:line="240" w:lineRule="auto"/>
      </w:pPr>
      <w:r>
        <w:t xml:space="preserve">An employee </w:t>
      </w:r>
      <w:r w:rsidR="00921B17">
        <w:t>must provide</w:t>
      </w:r>
      <w:r>
        <w:t xml:space="preserve"> [employer] with </w:t>
      </w:r>
      <w:r w:rsidR="00921B17">
        <w:t>sufficient information to establish</w:t>
      </w:r>
      <w:r>
        <w:t xml:space="preserve"> that </w:t>
      </w:r>
      <w:r w:rsidRPr="004A287A">
        <w:t xml:space="preserve">that </w:t>
      </w:r>
      <w:r w:rsidRPr="00271FAB">
        <w:t>the employee is unable to work or telework</w:t>
      </w:r>
      <w:r w:rsidRPr="004A287A">
        <w:t xml:space="preserve"> because</w:t>
      </w:r>
      <w:r>
        <w:rPr>
          <w:b/>
        </w:rPr>
        <w:t xml:space="preserve"> </w:t>
      </w:r>
      <w:r>
        <w:t xml:space="preserve">the employee is </w:t>
      </w:r>
      <w:r w:rsidRPr="00325FAC">
        <w:t xml:space="preserve">caring for a son or daughter whose school or daycare has been closed due to COVID-19 or the child care provider is unavailable </w:t>
      </w:r>
      <w:r>
        <w:t xml:space="preserve">for reasons related to COVID-19 AND there is no other suitable person to care for </w:t>
      </w:r>
      <w:r w:rsidR="00495F3C">
        <w:t>the employee’s</w:t>
      </w:r>
      <w:r>
        <w:t xml:space="preserve"> son or daughter.  The employee may provide this information using the Expanded Family and Medical Leave Notice and Request for Leave form which may be obtained from [insert contact person].</w:t>
      </w:r>
    </w:p>
    <w:p w14:paraId="04D5E1ED" w14:textId="77777777" w:rsidR="00271FAB" w:rsidRDefault="00271FAB" w:rsidP="00271FAB">
      <w:pPr>
        <w:spacing w:line="240" w:lineRule="auto"/>
      </w:pPr>
    </w:p>
    <w:p w14:paraId="1C490057" w14:textId="77777777" w:rsidR="00BC4700" w:rsidRPr="00FF3B87" w:rsidRDefault="008D681C" w:rsidP="00271FAB">
      <w:pPr>
        <w:spacing w:line="240" w:lineRule="auto"/>
        <w:rPr>
          <w:b/>
          <w:u w:val="single"/>
        </w:rPr>
      </w:pPr>
      <w:r>
        <w:rPr>
          <w:b/>
          <w:u w:val="single"/>
        </w:rPr>
        <w:t>12</w:t>
      </w:r>
      <w:r w:rsidR="00BC4700" w:rsidRPr="00FF3B87">
        <w:rPr>
          <w:b/>
          <w:u w:val="single"/>
        </w:rPr>
        <w:t xml:space="preserve"> Weeks of Leave</w:t>
      </w:r>
      <w:r>
        <w:rPr>
          <w:b/>
          <w:u w:val="single"/>
        </w:rPr>
        <w:t xml:space="preserve"> in 12-Month Period</w:t>
      </w:r>
      <w:r w:rsidR="00BC4700" w:rsidRPr="00FF3B87">
        <w:rPr>
          <w:b/>
          <w:u w:val="single"/>
        </w:rPr>
        <w:t xml:space="preserve"> </w:t>
      </w:r>
    </w:p>
    <w:p w14:paraId="379EC8C5" w14:textId="77777777" w:rsidR="00BC4700" w:rsidRDefault="00BC4700" w:rsidP="00271FAB">
      <w:pPr>
        <w:spacing w:line="240" w:lineRule="auto"/>
        <w:rPr>
          <w:b/>
        </w:rPr>
      </w:pPr>
    </w:p>
    <w:p w14:paraId="61890C20" w14:textId="77777777" w:rsidR="00BC4700" w:rsidRDefault="00BC4700" w:rsidP="00271FAB">
      <w:pPr>
        <w:spacing w:line="240" w:lineRule="auto"/>
      </w:pPr>
      <w:r>
        <w:t xml:space="preserve">An eligible employee is entitled to up to 12 weeks of EFML.  Any </w:t>
      </w:r>
      <w:r w:rsidR="0076391A">
        <w:t xml:space="preserve">EFML or </w:t>
      </w:r>
      <w:r>
        <w:t xml:space="preserve">FML taken in the relevant 12 month period will be deducted from the employee’s available </w:t>
      </w:r>
      <w:r w:rsidR="00301875">
        <w:t xml:space="preserve">EFML/FML </w:t>
      </w:r>
      <w:r>
        <w:t>balance.</w:t>
      </w:r>
      <w:r w:rsidR="008D681C">
        <w:t xml:space="preserve"> </w:t>
      </w:r>
      <w:r w:rsidR="0076391A">
        <w:t xml:space="preserve">[Employer] uses the </w:t>
      </w:r>
      <w:commentRangeStart w:id="3"/>
      <w:r w:rsidR="0076391A">
        <w:t>[rolling backward-looking] [calendar year] [rolling forward-</w:t>
      </w:r>
      <w:proofErr w:type="gramStart"/>
      <w:r w:rsidR="0076391A">
        <w:t>looking][</w:t>
      </w:r>
      <w:proofErr w:type="gramEnd"/>
      <w:r w:rsidR="0076391A">
        <w:t xml:space="preserve">fixed year from XXXXX to XXXXX] </w:t>
      </w:r>
      <w:commentRangeEnd w:id="3"/>
      <w:r w:rsidR="00495F3C">
        <w:rPr>
          <w:rStyle w:val="CommentReference"/>
        </w:rPr>
        <w:commentReference w:id="3"/>
      </w:r>
      <w:r w:rsidR="0076391A">
        <w:t>as its 12-month period.</w:t>
      </w:r>
    </w:p>
    <w:p w14:paraId="61A30A4E" w14:textId="77777777" w:rsidR="00D2162D" w:rsidRDefault="00D2162D" w:rsidP="00271FAB">
      <w:pPr>
        <w:spacing w:line="240" w:lineRule="auto"/>
      </w:pPr>
    </w:p>
    <w:p w14:paraId="46CF34A4" w14:textId="77777777" w:rsidR="00D2162D" w:rsidRDefault="00D2162D" w:rsidP="00D2162D">
      <w:pPr>
        <w:spacing w:line="240" w:lineRule="auto"/>
        <w:rPr>
          <w:b/>
          <w:u w:val="single"/>
        </w:rPr>
      </w:pPr>
      <w:r>
        <w:rPr>
          <w:b/>
          <w:u w:val="single"/>
        </w:rPr>
        <w:t>Intermittent EFML</w:t>
      </w:r>
      <w:r w:rsidRPr="00682F7E">
        <w:t xml:space="preserve"> </w:t>
      </w:r>
    </w:p>
    <w:p w14:paraId="16235D69" w14:textId="77777777" w:rsidR="00D2162D" w:rsidRDefault="00D2162D" w:rsidP="00D2162D">
      <w:pPr>
        <w:spacing w:line="240" w:lineRule="auto"/>
        <w:rPr>
          <w:b/>
          <w:u w:val="single"/>
        </w:rPr>
      </w:pPr>
    </w:p>
    <w:p w14:paraId="65C332D9" w14:textId="77777777" w:rsidR="00D2162D" w:rsidRDefault="00D2162D" w:rsidP="00D2162D">
      <w:pPr>
        <w:spacing w:line="240" w:lineRule="auto"/>
      </w:pPr>
      <w:r>
        <w:t>If an employee is prevented from working or teleworking a normal schedule of hours because the employee needs to care for the employee’s child whose school or place of care is closed or unavailable because of COVID-19, the employer and employee may agree to intermittent EFML.  [Employer] reserves its right to determine whether intermittent leave is appropriate based on all relevant circumstances.</w:t>
      </w:r>
    </w:p>
    <w:p w14:paraId="0C82A765" w14:textId="77777777" w:rsidR="00BC4700" w:rsidRDefault="00BC4700" w:rsidP="00271FAB">
      <w:pPr>
        <w:spacing w:line="240" w:lineRule="auto"/>
      </w:pPr>
    </w:p>
    <w:p w14:paraId="0B5C8B23" w14:textId="77777777" w:rsidR="00BC4700" w:rsidRPr="00FF3B87" w:rsidRDefault="00BC4700" w:rsidP="00271FAB">
      <w:pPr>
        <w:spacing w:line="240" w:lineRule="auto"/>
        <w:rPr>
          <w:b/>
          <w:u w:val="single"/>
        </w:rPr>
      </w:pPr>
      <w:r w:rsidRPr="00FF3B87">
        <w:rPr>
          <w:b/>
          <w:u w:val="single"/>
        </w:rPr>
        <w:t>Health Insurance</w:t>
      </w:r>
    </w:p>
    <w:p w14:paraId="78526F17" w14:textId="77777777" w:rsidR="00BC4700" w:rsidRDefault="00BC4700" w:rsidP="00271FAB">
      <w:pPr>
        <w:spacing w:line="240" w:lineRule="auto"/>
        <w:rPr>
          <w:b/>
        </w:rPr>
      </w:pPr>
    </w:p>
    <w:p w14:paraId="0D7CBA19" w14:textId="77777777" w:rsidR="00BC4700" w:rsidRDefault="00BC4700" w:rsidP="00BC4700">
      <w:pPr>
        <w:spacing w:line="240" w:lineRule="auto"/>
      </w:pPr>
      <w:r>
        <w:t>[Employer] will</w:t>
      </w:r>
      <w:r w:rsidRPr="0099624C">
        <w:t xml:space="preserve"> continue </w:t>
      </w:r>
      <w:r>
        <w:t>the employee’s</w:t>
      </w:r>
      <w:r w:rsidRPr="0099624C">
        <w:t xml:space="preserve"> health coverage</w:t>
      </w:r>
      <w:r>
        <w:t xml:space="preserve"> during EFML, but the employee remains responsible for paying his or her portion of the group health plan premiums through normal payroll deductions during any portion of EFML that is paid.  If the employee will not be substituting paid leave for the first 2 week of unpaid EFML, the employee must contact [insert contact person] to arrange for payment</w:t>
      </w:r>
      <w:r w:rsidR="00FB47A0">
        <w:t xml:space="preserve"> of the employee’s portion of the premium</w:t>
      </w:r>
      <w:r>
        <w:t xml:space="preserve">. </w:t>
      </w:r>
    </w:p>
    <w:p w14:paraId="04FC0490" w14:textId="77777777" w:rsidR="00D2162D" w:rsidRDefault="00D2162D" w:rsidP="00301875">
      <w:pPr>
        <w:spacing w:line="240" w:lineRule="auto"/>
        <w:rPr>
          <w:b/>
          <w:u w:val="single"/>
        </w:rPr>
      </w:pPr>
    </w:p>
    <w:p w14:paraId="5347B39F" w14:textId="77777777" w:rsidR="00301875" w:rsidRDefault="00301875" w:rsidP="00301875">
      <w:pPr>
        <w:spacing w:line="240" w:lineRule="auto"/>
        <w:rPr>
          <w:b/>
          <w:u w:val="single"/>
        </w:rPr>
      </w:pPr>
      <w:r>
        <w:rPr>
          <w:b/>
          <w:u w:val="single"/>
        </w:rPr>
        <w:t>No Compensation for Unused EFML</w:t>
      </w:r>
    </w:p>
    <w:p w14:paraId="00C2B428" w14:textId="77777777" w:rsidR="00301875" w:rsidRDefault="00301875" w:rsidP="00301875">
      <w:pPr>
        <w:spacing w:line="240" w:lineRule="auto"/>
        <w:rPr>
          <w:b/>
          <w:u w:val="single"/>
        </w:rPr>
      </w:pPr>
    </w:p>
    <w:p w14:paraId="48860A65" w14:textId="77777777" w:rsidR="00301875" w:rsidRDefault="00D2162D" w:rsidP="00301875">
      <w:pPr>
        <w:spacing w:line="240" w:lineRule="auto"/>
      </w:pPr>
      <w:r>
        <w:t xml:space="preserve">[Employer] will not provide </w:t>
      </w:r>
      <w:r w:rsidR="00301875">
        <w:t>financial compensation or other reimbursement for unused EFML upon the employee’s termination, resignation, retirement, or any other separation from employment.</w:t>
      </w:r>
    </w:p>
    <w:p w14:paraId="59499072" w14:textId="77777777" w:rsidR="00301875" w:rsidRDefault="00301875" w:rsidP="00301875">
      <w:pPr>
        <w:spacing w:line="240" w:lineRule="auto"/>
      </w:pPr>
    </w:p>
    <w:p w14:paraId="76373CDA" w14:textId="77777777" w:rsidR="00301875" w:rsidRDefault="00301875" w:rsidP="00301875">
      <w:pPr>
        <w:spacing w:line="240" w:lineRule="auto"/>
      </w:pPr>
      <w:r>
        <w:rPr>
          <w:b/>
          <w:u w:val="single"/>
        </w:rPr>
        <w:t>Job Restoration Following Leave</w:t>
      </w:r>
    </w:p>
    <w:p w14:paraId="4026766D" w14:textId="77777777" w:rsidR="00301875" w:rsidRDefault="00301875" w:rsidP="00301875">
      <w:pPr>
        <w:spacing w:line="240" w:lineRule="auto"/>
      </w:pPr>
    </w:p>
    <w:p w14:paraId="1E99F78F" w14:textId="77777777" w:rsidR="00301875" w:rsidRDefault="00301875" w:rsidP="00301875">
      <w:pPr>
        <w:spacing w:line="240" w:lineRule="auto"/>
      </w:pPr>
      <w:r>
        <w:t xml:space="preserve">With certain exceptions, employees who take EFML must be reinstated to their position with equivalent benefits, pay, and other terms and conditions of employment. An employer may deny restoration to key eligible employees as defined under the FMLA, if such denial is necessary to prevent substantial and grievous economic injury to the operations of the employer. </w:t>
      </w:r>
    </w:p>
    <w:p w14:paraId="13BAF920" w14:textId="77777777" w:rsidR="00D2162D" w:rsidRDefault="00D2162D" w:rsidP="00301875">
      <w:pPr>
        <w:spacing w:line="240" w:lineRule="auto"/>
      </w:pPr>
    </w:p>
    <w:p w14:paraId="06F401BE" w14:textId="77777777" w:rsidR="00D2162D" w:rsidRDefault="00D2162D" w:rsidP="00D2162D">
      <w:pPr>
        <w:spacing w:line="240" w:lineRule="auto"/>
        <w:rPr>
          <w:b/>
          <w:u w:val="single"/>
        </w:rPr>
      </w:pPr>
      <w:r>
        <w:rPr>
          <w:b/>
          <w:u w:val="single"/>
        </w:rPr>
        <w:t>Pre-Existing Benefits</w:t>
      </w:r>
    </w:p>
    <w:p w14:paraId="59F38394" w14:textId="77777777" w:rsidR="00D2162D" w:rsidRPr="00F33C08" w:rsidRDefault="00D2162D" w:rsidP="00D2162D">
      <w:pPr>
        <w:spacing w:line="240" w:lineRule="auto"/>
        <w:rPr>
          <w:b/>
          <w:u w:val="single"/>
        </w:rPr>
      </w:pPr>
    </w:p>
    <w:p w14:paraId="6E0BAF63" w14:textId="77777777" w:rsidR="00D2162D" w:rsidRDefault="00D2162D" w:rsidP="00D2162D">
      <w:pPr>
        <w:spacing w:line="240" w:lineRule="auto"/>
      </w:pPr>
      <w:r>
        <w:t>Nothing in this policy should be construed to diminish an employee’s existing rights under the law, a CBA, or an existing employer policy. EFML</w:t>
      </w:r>
      <w:r w:rsidRPr="00F33C08">
        <w:t xml:space="preserve"> is in addition to other leave provided und</w:t>
      </w:r>
      <w:r>
        <w:t>er Federal, State, or local law,</w:t>
      </w:r>
      <w:r w:rsidRPr="00F33C08">
        <w:t xml:space="preserve"> an applicable </w:t>
      </w:r>
      <w:r>
        <w:t>collective bargaining agreement,</w:t>
      </w:r>
      <w:r w:rsidRPr="00F33C08">
        <w:t xml:space="preserve"> or </w:t>
      </w:r>
      <w:r>
        <w:t>the</w:t>
      </w:r>
      <w:r w:rsidRPr="00F33C08">
        <w:t xml:space="preserve"> employer’s existing policy.</w:t>
      </w:r>
    </w:p>
    <w:p w14:paraId="51545503" w14:textId="77777777" w:rsidR="00B51349" w:rsidRDefault="00B51349" w:rsidP="00301875">
      <w:pPr>
        <w:spacing w:line="240" w:lineRule="auto"/>
      </w:pPr>
    </w:p>
    <w:p w14:paraId="2B4E2B3C" w14:textId="77777777" w:rsidR="00B51349" w:rsidRDefault="00B51349" w:rsidP="00B51349">
      <w:pPr>
        <w:spacing w:line="240" w:lineRule="auto"/>
      </w:pPr>
      <w:r>
        <w:rPr>
          <w:b/>
          <w:u w:val="single"/>
        </w:rPr>
        <w:t>Prohibited Acts</w:t>
      </w:r>
    </w:p>
    <w:p w14:paraId="70DD59C9" w14:textId="77777777" w:rsidR="00B51349" w:rsidRDefault="00B51349" w:rsidP="00B51349">
      <w:pPr>
        <w:spacing w:line="240" w:lineRule="auto"/>
      </w:pPr>
    </w:p>
    <w:p w14:paraId="76CA6EAD" w14:textId="77777777" w:rsidR="00B51349" w:rsidRDefault="00B51349" w:rsidP="00B51349">
      <w:pPr>
        <w:spacing w:line="240" w:lineRule="auto"/>
      </w:pPr>
      <w:r>
        <w:t>Employers are prohibited from interfering with an employee’s exercise of rights under the EFMLEA, discriminating against such person, or interfering with proceedings or inquiries as described in the FMLA.</w:t>
      </w:r>
    </w:p>
    <w:p w14:paraId="4F04CA06" w14:textId="77777777" w:rsidR="00FF3B87" w:rsidRDefault="00FF3B87" w:rsidP="00301875">
      <w:pPr>
        <w:spacing w:line="240" w:lineRule="auto"/>
      </w:pPr>
    </w:p>
    <w:p w14:paraId="05C726AB" w14:textId="77777777" w:rsidR="00FF3B87" w:rsidRDefault="00FF3B87" w:rsidP="00301875">
      <w:pPr>
        <w:spacing w:line="240" w:lineRule="auto"/>
        <w:rPr>
          <w:b/>
          <w:u w:val="single"/>
        </w:rPr>
      </w:pPr>
      <w:commentRangeStart w:id="4"/>
      <w:r>
        <w:rPr>
          <w:b/>
          <w:u w:val="single"/>
        </w:rPr>
        <w:t>Posted Notice</w:t>
      </w:r>
    </w:p>
    <w:p w14:paraId="44232378" w14:textId="77777777" w:rsidR="00FF3B87" w:rsidRDefault="00FF3B87" w:rsidP="00301875">
      <w:pPr>
        <w:spacing w:line="240" w:lineRule="auto"/>
        <w:rPr>
          <w:b/>
          <w:u w:val="single"/>
        </w:rPr>
      </w:pPr>
    </w:p>
    <w:p w14:paraId="13149906" w14:textId="77777777" w:rsidR="00FF3B87" w:rsidRPr="00FF3B87" w:rsidRDefault="00FF3B87" w:rsidP="00301875">
      <w:pPr>
        <w:spacing w:line="240" w:lineRule="auto"/>
      </w:pPr>
      <w:r>
        <w:t>[Employer] has posted a notice explaining EFML benefits [on its website] [in all breakrooms] [and has emailed a copy to all employees].</w:t>
      </w:r>
      <w:commentRangeEnd w:id="4"/>
      <w:r w:rsidR="00D2162D">
        <w:rPr>
          <w:rStyle w:val="CommentReference"/>
        </w:rPr>
        <w:commentReference w:id="4"/>
      </w:r>
    </w:p>
    <w:p w14:paraId="183F3A46" w14:textId="77777777" w:rsidR="00483CC5" w:rsidRPr="00301875" w:rsidRDefault="00483CC5" w:rsidP="00301875">
      <w:pPr>
        <w:rPr>
          <w:b/>
          <w:u w:val="single"/>
        </w:rPr>
      </w:pPr>
    </w:p>
    <w:sectPr w:rsidR="00483CC5" w:rsidRPr="00301875" w:rsidSect="00A223C1">
      <w:headerReference w:type="default" r:id="rId9"/>
      <w:footerReference w:type="default" r:id="rId10"/>
      <w:pgSz w:w="12240" w:h="15840"/>
      <w:pgMar w:top="930" w:right="1440" w:bottom="1440" w:left="1440" w:header="45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ane May" w:date="2020-04-10T10:21:00Z" w:initials="JM">
    <w:p w14:paraId="4CAB40A8" w14:textId="77777777" w:rsidR="00E608AB" w:rsidRDefault="00E608AB" w:rsidP="00E608AB">
      <w:pPr>
        <w:pStyle w:val="CommentText"/>
      </w:pPr>
      <w:r>
        <w:rPr>
          <w:rStyle w:val="CommentReference"/>
        </w:rPr>
        <w:annotationRef/>
      </w:r>
      <w:r>
        <w:t>Include this statement if the employer has decided to exclude healthcare providers and emergency responders from eligibility.</w:t>
      </w:r>
    </w:p>
  </w:comment>
  <w:comment w:id="2" w:author="Jane May" w:date="2020-04-14T10:01:00Z" w:initials="JM">
    <w:p w14:paraId="60DC53D5" w14:textId="77777777" w:rsidR="00495F3C" w:rsidRDefault="00495F3C">
      <w:pPr>
        <w:pStyle w:val="CommentText"/>
      </w:pPr>
      <w:r>
        <w:rPr>
          <w:rStyle w:val="CommentReference"/>
        </w:rPr>
        <w:annotationRef/>
      </w:r>
      <w:r w:rsidR="0040090C">
        <w:t>If the employer does not grant personal days or uses PTO in lieu of vacation, revise accordingly.  The employer can only mandate the use of paid leave days that would otherwise be available for use under the circumstances.  For example, if an employee is not permitted to use sick days to care for an otherwise healthy child whose school is closed, then the employer cannot mandate the concurrent use of sick days.</w:t>
      </w:r>
    </w:p>
  </w:comment>
  <w:comment w:id="3" w:author="Jane May" w:date="2020-04-13T09:17:00Z" w:initials="JM">
    <w:p w14:paraId="7F88F44E" w14:textId="77777777" w:rsidR="00495F3C" w:rsidRDefault="00495F3C">
      <w:pPr>
        <w:pStyle w:val="CommentText"/>
      </w:pPr>
      <w:r>
        <w:rPr>
          <w:rStyle w:val="CommentReference"/>
        </w:rPr>
        <w:annotationRef/>
      </w:r>
      <w:r>
        <w:t>The 12-month period should be consistent with the 12-month period in the employer’s existing FMLA policy.</w:t>
      </w:r>
    </w:p>
  </w:comment>
  <w:comment w:id="4" w:author="Jane May" w:date="2020-04-10T13:30:00Z" w:initials="JM">
    <w:p w14:paraId="4411640C" w14:textId="77777777" w:rsidR="00D2162D" w:rsidRDefault="00D2162D">
      <w:pPr>
        <w:pStyle w:val="CommentText"/>
      </w:pPr>
      <w:r>
        <w:rPr>
          <w:rStyle w:val="CommentReference"/>
        </w:rPr>
        <w:annotationRef/>
      </w:r>
      <w:r>
        <w:t xml:space="preserve">Here is a link to the required poster:  </w:t>
      </w:r>
      <w:hyperlink r:id="rId1" w:history="1">
        <w:r>
          <w:rPr>
            <w:rStyle w:val="Hyperlink"/>
          </w:rPr>
          <w:t>https://www.dol.gov/sites/dolgov/files/WHD/posters/FFCRA_Poster_WH1422_Non-Federal.pdf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AB40A8" w15:done="0"/>
  <w15:commentEx w15:paraId="60DC53D5" w15:done="0"/>
  <w15:commentEx w15:paraId="7F88F44E" w15:done="0"/>
  <w15:commentEx w15:paraId="441164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B40A8" w16cid:durableId="224041F2"/>
  <w16cid:commentId w16cid:paraId="60DC53D5" w16cid:durableId="224041F3"/>
  <w16cid:commentId w16cid:paraId="7F88F44E" w16cid:durableId="224041F4"/>
  <w16cid:commentId w16cid:paraId="4411640C" w16cid:durableId="224041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B1373" w14:textId="77777777" w:rsidR="00D205B8" w:rsidRDefault="00D205B8" w:rsidP="004106FB">
      <w:pPr>
        <w:spacing w:line="240" w:lineRule="auto"/>
      </w:pPr>
      <w:r>
        <w:separator/>
      </w:r>
    </w:p>
  </w:endnote>
  <w:endnote w:type="continuationSeparator" w:id="0">
    <w:p w14:paraId="73F19C07" w14:textId="77777777" w:rsidR="00D205B8" w:rsidRDefault="00D205B8" w:rsidP="00410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B1D3" w14:textId="77777777" w:rsidR="00ED5112" w:rsidRPr="007C4EFD" w:rsidRDefault="00ED5112">
    <w:pPr>
      <w:pStyle w:val="Footer"/>
      <w:pBdr>
        <w:top w:val="thinThickSmallGap" w:sz="24" w:space="1" w:color="622423" w:themeColor="accent2" w:themeShade="7F"/>
      </w:pBdr>
      <w:rPr>
        <w:rFonts w:eastAsiaTheme="majorEastAsia" w:cstheme="majorBidi"/>
        <w:sz w:val="20"/>
        <w:szCs w:val="20"/>
      </w:rPr>
    </w:pPr>
    <w:r w:rsidRPr="007C4EFD">
      <w:rPr>
        <w:rFonts w:eastAsiaTheme="majorEastAsia" w:cstheme="majorBidi"/>
        <w:sz w:val="20"/>
        <w:szCs w:val="20"/>
      </w:rPr>
      <w:t xml:space="preserve">This </w:t>
    </w:r>
    <w:r w:rsidR="00DE06E7">
      <w:rPr>
        <w:rFonts w:eastAsiaTheme="majorEastAsia" w:cstheme="majorBidi"/>
        <w:sz w:val="20"/>
        <w:szCs w:val="20"/>
      </w:rPr>
      <w:t>sample policy</w:t>
    </w:r>
    <w:r w:rsidRPr="007C4EFD">
      <w:rPr>
        <w:rFonts w:eastAsiaTheme="majorEastAsia" w:cstheme="majorBidi"/>
        <w:sz w:val="20"/>
        <w:szCs w:val="20"/>
      </w:rPr>
      <w:t xml:space="preserve"> was created by O’Halloran Kosoff Geitner &amp; Cook, LLC </w:t>
    </w:r>
    <w:r w:rsidR="007C4EFD" w:rsidRPr="007C4EFD">
      <w:rPr>
        <w:rFonts w:eastAsiaTheme="majorEastAsia" w:cstheme="majorBidi"/>
        <w:sz w:val="20"/>
        <w:szCs w:val="20"/>
      </w:rPr>
      <w:t>for informational purposes only</w:t>
    </w:r>
    <w:r w:rsidR="007C4EFD">
      <w:rPr>
        <w:rFonts w:eastAsiaTheme="majorEastAsia" w:cstheme="majorBidi"/>
        <w:sz w:val="20"/>
        <w:szCs w:val="20"/>
      </w:rPr>
      <w:t>.  It is not legal advice.  Member entities should consult with their State’s Attorney, Corporation Counsel, or other legal adviser before adopting any form or policy.</w:t>
    </w:r>
    <w:r w:rsidRPr="007C4EFD">
      <w:rPr>
        <w:rFonts w:eastAsiaTheme="majorEastAsia" w:cstheme="majorBidi"/>
        <w:sz w:val="20"/>
        <w:szCs w:val="20"/>
      </w:rPr>
      <w:ptab w:relativeTo="margin" w:alignment="right" w:leader="none"/>
    </w:r>
    <w:r w:rsidRPr="007C4EFD">
      <w:rPr>
        <w:rFonts w:eastAsiaTheme="majorEastAsia" w:cstheme="majorBidi"/>
        <w:sz w:val="20"/>
        <w:szCs w:val="20"/>
      </w:rPr>
      <w:t xml:space="preserve">Page </w:t>
    </w:r>
    <w:r w:rsidRPr="007C4EFD">
      <w:rPr>
        <w:rFonts w:eastAsiaTheme="minorEastAsia"/>
        <w:sz w:val="20"/>
        <w:szCs w:val="20"/>
      </w:rPr>
      <w:fldChar w:fldCharType="begin"/>
    </w:r>
    <w:r w:rsidRPr="007C4EFD">
      <w:rPr>
        <w:sz w:val="20"/>
        <w:szCs w:val="20"/>
      </w:rPr>
      <w:instrText xml:space="preserve"> PAGE   \* MERGEFORMAT </w:instrText>
    </w:r>
    <w:r w:rsidRPr="007C4EFD">
      <w:rPr>
        <w:rFonts w:eastAsiaTheme="minorEastAsia"/>
        <w:sz w:val="20"/>
        <w:szCs w:val="20"/>
      </w:rPr>
      <w:fldChar w:fldCharType="separate"/>
    </w:r>
    <w:r w:rsidR="0040090C" w:rsidRPr="0040090C">
      <w:rPr>
        <w:rFonts w:eastAsiaTheme="majorEastAsia" w:cstheme="majorBidi"/>
        <w:noProof/>
        <w:sz w:val="20"/>
        <w:szCs w:val="20"/>
      </w:rPr>
      <w:t>1</w:t>
    </w:r>
    <w:r w:rsidRPr="007C4EFD">
      <w:rPr>
        <w:rFonts w:eastAsiaTheme="majorEastAsia" w:cstheme="majorBidi"/>
        <w:noProof/>
        <w:sz w:val="20"/>
        <w:szCs w:val="20"/>
      </w:rPr>
      <w:fldChar w:fldCharType="end"/>
    </w:r>
  </w:p>
  <w:p w14:paraId="06E9BBC1" w14:textId="77777777" w:rsidR="00ED5112" w:rsidRDefault="00ED5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D0D52" w14:textId="77777777" w:rsidR="00D205B8" w:rsidRDefault="00D205B8" w:rsidP="004106FB">
      <w:pPr>
        <w:spacing w:line="240" w:lineRule="auto"/>
      </w:pPr>
      <w:r>
        <w:separator/>
      </w:r>
    </w:p>
  </w:footnote>
  <w:footnote w:type="continuationSeparator" w:id="0">
    <w:p w14:paraId="47A9DAF1" w14:textId="77777777" w:rsidR="00D205B8" w:rsidRDefault="00D205B8" w:rsidP="004106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CC2F0" w14:textId="77777777" w:rsidR="004106FB" w:rsidRPr="004106FB" w:rsidRDefault="004106FB" w:rsidP="004106FB">
    <w:pPr>
      <w:jc w:val="center"/>
      <w:rPr>
        <w:i/>
        <w:sz w:val="28"/>
        <w:szCs w:val="28"/>
      </w:rPr>
    </w:pPr>
    <w:r>
      <w:rPr>
        <w:i/>
        <w:sz w:val="28"/>
        <w:szCs w:val="28"/>
      </w:rPr>
      <w:t>SAMPLE</w:t>
    </w:r>
  </w:p>
  <w:p w14:paraId="4D5F4B67" w14:textId="77777777" w:rsidR="004106FB" w:rsidRDefault="004106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FAC"/>
    <w:rsid w:val="000B2B8B"/>
    <w:rsid w:val="000D799A"/>
    <w:rsid w:val="000E7877"/>
    <w:rsid w:val="0013147B"/>
    <w:rsid w:val="0014678B"/>
    <w:rsid w:val="0020573A"/>
    <w:rsid w:val="00271FAB"/>
    <w:rsid w:val="0030132E"/>
    <w:rsid w:val="00301875"/>
    <w:rsid w:val="00325FAC"/>
    <w:rsid w:val="0040090C"/>
    <w:rsid w:val="004106FB"/>
    <w:rsid w:val="0041082D"/>
    <w:rsid w:val="00483CC5"/>
    <w:rsid w:val="00495F3C"/>
    <w:rsid w:val="00497100"/>
    <w:rsid w:val="004A287A"/>
    <w:rsid w:val="004B26A9"/>
    <w:rsid w:val="004B4CBA"/>
    <w:rsid w:val="00677C2F"/>
    <w:rsid w:val="006A70E2"/>
    <w:rsid w:val="007071D5"/>
    <w:rsid w:val="0076391A"/>
    <w:rsid w:val="00767E49"/>
    <w:rsid w:val="007C4EFD"/>
    <w:rsid w:val="008166A3"/>
    <w:rsid w:val="008A5B45"/>
    <w:rsid w:val="008D681C"/>
    <w:rsid w:val="00921B17"/>
    <w:rsid w:val="00927268"/>
    <w:rsid w:val="00996D79"/>
    <w:rsid w:val="00A06F78"/>
    <w:rsid w:val="00A223C1"/>
    <w:rsid w:val="00A50442"/>
    <w:rsid w:val="00A70895"/>
    <w:rsid w:val="00AE181D"/>
    <w:rsid w:val="00B51349"/>
    <w:rsid w:val="00BC4700"/>
    <w:rsid w:val="00C12938"/>
    <w:rsid w:val="00D205B8"/>
    <w:rsid w:val="00D2162D"/>
    <w:rsid w:val="00D84709"/>
    <w:rsid w:val="00DD36BB"/>
    <w:rsid w:val="00DE06E7"/>
    <w:rsid w:val="00E177FF"/>
    <w:rsid w:val="00E608AB"/>
    <w:rsid w:val="00EA24BF"/>
    <w:rsid w:val="00ED0D21"/>
    <w:rsid w:val="00ED5112"/>
    <w:rsid w:val="00FB2B21"/>
    <w:rsid w:val="00FB47A0"/>
    <w:rsid w:val="00FF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DE99"/>
  <w15:docId w15:val="{B4D05722-A5F0-44CD-A8F8-1E6713F8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2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6FB"/>
    <w:pPr>
      <w:tabs>
        <w:tab w:val="center" w:pos="4680"/>
        <w:tab w:val="right" w:pos="9360"/>
      </w:tabs>
      <w:spacing w:line="240" w:lineRule="auto"/>
    </w:pPr>
  </w:style>
  <w:style w:type="character" w:customStyle="1" w:styleId="HeaderChar">
    <w:name w:val="Header Char"/>
    <w:basedOn w:val="DefaultParagraphFont"/>
    <w:link w:val="Header"/>
    <w:uiPriority w:val="99"/>
    <w:rsid w:val="004106FB"/>
  </w:style>
  <w:style w:type="paragraph" w:styleId="Footer">
    <w:name w:val="footer"/>
    <w:basedOn w:val="Normal"/>
    <w:link w:val="FooterChar"/>
    <w:uiPriority w:val="99"/>
    <w:unhideWhenUsed/>
    <w:rsid w:val="004106FB"/>
    <w:pPr>
      <w:tabs>
        <w:tab w:val="center" w:pos="4680"/>
        <w:tab w:val="right" w:pos="9360"/>
      </w:tabs>
      <w:spacing w:line="240" w:lineRule="auto"/>
    </w:pPr>
  </w:style>
  <w:style w:type="character" w:customStyle="1" w:styleId="FooterChar">
    <w:name w:val="Footer Char"/>
    <w:basedOn w:val="DefaultParagraphFont"/>
    <w:link w:val="Footer"/>
    <w:uiPriority w:val="99"/>
    <w:rsid w:val="004106FB"/>
  </w:style>
  <w:style w:type="paragraph" w:styleId="BalloonText">
    <w:name w:val="Balloon Text"/>
    <w:basedOn w:val="Normal"/>
    <w:link w:val="BalloonTextChar"/>
    <w:uiPriority w:val="99"/>
    <w:semiHidden/>
    <w:unhideWhenUsed/>
    <w:rsid w:val="004106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6FB"/>
    <w:rPr>
      <w:rFonts w:ascii="Tahoma" w:hAnsi="Tahoma" w:cs="Tahoma"/>
      <w:sz w:val="16"/>
      <w:szCs w:val="16"/>
    </w:rPr>
  </w:style>
  <w:style w:type="character" w:styleId="CommentReference">
    <w:name w:val="annotation reference"/>
    <w:basedOn w:val="DefaultParagraphFont"/>
    <w:uiPriority w:val="99"/>
    <w:semiHidden/>
    <w:unhideWhenUsed/>
    <w:rsid w:val="00E177FF"/>
    <w:rPr>
      <w:sz w:val="16"/>
      <w:szCs w:val="16"/>
    </w:rPr>
  </w:style>
  <w:style w:type="paragraph" w:styleId="CommentText">
    <w:name w:val="annotation text"/>
    <w:basedOn w:val="Normal"/>
    <w:link w:val="CommentTextChar"/>
    <w:uiPriority w:val="99"/>
    <w:semiHidden/>
    <w:unhideWhenUsed/>
    <w:rsid w:val="00E177FF"/>
    <w:pPr>
      <w:spacing w:line="240" w:lineRule="auto"/>
    </w:pPr>
    <w:rPr>
      <w:sz w:val="20"/>
      <w:szCs w:val="20"/>
    </w:rPr>
  </w:style>
  <w:style w:type="character" w:customStyle="1" w:styleId="CommentTextChar">
    <w:name w:val="Comment Text Char"/>
    <w:basedOn w:val="DefaultParagraphFont"/>
    <w:link w:val="CommentText"/>
    <w:uiPriority w:val="99"/>
    <w:semiHidden/>
    <w:rsid w:val="00E177FF"/>
    <w:rPr>
      <w:sz w:val="20"/>
      <w:szCs w:val="20"/>
    </w:rPr>
  </w:style>
  <w:style w:type="paragraph" w:styleId="CommentSubject">
    <w:name w:val="annotation subject"/>
    <w:basedOn w:val="CommentText"/>
    <w:next w:val="CommentText"/>
    <w:link w:val="CommentSubjectChar"/>
    <w:uiPriority w:val="99"/>
    <w:semiHidden/>
    <w:unhideWhenUsed/>
    <w:rsid w:val="00E177FF"/>
    <w:rPr>
      <w:b/>
      <w:bCs/>
    </w:rPr>
  </w:style>
  <w:style w:type="character" w:customStyle="1" w:styleId="CommentSubjectChar">
    <w:name w:val="Comment Subject Char"/>
    <w:basedOn w:val="CommentTextChar"/>
    <w:link w:val="CommentSubject"/>
    <w:uiPriority w:val="99"/>
    <w:semiHidden/>
    <w:rsid w:val="00E177FF"/>
    <w:rPr>
      <w:b/>
      <w:bCs/>
      <w:sz w:val="20"/>
      <w:szCs w:val="20"/>
    </w:rPr>
  </w:style>
  <w:style w:type="character" w:styleId="Hyperlink">
    <w:name w:val="Hyperlink"/>
    <w:basedOn w:val="DefaultParagraphFont"/>
    <w:uiPriority w:val="99"/>
    <w:semiHidden/>
    <w:unhideWhenUsed/>
    <w:rsid w:val="00D21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dol.gov/sites/dolgov/files/WHD/posters/FFCRA_Poster_WH1422_Non-Federal.pdf"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May</dc:creator>
  <cp:keywords/>
  <dc:description/>
  <cp:lastModifiedBy>Katie Noeska</cp:lastModifiedBy>
  <cp:revision>2</cp:revision>
  <dcterms:created xsi:type="dcterms:W3CDTF">2020-04-14T19:07:00Z</dcterms:created>
  <dcterms:modified xsi:type="dcterms:W3CDTF">2020-04-14T19:07:00Z</dcterms:modified>
</cp:coreProperties>
</file>