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4F" w:rsidRPr="005577AC" w:rsidRDefault="0091194F" w:rsidP="0091194F">
      <w:pPr>
        <w:rPr>
          <w:rFonts w:asciiTheme="majorHAnsi" w:hAnsiTheme="majorHAnsi" w:cstheme="majorHAnsi"/>
          <w:sz w:val="20"/>
          <w:szCs w:val="20"/>
        </w:rPr>
      </w:pPr>
      <w:r w:rsidRPr="002D7EF0">
        <w:rPr>
          <w:rFonts w:asciiTheme="majorHAnsi" w:hAnsiTheme="majorHAnsi" w:cstheme="majorHAnsi"/>
          <w:sz w:val="20"/>
          <w:szCs w:val="20"/>
        </w:rPr>
        <w:t xml:space="preserve">ASL </w:t>
      </w:r>
      <w:r w:rsidR="00BC25FC" w:rsidRPr="002D7EF0">
        <w:rPr>
          <w:rFonts w:asciiTheme="majorHAnsi" w:hAnsiTheme="majorHAnsi" w:cstheme="majorHAnsi"/>
          <w:sz w:val="20"/>
          <w:szCs w:val="20"/>
        </w:rPr>
        <w:t>101</w:t>
      </w:r>
      <w:r w:rsidRPr="002D7EF0">
        <w:rPr>
          <w:rFonts w:asciiTheme="majorHAnsi" w:hAnsiTheme="majorHAnsi" w:cstheme="majorHAnsi"/>
          <w:sz w:val="20"/>
          <w:szCs w:val="20"/>
        </w:rPr>
        <w:t xml:space="preserve"> </w:t>
      </w:r>
      <w:r w:rsidR="00BC25FC" w:rsidRPr="002D7EF0">
        <w:rPr>
          <w:rFonts w:asciiTheme="majorHAnsi" w:hAnsiTheme="majorHAnsi" w:cstheme="majorHAnsi"/>
          <w:sz w:val="20"/>
          <w:szCs w:val="20"/>
        </w:rPr>
        <w:t>My Autobiography</w:t>
      </w:r>
    </w:p>
    <w:tbl>
      <w:tblPr>
        <w:tblStyle w:val="TableGrid"/>
        <w:tblW w:w="13915" w:type="dxa"/>
        <w:tblLook w:val="04A0" w:firstRow="1" w:lastRow="0" w:firstColumn="1" w:lastColumn="0" w:noHBand="0" w:noVBand="1"/>
      </w:tblPr>
      <w:tblGrid>
        <w:gridCol w:w="2509"/>
        <w:gridCol w:w="2901"/>
        <w:gridCol w:w="2939"/>
        <w:gridCol w:w="2783"/>
        <w:gridCol w:w="2783"/>
      </w:tblGrid>
      <w:tr w:rsidR="0091194F" w:rsidTr="00D61928">
        <w:trPr>
          <w:trHeight w:val="210"/>
        </w:trPr>
        <w:tc>
          <w:tcPr>
            <w:tcW w:w="2509" w:type="dxa"/>
          </w:tcPr>
          <w:p w:rsidR="0091194F" w:rsidRPr="00722D15" w:rsidRDefault="0091194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01" w:type="dxa"/>
          </w:tcPr>
          <w:p w:rsidR="0091194F" w:rsidRPr="00722D15" w:rsidRDefault="0091194F" w:rsidP="00DF6F5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Advanced (4)</w:t>
            </w:r>
          </w:p>
        </w:tc>
        <w:tc>
          <w:tcPr>
            <w:tcW w:w="2939" w:type="dxa"/>
          </w:tcPr>
          <w:p w:rsidR="0091194F" w:rsidRPr="00722D15" w:rsidRDefault="0091194F" w:rsidP="00DF6F5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Competent/Adequate (3)</w:t>
            </w:r>
          </w:p>
        </w:tc>
        <w:tc>
          <w:tcPr>
            <w:tcW w:w="2783" w:type="dxa"/>
          </w:tcPr>
          <w:p w:rsidR="0091194F" w:rsidRPr="00722D15" w:rsidRDefault="0091194F" w:rsidP="00DF6F5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Developing (2)</w:t>
            </w:r>
          </w:p>
        </w:tc>
        <w:tc>
          <w:tcPr>
            <w:tcW w:w="2783" w:type="dxa"/>
          </w:tcPr>
          <w:p w:rsidR="0091194F" w:rsidRPr="00722D15" w:rsidRDefault="0091194F" w:rsidP="00DF6F5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Absent/Beginning (1)</w:t>
            </w:r>
          </w:p>
        </w:tc>
      </w:tr>
      <w:tr w:rsidR="0091194F" w:rsidTr="00D61928">
        <w:trPr>
          <w:trHeight w:val="2649"/>
        </w:trPr>
        <w:tc>
          <w:tcPr>
            <w:tcW w:w="2509" w:type="dxa"/>
          </w:tcPr>
          <w:p w:rsidR="0091194F" w:rsidRPr="00722D15" w:rsidRDefault="0022078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Background</w:t>
            </w:r>
          </w:p>
          <w:p w:rsidR="00BC25FC" w:rsidRPr="00722D15" w:rsidRDefault="00E37C1D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Clothing/appearance</w:t>
            </w:r>
          </w:p>
          <w:p w:rsidR="00DF6F57" w:rsidRPr="00722D15" w:rsidRDefault="0022078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Lighting</w:t>
            </w:r>
          </w:p>
          <w:p w:rsidR="00BC25FC" w:rsidRPr="00722D15" w:rsidRDefault="008C693B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BC25FC" w:rsidRPr="00722D15">
              <w:rPr>
                <w:rFonts w:asciiTheme="majorHAnsi" w:hAnsiTheme="majorHAnsi" w:cstheme="majorHAnsi"/>
                <w:sz w:val="18"/>
                <w:szCs w:val="18"/>
              </w:rPr>
              <w:t>ideo</w:t>
            </w:r>
            <w:r w:rsidR="004E6F3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2078F">
              <w:rPr>
                <w:rFonts w:asciiTheme="majorHAnsi" w:hAnsiTheme="majorHAnsi" w:cstheme="majorHAnsi"/>
                <w:sz w:val="18"/>
                <w:szCs w:val="18"/>
              </w:rPr>
              <w:t>formatting</w:t>
            </w:r>
          </w:p>
        </w:tc>
        <w:tc>
          <w:tcPr>
            <w:tcW w:w="2901" w:type="dxa"/>
          </w:tcPr>
          <w:p w:rsidR="00DF6F57" w:rsidRPr="00722D15" w:rsidRDefault="0022078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Demonstrates exceptional quality in</w:t>
            </w:r>
            <w:r w:rsidR="00BC25FC"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 formatting expected in videos, with appropriate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background, clothing, appearance and lighting</w:t>
            </w:r>
            <w:r w:rsidR="00B66423">
              <w:rPr>
                <w:rFonts w:asciiTheme="majorHAnsi" w:hAnsiTheme="majorHAnsi" w:cstheme="majorHAnsi"/>
                <w:sz w:val="18"/>
                <w:szCs w:val="18"/>
              </w:rPr>
              <w:t xml:space="preserve"> (from at least two sources)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 Webcam is set at eye level and that there is appropriate amount space above your head, below your elbows, and on the sides.</w:t>
            </w:r>
          </w:p>
        </w:tc>
        <w:tc>
          <w:tcPr>
            <w:tcW w:w="2939" w:type="dxa"/>
          </w:tcPr>
          <w:p w:rsidR="0022078F" w:rsidRPr="00722D15" w:rsidRDefault="0022078F" w:rsidP="002207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Demonstrates knowledge and use of </w:t>
            </w: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formatting expected in videos, with appropriate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background, clothing, appearance and lighting. Webcam is set at eye level and that there is appropriate amount space above your head, below your elbows, and on the sides.</w:t>
            </w:r>
          </w:p>
          <w:p w:rsidR="00DF6F57" w:rsidRPr="00722D15" w:rsidRDefault="00DF6F57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1194F" w:rsidRPr="00722D15" w:rsidRDefault="0091194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3" w:type="dxa"/>
          </w:tcPr>
          <w:p w:rsidR="0091194F" w:rsidRPr="00722D15" w:rsidRDefault="0022078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Demonstrates only occasionally </w:t>
            </w:r>
            <w:r w:rsidR="004E6F3E">
              <w:rPr>
                <w:rFonts w:asciiTheme="majorHAnsi" w:hAnsiTheme="majorHAnsi" w:cstheme="majorHAnsi"/>
                <w:sz w:val="18"/>
                <w:szCs w:val="18"/>
              </w:rPr>
              <w:t xml:space="preserve">the knowledge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use of </w:t>
            </w:r>
            <w:r w:rsidR="004E6F3E">
              <w:rPr>
                <w:rFonts w:asciiTheme="majorHAnsi" w:hAnsiTheme="majorHAnsi" w:cstheme="majorHAnsi"/>
                <w:sz w:val="18"/>
                <w:szCs w:val="18"/>
              </w:rPr>
              <w:t xml:space="preserve">appropriate </w:t>
            </w: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formatting expected in videos, with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background, clothing, appearance and lighting</w:t>
            </w:r>
            <w:r w:rsidR="00684135">
              <w:rPr>
                <w:rFonts w:asciiTheme="majorHAnsi" w:hAnsiTheme="majorHAnsi" w:cstheme="majorHAnsi"/>
                <w:sz w:val="18"/>
                <w:szCs w:val="18"/>
              </w:rPr>
              <w:t xml:space="preserve"> that may be inappropriate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Webcam </w:t>
            </w:r>
            <w:r w:rsidR="004E6F3E">
              <w:rPr>
                <w:rFonts w:asciiTheme="majorHAnsi" w:hAnsiTheme="majorHAnsi" w:cstheme="majorHAnsi"/>
                <w:sz w:val="18"/>
                <w:szCs w:val="18"/>
              </w:rPr>
              <w:t>may not be set 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eye level and that there </w:t>
            </w:r>
            <w:r w:rsidR="004E6F3E">
              <w:rPr>
                <w:rFonts w:asciiTheme="majorHAnsi" w:hAnsiTheme="majorHAnsi" w:cstheme="majorHAnsi"/>
                <w:sz w:val="18"/>
                <w:szCs w:val="18"/>
              </w:rPr>
              <w:t>may be 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appropriate amount space above your head, below your elbows, and</w:t>
            </w:r>
            <w:r w:rsidR="004E6F3E">
              <w:rPr>
                <w:rFonts w:asciiTheme="majorHAnsi" w:hAnsiTheme="majorHAnsi" w:cstheme="majorHAnsi"/>
                <w:sz w:val="18"/>
                <w:szCs w:val="18"/>
              </w:rPr>
              <w:t>/or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on the sides.</w:t>
            </w:r>
          </w:p>
        </w:tc>
        <w:tc>
          <w:tcPr>
            <w:tcW w:w="2783" w:type="dxa"/>
          </w:tcPr>
          <w:p w:rsidR="0022078F" w:rsidRPr="00722D15" w:rsidRDefault="0022078F" w:rsidP="002207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Does not demonstrate knowledge and use of </w:t>
            </w: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formatting expected in videos, with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</w:t>
            </w: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appropriate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background, clothing, appearance and/or lighting. Webcam is not set at eye level and that there is inappropriate amount space above your head, below your elbows, and/or on the sides.</w:t>
            </w:r>
          </w:p>
          <w:p w:rsidR="0091194F" w:rsidRPr="00722D15" w:rsidRDefault="0091194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1194F" w:rsidTr="00D61928">
        <w:trPr>
          <w:trHeight w:val="1528"/>
        </w:trPr>
        <w:tc>
          <w:tcPr>
            <w:tcW w:w="2509" w:type="dxa"/>
          </w:tcPr>
          <w:p w:rsidR="00DF6F57" w:rsidRDefault="002D7EF0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Sign Production</w:t>
            </w:r>
            <w:r w:rsidR="00605D74">
              <w:rPr>
                <w:rFonts w:asciiTheme="majorHAnsi" w:hAnsiTheme="majorHAnsi" w:cstheme="majorHAnsi"/>
                <w:sz w:val="18"/>
                <w:szCs w:val="18"/>
              </w:rPr>
              <w:t>/Clarity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selection of ASL vocabulary</w:t>
            </w:r>
          </w:p>
          <w:p w:rsidR="004E6F3E" w:rsidRDefault="004E6F3E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(language background/</w:t>
            </w:r>
          </w:p>
          <w:p w:rsidR="004E6F3E" w:rsidRPr="00722D15" w:rsidRDefault="004E6F3E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likes/dislikes)</w:t>
            </w:r>
          </w:p>
          <w:p w:rsidR="00DF6F57" w:rsidRPr="00722D15" w:rsidRDefault="00DF6F57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01" w:type="dxa"/>
          </w:tcPr>
          <w:p w:rsidR="00DF6F57" w:rsidRPr="00722D15" w:rsidRDefault="002D7EF0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Demonstrates exceptional quality of sign production and selection of ASL signs</w:t>
            </w:r>
            <w:r w:rsidR="00605D74">
              <w:rPr>
                <w:rFonts w:asciiTheme="majorHAnsi" w:hAnsiTheme="majorHAnsi" w:cstheme="majorHAnsi"/>
                <w:sz w:val="18"/>
                <w:szCs w:val="18"/>
              </w:rPr>
              <w:t>. Clarity of signs is evident with knowledge of correct ASL parameters.</w:t>
            </w:r>
          </w:p>
          <w:p w:rsidR="0091194F" w:rsidRPr="00722D15" w:rsidRDefault="0091194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9" w:type="dxa"/>
          </w:tcPr>
          <w:p w:rsidR="00DF6F57" w:rsidRPr="00722D15" w:rsidRDefault="00605D74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Sign production and selection of signs are generally presented clearly, though occasional lapses in production and selection of vocabulary may occur but do not interfere with comprehension.</w:t>
            </w:r>
          </w:p>
          <w:p w:rsidR="0091194F" w:rsidRPr="00722D15" w:rsidRDefault="0091194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3" w:type="dxa"/>
          </w:tcPr>
          <w:p w:rsidR="0091194F" w:rsidRPr="00722D15" w:rsidRDefault="00605D74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Sign production and selection of signs are </w:t>
            </w:r>
            <w:r w:rsidR="0022078F">
              <w:rPr>
                <w:rFonts w:asciiTheme="majorHAnsi" w:hAnsiTheme="majorHAnsi" w:cstheme="majorHAnsi"/>
                <w:sz w:val="18"/>
                <w:szCs w:val="18"/>
              </w:rPr>
              <w:t xml:space="preserve">occasionally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presented clearly and lapses in production and selection occasionally interfere with comprehension.</w:t>
            </w:r>
          </w:p>
        </w:tc>
        <w:tc>
          <w:tcPr>
            <w:tcW w:w="2783" w:type="dxa"/>
          </w:tcPr>
          <w:p w:rsidR="00DF6F57" w:rsidRPr="00722D15" w:rsidRDefault="00605D74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Pervasive errors in sign production and selection of signs. Errors often interfere with comprehension.</w:t>
            </w:r>
          </w:p>
          <w:p w:rsidR="0091194F" w:rsidRPr="00722D15" w:rsidRDefault="0091194F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4135" w:rsidTr="00D61928">
        <w:trPr>
          <w:trHeight w:val="877"/>
        </w:trPr>
        <w:tc>
          <w:tcPr>
            <w:tcW w:w="2509" w:type="dxa"/>
          </w:tcPr>
          <w:p w:rsidR="00684135" w:rsidRDefault="0068413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Use of personal/possessive pronouns</w:t>
            </w:r>
            <w:r w:rsidR="00B66423">
              <w:rPr>
                <w:rFonts w:asciiTheme="majorHAnsi" w:hAnsiTheme="majorHAnsi" w:cstheme="majorHAnsi"/>
                <w:sz w:val="18"/>
                <w:szCs w:val="18"/>
              </w:rPr>
              <w:t xml:space="preserve"> (ME,I and MY)</w:t>
            </w:r>
          </w:p>
        </w:tc>
        <w:tc>
          <w:tcPr>
            <w:tcW w:w="2901" w:type="dxa"/>
          </w:tcPr>
          <w:p w:rsidR="00684135" w:rsidRPr="00722D15" w:rsidRDefault="00684135" w:rsidP="006841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Demonstrates exceptional ability in use of correct personal/possessive pronouns </w:t>
            </w:r>
          </w:p>
          <w:p w:rsidR="00684135" w:rsidRDefault="0068413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9" w:type="dxa"/>
          </w:tcPr>
          <w:p w:rsidR="00684135" w:rsidRPr="00722D15" w:rsidRDefault="00684135" w:rsidP="006841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Demonstrates ability in use of correct personal/possessive pronouns </w:t>
            </w:r>
          </w:p>
          <w:p w:rsidR="00684135" w:rsidRDefault="0068413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3" w:type="dxa"/>
          </w:tcPr>
          <w:p w:rsidR="00684135" w:rsidRDefault="0068413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Demonstrates only occasionally in use of correct personal/possessive pronouns</w:t>
            </w:r>
          </w:p>
        </w:tc>
        <w:tc>
          <w:tcPr>
            <w:tcW w:w="2783" w:type="dxa"/>
          </w:tcPr>
          <w:p w:rsidR="00684135" w:rsidRDefault="0068413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Does not demonstrate ability in use of correct personal/possessive pronouns</w:t>
            </w:r>
          </w:p>
        </w:tc>
      </w:tr>
      <w:tr w:rsidR="0091194F" w:rsidTr="00D61928">
        <w:trPr>
          <w:trHeight w:val="877"/>
        </w:trPr>
        <w:tc>
          <w:tcPr>
            <w:tcW w:w="2509" w:type="dxa"/>
          </w:tcPr>
          <w:p w:rsidR="00BC25FC" w:rsidRPr="00722D15" w:rsidRDefault="00BC25FC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Non-manual </w:t>
            </w:r>
            <w:r w:rsidR="002D7EF0">
              <w:rPr>
                <w:rFonts w:asciiTheme="majorHAnsi" w:hAnsiTheme="majorHAnsi" w:cstheme="majorHAnsi"/>
                <w:sz w:val="18"/>
                <w:szCs w:val="18"/>
              </w:rPr>
              <w:t xml:space="preserve">signals: </w:t>
            </w:r>
            <w:r w:rsidR="005577AC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2D7EF0">
              <w:rPr>
                <w:rFonts w:asciiTheme="majorHAnsi" w:hAnsiTheme="majorHAnsi" w:cstheme="majorHAnsi"/>
                <w:sz w:val="18"/>
                <w:szCs w:val="18"/>
              </w:rPr>
              <w:t>aising brows for transitions</w:t>
            </w:r>
            <w:r w:rsidR="005577AC">
              <w:rPr>
                <w:rFonts w:asciiTheme="majorHAnsi" w:hAnsiTheme="majorHAnsi" w:cstheme="majorHAnsi"/>
                <w:sz w:val="18"/>
                <w:szCs w:val="18"/>
              </w:rPr>
              <w:t xml:space="preserve"> (SN, page 61)</w:t>
            </w:r>
          </w:p>
          <w:p w:rsidR="00DF6F57" w:rsidRPr="00722D15" w:rsidRDefault="00DF6F57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01" w:type="dxa"/>
          </w:tcPr>
          <w:p w:rsidR="0091194F" w:rsidRPr="00722D15" w:rsidRDefault="00722D1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Demonstrates exceptional ability in </w:t>
            </w:r>
            <w:r w:rsidR="002D7EF0">
              <w:rPr>
                <w:rFonts w:asciiTheme="majorHAnsi" w:hAnsiTheme="majorHAnsi" w:cstheme="majorHAnsi"/>
                <w:sz w:val="18"/>
                <w:szCs w:val="18"/>
              </w:rPr>
              <w:t xml:space="preserve">use of appropriate non-manual signals in each transition. </w:t>
            </w:r>
          </w:p>
          <w:p w:rsidR="00DF6F57" w:rsidRPr="00722D15" w:rsidRDefault="00DF6F57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9" w:type="dxa"/>
          </w:tcPr>
          <w:p w:rsidR="0091194F" w:rsidRPr="00722D15" w:rsidRDefault="002D7EF0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Demonstrates ability in use of appropriate non-manual signals in each transition.</w:t>
            </w:r>
          </w:p>
        </w:tc>
        <w:tc>
          <w:tcPr>
            <w:tcW w:w="2783" w:type="dxa"/>
          </w:tcPr>
          <w:p w:rsidR="0091194F" w:rsidRPr="00722D15" w:rsidRDefault="002D7EF0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Demonstrates only occasionally in use of appropriate non-manual signals in each transition.</w:t>
            </w:r>
          </w:p>
        </w:tc>
        <w:tc>
          <w:tcPr>
            <w:tcW w:w="2783" w:type="dxa"/>
          </w:tcPr>
          <w:p w:rsidR="00DF6F57" w:rsidRPr="00722D15" w:rsidRDefault="00DF6F57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Does not </w:t>
            </w:r>
            <w:r w:rsidR="002D7EF0">
              <w:rPr>
                <w:rFonts w:asciiTheme="majorHAnsi" w:hAnsiTheme="majorHAnsi" w:cstheme="majorHAnsi"/>
                <w:sz w:val="18"/>
                <w:szCs w:val="18"/>
              </w:rPr>
              <w:t>demonstrate ability in use of appropriate non-manual signals in each transition.</w:t>
            </w:r>
          </w:p>
        </w:tc>
      </w:tr>
      <w:tr w:rsidR="005577AC" w:rsidTr="00D61928">
        <w:trPr>
          <w:trHeight w:val="1105"/>
        </w:trPr>
        <w:tc>
          <w:tcPr>
            <w:tcW w:w="2509" w:type="dxa"/>
          </w:tcPr>
          <w:p w:rsidR="005577AC" w:rsidRDefault="005577AC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Use of dominant hand</w:t>
            </w:r>
          </w:p>
          <w:p w:rsidR="005577AC" w:rsidRPr="00722D15" w:rsidRDefault="005577AC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(SN, page 54)</w:t>
            </w:r>
          </w:p>
        </w:tc>
        <w:tc>
          <w:tcPr>
            <w:tcW w:w="2901" w:type="dxa"/>
          </w:tcPr>
          <w:p w:rsidR="005577AC" w:rsidRDefault="005577AC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Demonstrates exceptional understanding in the use of dominant/non-dominant hands, staying with the dominant hand throughout the narrative.</w:t>
            </w:r>
          </w:p>
        </w:tc>
        <w:tc>
          <w:tcPr>
            <w:tcW w:w="2939" w:type="dxa"/>
          </w:tcPr>
          <w:p w:rsidR="005577AC" w:rsidRDefault="005577AC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Demonstrates understanding of the use of dominant/non-dominant hands with a few lapses in the narrative. </w:t>
            </w:r>
          </w:p>
        </w:tc>
        <w:tc>
          <w:tcPr>
            <w:tcW w:w="2783" w:type="dxa"/>
          </w:tcPr>
          <w:p w:rsidR="005577AC" w:rsidRDefault="005577AC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not demonstrate understanding in the use of dominant/non-dominant hands, and may occasionally switch hands.</w:t>
            </w:r>
          </w:p>
        </w:tc>
        <w:tc>
          <w:tcPr>
            <w:tcW w:w="2783" w:type="dxa"/>
          </w:tcPr>
          <w:p w:rsidR="005577AC" w:rsidRPr="00722D15" w:rsidRDefault="005577AC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Does not demonstrate understanding in the use of dominant/non-dominant hands, frequently switching hands.</w:t>
            </w:r>
          </w:p>
        </w:tc>
      </w:tr>
      <w:tr w:rsidR="00BC25FC" w:rsidTr="00D61928">
        <w:trPr>
          <w:trHeight w:val="1316"/>
        </w:trPr>
        <w:tc>
          <w:tcPr>
            <w:tcW w:w="2509" w:type="dxa"/>
          </w:tcPr>
          <w:p w:rsidR="00BC25FC" w:rsidRDefault="00BC25FC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Fingerspelling</w:t>
            </w:r>
          </w:p>
          <w:p w:rsidR="00605D74" w:rsidRPr="00722D15" w:rsidRDefault="00605D74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Arm/hand placement</w:t>
            </w:r>
          </w:p>
        </w:tc>
        <w:tc>
          <w:tcPr>
            <w:tcW w:w="2901" w:type="dxa"/>
          </w:tcPr>
          <w:p w:rsidR="00BC25FC" w:rsidRPr="00722D15" w:rsidRDefault="00722D1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Demonstrates exceptional ability to convey clear/accurate fingerspelling</w:t>
            </w:r>
            <w:r w:rsidR="00605D74">
              <w:rPr>
                <w:rFonts w:asciiTheme="majorHAnsi" w:hAnsiTheme="majorHAnsi" w:cstheme="majorHAnsi"/>
                <w:sz w:val="18"/>
                <w:szCs w:val="18"/>
              </w:rPr>
              <w:t xml:space="preserve"> with appropriate arm/hand placement.</w:t>
            </w:r>
          </w:p>
        </w:tc>
        <w:tc>
          <w:tcPr>
            <w:tcW w:w="2939" w:type="dxa"/>
          </w:tcPr>
          <w:p w:rsidR="00BC25FC" w:rsidRPr="00722D15" w:rsidRDefault="00722D1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Demonstrates ability to convey clear/accurate fingerspelling</w:t>
            </w:r>
            <w:r w:rsidR="00D61928">
              <w:rPr>
                <w:rFonts w:asciiTheme="majorHAnsi" w:hAnsiTheme="majorHAnsi" w:cstheme="majorHAnsi"/>
                <w:sz w:val="18"/>
                <w:szCs w:val="18"/>
              </w:rPr>
              <w:t xml:space="preserve"> with appropriate arm/hand placement</w:t>
            </w: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. Mostly accurate with minimal errors.</w:t>
            </w:r>
          </w:p>
        </w:tc>
        <w:tc>
          <w:tcPr>
            <w:tcW w:w="2783" w:type="dxa"/>
          </w:tcPr>
          <w:p w:rsidR="00BC25FC" w:rsidRPr="00722D15" w:rsidRDefault="00722D1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Demonstrates </w:t>
            </w:r>
            <w:r w:rsidR="005577AC">
              <w:rPr>
                <w:rFonts w:asciiTheme="majorHAnsi" w:hAnsiTheme="majorHAnsi" w:cstheme="majorHAnsi"/>
                <w:sz w:val="18"/>
                <w:szCs w:val="18"/>
              </w:rPr>
              <w:t xml:space="preserve">only </w:t>
            </w: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some ability to convey clear/accurate fingerspelling</w:t>
            </w:r>
            <w:r w:rsidR="00D61928">
              <w:rPr>
                <w:rFonts w:asciiTheme="majorHAnsi" w:hAnsiTheme="majorHAnsi" w:cstheme="majorHAnsi"/>
                <w:sz w:val="18"/>
                <w:szCs w:val="18"/>
              </w:rPr>
              <w:t xml:space="preserve"> with appropriate arm/hand placement</w:t>
            </w: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. There are several errors in ASL parameters making it difficult to follow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783" w:type="dxa"/>
          </w:tcPr>
          <w:p w:rsidR="00BC25FC" w:rsidRPr="00722D15" w:rsidRDefault="00722D15" w:rsidP="009119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 xml:space="preserve">Does not demonstrate ability to convey clear/accurate </w:t>
            </w:r>
            <w:r w:rsidR="00D61928">
              <w:rPr>
                <w:rFonts w:asciiTheme="majorHAnsi" w:hAnsiTheme="majorHAnsi" w:cstheme="majorHAnsi"/>
                <w:sz w:val="18"/>
                <w:szCs w:val="18"/>
              </w:rPr>
              <w:t>fingerspelling or use of appropriate arm/hand placement</w:t>
            </w: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. Lacks awareness in use of correct ASL parameters.</w:t>
            </w:r>
          </w:p>
        </w:tc>
      </w:tr>
      <w:tr w:rsidR="00BC25FC" w:rsidTr="00D61928">
        <w:trPr>
          <w:trHeight w:val="1089"/>
        </w:trPr>
        <w:tc>
          <w:tcPr>
            <w:tcW w:w="2509" w:type="dxa"/>
          </w:tcPr>
          <w:p w:rsidR="00BC25FC" w:rsidRPr="00722D15" w:rsidRDefault="00722D15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Fluency</w:t>
            </w:r>
          </w:p>
        </w:tc>
        <w:tc>
          <w:tcPr>
            <w:tcW w:w="2901" w:type="dxa"/>
          </w:tcPr>
          <w:p w:rsidR="00BC25FC" w:rsidRPr="00722D15" w:rsidRDefault="00722D15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Moves comfortably from one sign to the next and the signing is smooth without hesitation</w:t>
            </w:r>
            <w:r w:rsidR="002D7EF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939" w:type="dxa"/>
          </w:tcPr>
          <w:p w:rsidR="00BC25FC" w:rsidRPr="00722D15" w:rsidRDefault="00722D15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Flow and cadence between signs are consistent with minimal errors. There are a few hesitations in the narrative.</w:t>
            </w:r>
          </w:p>
        </w:tc>
        <w:tc>
          <w:tcPr>
            <w:tcW w:w="2783" w:type="dxa"/>
          </w:tcPr>
          <w:p w:rsidR="00BC25FC" w:rsidRPr="00722D15" w:rsidRDefault="00722D15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Flow and cadence between signs are inconsistent. There are frequent hesitations while signing the narrative.</w:t>
            </w:r>
          </w:p>
        </w:tc>
        <w:tc>
          <w:tcPr>
            <w:tcW w:w="2783" w:type="dxa"/>
          </w:tcPr>
          <w:p w:rsidR="00BC25FC" w:rsidRPr="00722D15" w:rsidRDefault="00722D15" w:rsidP="00BC25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22D15">
              <w:rPr>
                <w:rFonts w:asciiTheme="majorHAnsi" w:hAnsiTheme="majorHAnsi" w:cstheme="majorHAnsi"/>
                <w:sz w:val="18"/>
                <w:szCs w:val="18"/>
              </w:rPr>
              <w:t>Pervasive errors in cadence and frequent slurs or pauses between signs undermine the communication making the narrative difficult to follow.</w:t>
            </w:r>
          </w:p>
        </w:tc>
      </w:tr>
    </w:tbl>
    <w:p w:rsidR="00A85B41" w:rsidRDefault="00A85B41" w:rsidP="00D61928"/>
    <w:sectPr w:rsidR="00A85B41" w:rsidSect="00D61928">
      <w:pgSz w:w="15840" w:h="12240" w:orient="landscape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4F"/>
    <w:rsid w:val="001869A9"/>
    <w:rsid w:val="001C0F36"/>
    <w:rsid w:val="001D02D2"/>
    <w:rsid w:val="0022078F"/>
    <w:rsid w:val="002D7EF0"/>
    <w:rsid w:val="002E4B9B"/>
    <w:rsid w:val="00480014"/>
    <w:rsid w:val="004E6F3E"/>
    <w:rsid w:val="0053395D"/>
    <w:rsid w:val="005577AC"/>
    <w:rsid w:val="005E54F2"/>
    <w:rsid w:val="00605D74"/>
    <w:rsid w:val="00657BAF"/>
    <w:rsid w:val="00684135"/>
    <w:rsid w:val="006B6F43"/>
    <w:rsid w:val="00722D15"/>
    <w:rsid w:val="007B2E63"/>
    <w:rsid w:val="008C693B"/>
    <w:rsid w:val="0091194F"/>
    <w:rsid w:val="00947970"/>
    <w:rsid w:val="00985C18"/>
    <w:rsid w:val="00A23A90"/>
    <w:rsid w:val="00A85B41"/>
    <w:rsid w:val="00B66423"/>
    <w:rsid w:val="00BC25FC"/>
    <w:rsid w:val="00D61928"/>
    <w:rsid w:val="00DF6F57"/>
    <w:rsid w:val="00E37C1D"/>
    <w:rsid w:val="00EB2489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B392"/>
  <w15:chartTrackingRefBased/>
  <w15:docId w15:val="{DD1F9883-0FB5-8F4B-96DC-8B3538A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4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596</Words>
  <Characters>3759</Characters>
  <Application>Microsoft Office Word</Application>
  <DocSecurity>0</DocSecurity>
  <Lines>179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2018-09-11T17:43:00Z</cp:lastPrinted>
  <dcterms:created xsi:type="dcterms:W3CDTF">2019-03-26T04:59:00Z</dcterms:created>
  <dcterms:modified xsi:type="dcterms:W3CDTF">2019-03-27T02:05:00Z</dcterms:modified>
  <cp:category/>
</cp:coreProperties>
</file>