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2E4" w:rsidRDefault="00B728E6" w:rsidP="00583970">
      <w:pPr>
        <w:autoSpaceDE w:val="0"/>
        <w:autoSpaceDN w:val="0"/>
        <w:adjustRightInd w:val="0"/>
        <w:spacing w:after="0" w:line="240" w:lineRule="auto"/>
      </w:pPr>
      <w:r w:rsidRPr="00B728E6">
        <w:t>The purpose of this t</w:t>
      </w:r>
      <w:r w:rsidR="00D6492E">
        <w:t>ool</w:t>
      </w:r>
      <w:r w:rsidRPr="00B728E6">
        <w:t xml:space="preserve"> is to provide a comprehensive checklist that every sales leader should </w:t>
      </w:r>
      <w:r w:rsidR="00D6492E">
        <w:t>use</w:t>
      </w:r>
      <w:r w:rsidRPr="00B728E6">
        <w:t xml:space="preserve"> to evaluate their alignment</w:t>
      </w:r>
      <w:r w:rsidR="00D6492E">
        <w:t xml:space="preserve"> with Lead Generation efforts.  </w:t>
      </w:r>
      <w:r w:rsidR="008D62E4">
        <w:t xml:space="preserve">Alignment as a term is specifically used to </w:t>
      </w:r>
      <w:r w:rsidR="00543C7F">
        <w:t xml:space="preserve">challenge the </w:t>
      </w:r>
      <w:r w:rsidR="00886A5D">
        <w:t xml:space="preserve">rules of engagement and </w:t>
      </w:r>
      <w:r w:rsidR="00543C7F">
        <w:t xml:space="preserve">configuration </w:t>
      </w:r>
      <w:r w:rsidR="00886A5D">
        <w:t xml:space="preserve">that exists </w:t>
      </w:r>
      <w:r w:rsidR="00543C7F">
        <w:t>between the</w:t>
      </w:r>
      <w:r w:rsidR="008D62E4">
        <w:t xml:space="preserve"> sales force</w:t>
      </w:r>
      <w:r w:rsidR="00543C7F">
        <w:t xml:space="preserve"> and</w:t>
      </w:r>
      <w:r w:rsidR="008D62E4">
        <w:t xml:space="preserve"> the lead generation </w:t>
      </w:r>
      <w:r w:rsidR="00543C7F">
        <w:t>efforts</w:t>
      </w:r>
      <w:r w:rsidR="00886A5D">
        <w:t xml:space="preserve">.  </w:t>
      </w:r>
    </w:p>
    <w:p w:rsidR="008D62E4" w:rsidRDefault="008D62E4" w:rsidP="00583970">
      <w:pPr>
        <w:autoSpaceDE w:val="0"/>
        <w:autoSpaceDN w:val="0"/>
        <w:adjustRightInd w:val="0"/>
        <w:spacing w:after="0" w:line="240" w:lineRule="auto"/>
      </w:pPr>
    </w:p>
    <w:p w:rsidR="001E1323" w:rsidRDefault="00D6492E" w:rsidP="00583970">
      <w:pPr>
        <w:autoSpaceDE w:val="0"/>
        <w:autoSpaceDN w:val="0"/>
        <w:adjustRightInd w:val="0"/>
        <w:spacing w:after="0" w:line="240" w:lineRule="auto"/>
      </w:pPr>
      <w:r>
        <w:t xml:space="preserve">These </w:t>
      </w:r>
      <w:r w:rsidR="00886A5D">
        <w:t xml:space="preserve">world class attributes of </w:t>
      </w:r>
      <w:r w:rsidR="00543C7F">
        <w:t>sales</w:t>
      </w:r>
      <w:r w:rsidR="00886A5D">
        <w:t xml:space="preserve"> to </w:t>
      </w:r>
      <w:r w:rsidR="00543C7F">
        <w:t>lead generation alignment</w:t>
      </w:r>
      <w:r>
        <w:t xml:space="preserve"> are universal regardless of whether the lead generation team is part of sales or marketing.  </w:t>
      </w:r>
    </w:p>
    <w:p w:rsidR="008D62E4" w:rsidRDefault="008D62E4" w:rsidP="00583970">
      <w:pPr>
        <w:autoSpaceDE w:val="0"/>
        <w:autoSpaceDN w:val="0"/>
        <w:adjustRightInd w:val="0"/>
        <w:spacing w:after="0" w:line="240" w:lineRule="auto"/>
      </w:pPr>
    </w:p>
    <w:p w:rsidR="008D62E4" w:rsidRDefault="008D62E4" w:rsidP="00583970">
      <w:pPr>
        <w:autoSpaceDE w:val="0"/>
        <w:autoSpaceDN w:val="0"/>
        <w:adjustRightInd w:val="0"/>
        <w:spacing w:after="0" w:line="240" w:lineRule="auto"/>
      </w:pPr>
      <w:r>
        <w:t>Instructions:</w:t>
      </w:r>
    </w:p>
    <w:p w:rsidR="008D62E4" w:rsidRDefault="008D62E4" w:rsidP="008D62E4">
      <w:pPr>
        <w:pStyle w:val="ListParagraph"/>
        <w:numPr>
          <w:ilvl w:val="0"/>
          <w:numId w:val="30"/>
        </w:numPr>
        <w:autoSpaceDE w:val="0"/>
        <w:autoSpaceDN w:val="0"/>
        <w:adjustRightInd w:val="0"/>
        <w:spacing w:after="0" w:line="240" w:lineRule="auto"/>
      </w:pPr>
      <w:r>
        <w:t xml:space="preserve">Read the description to gain full context into the World Class attribute. </w:t>
      </w:r>
    </w:p>
    <w:p w:rsidR="008D62E4" w:rsidRDefault="008D62E4" w:rsidP="008D62E4">
      <w:pPr>
        <w:pStyle w:val="ListParagraph"/>
        <w:numPr>
          <w:ilvl w:val="0"/>
          <w:numId w:val="30"/>
        </w:numPr>
        <w:autoSpaceDE w:val="0"/>
        <w:autoSpaceDN w:val="0"/>
        <w:adjustRightInd w:val="0"/>
        <w:spacing w:after="0" w:line="240" w:lineRule="auto"/>
      </w:pPr>
      <w:r>
        <w:t>Place an affirmative checkbox next to each attribute that your current approach satisfies.  Leave it blank if you partially or</w:t>
      </w:r>
      <w:bookmarkStart w:id="0" w:name="_GoBack"/>
      <w:bookmarkEnd w:id="0"/>
      <w:r>
        <w:t xml:space="preserve"> do not fulfill.  </w:t>
      </w:r>
    </w:p>
    <w:p w:rsidR="008D62E4" w:rsidRDefault="008D62E4" w:rsidP="008D62E4">
      <w:pPr>
        <w:pStyle w:val="ListParagraph"/>
        <w:numPr>
          <w:ilvl w:val="0"/>
          <w:numId w:val="30"/>
        </w:numPr>
        <w:autoSpaceDE w:val="0"/>
        <w:autoSpaceDN w:val="0"/>
        <w:adjustRightInd w:val="0"/>
        <w:spacing w:after="0" w:line="240" w:lineRule="auto"/>
      </w:pPr>
      <w:r>
        <w:t xml:space="preserve">Total the number of affirmative checklists and analyze the results.  </w:t>
      </w:r>
    </w:p>
    <w:p w:rsidR="00D6492E" w:rsidRDefault="00D6492E" w:rsidP="00583970">
      <w:pPr>
        <w:autoSpaceDE w:val="0"/>
        <w:autoSpaceDN w:val="0"/>
        <w:adjustRightInd w:val="0"/>
        <w:spacing w:after="0" w:line="240" w:lineRule="auto"/>
      </w:pPr>
    </w:p>
    <w:p w:rsidR="00961811" w:rsidRDefault="00961811" w:rsidP="00583970">
      <w:pPr>
        <w:autoSpaceDE w:val="0"/>
        <w:autoSpaceDN w:val="0"/>
        <w:adjustRightInd w:val="0"/>
        <w:spacing w:after="0" w:line="240" w:lineRule="auto"/>
        <w:rPr>
          <w:b/>
        </w:rPr>
      </w:pPr>
    </w:p>
    <w:tbl>
      <w:tblPr>
        <w:tblStyle w:val="TableGrid"/>
        <w:tblW w:w="0" w:type="auto"/>
        <w:tblLook w:val="04A0" w:firstRow="1" w:lastRow="0" w:firstColumn="1" w:lastColumn="0" w:noHBand="0" w:noVBand="1"/>
      </w:tblPr>
      <w:tblGrid>
        <w:gridCol w:w="1032"/>
        <w:gridCol w:w="2496"/>
        <w:gridCol w:w="6912"/>
      </w:tblGrid>
      <w:tr w:rsidR="00402C91" w:rsidTr="00402C91">
        <w:tc>
          <w:tcPr>
            <w:tcW w:w="1032" w:type="dxa"/>
          </w:tcPr>
          <w:p w:rsidR="00402C91" w:rsidRDefault="00402C91" w:rsidP="00583970">
            <w:pPr>
              <w:autoSpaceDE w:val="0"/>
              <w:autoSpaceDN w:val="0"/>
              <w:adjustRightInd w:val="0"/>
              <w:rPr>
                <w:b/>
              </w:rPr>
            </w:pPr>
            <w:r>
              <w:rPr>
                <w:b/>
              </w:rPr>
              <w:t>Checklist</w:t>
            </w:r>
          </w:p>
        </w:tc>
        <w:tc>
          <w:tcPr>
            <w:tcW w:w="2496" w:type="dxa"/>
          </w:tcPr>
          <w:p w:rsidR="00402C91" w:rsidRDefault="00913EC0" w:rsidP="00913EC0">
            <w:pPr>
              <w:autoSpaceDE w:val="0"/>
              <w:autoSpaceDN w:val="0"/>
              <w:adjustRightInd w:val="0"/>
              <w:rPr>
                <w:b/>
              </w:rPr>
            </w:pPr>
            <w:r>
              <w:rPr>
                <w:b/>
              </w:rPr>
              <w:t>World Class Attribute</w:t>
            </w:r>
          </w:p>
        </w:tc>
        <w:tc>
          <w:tcPr>
            <w:tcW w:w="6912" w:type="dxa"/>
          </w:tcPr>
          <w:p w:rsidR="00402C91" w:rsidRDefault="00913EC0" w:rsidP="00583970">
            <w:pPr>
              <w:autoSpaceDE w:val="0"/>
              <w:autoSpaceDN w:val="0"/>
              <w:adjustRightInd w:val="0"/>
              <w:rPr>
                <w:b/>
              </w:rPr>
            </w:pPr>
            <w:r>
              <w:rPr>
                <w:b/>
              </w:rPr>
              <w:t>Description</w:t>
            </w:r>
          </w:p>
        </w:tc>
      </w:tr>
      <w:tr w:rsidR="0055499C" w:rsidTr="00402C91">
        <w:tc>
          <w:tcPr>
            <w:tcW w:w="1032" w:type="dxa"/>
          </w:tcPr>
          <w:p w:rsidR="0055499C" w:rsidRDefault="0055499C" w:rsidP="0055499C">
            <w:pPr>
              <w:autoSpaceDE w:val="0"/>
              <w:autoSpaceDN w:val="0"/>
              <w:adjustRightInd w:val="0"/>
              <w:jc w:val="center"/>
              <w:rPr>
                <w:b/>
              </w:rPr>
            </w:pPr>
            <w:r>
              <w:rPr>
                <w:rFonts w:ascii="Wingdings" w:hAnsi="Wingdings"/>
              </w:rPr>
              <w:t></w:t>
            </w:r>
          </w:p>
        </w:tc>
        <w:tc>
          <w:tcPr>
            <w:tcW w:w="2496" w:type="dxa"/>
          </w:tcPr>
          <w:p w:rsidR="0055499C" w:rsidRDefault="0055499C" w:rsidP="00913EC0">
            <w:pPr>
              <w:autoSpaceDE w:val="0"/>
              <w:autoSpaceDN w:val="0"/>
              <w:adjustRightInd w:val="0"/>
              <w:rPr>
                <w:b/>
              </w:rPr>
            </w:pPr>
            <w:r>
              <w:rPr>
                <w:b/>
              </w:rPr>
              <w:t>Due Diligence BEFORE contacting a prospective lead</w:t>
            </w:r>
          </w:p>
        </w:tc>
        <w:tc>
          <w:tcPr>
            <w:tcW w:w="6912" w:type="dxa"/>
          </w:tcPr>
          <w:p w:rsidR="0055499C" w:rsidRPr="0055499C" w:rsidRDefault="004058B2" w:rsidP="004058B2">
            <w:pPr>
              <w:spacing w:before="100" w:beforeAutospacing="1" w:after="100" w:afterAutospacing="1"/>
            </w:pPr>
            <w:r>
              <w:t xml:space="preserve">The Lead Generation team must be aligned with the sales field.  Prior to contacting a prospect for the first time the lead generation teams MUST do research to understand the status of the Account.  The CRM is searched to understand if there is an active Opportunity and/or Contact.  The Lead Management process is documented with sales leadership to provide clear direction for prospective leads with active sales activity.  </w:t>
            </w:r>
            <w:r w:rsidR="0055499C">
              <w:t xml:space="preserve"> </w:t>
            </w:r>
          </w:p>
        </w:tc>
      </w:tr>
      <w:tr w:rsidR="0055499C" w:rsidTr="00402C91">
        <w:tc>
          <w:tcPr>
            <w:tcW w:w="1032" w:type="dxa"/>
          </w:tcPr>
          <w:p w:rsidR="0055499C" w:rsidRDefault="0055499C" w:rsidP="0055499C">
            <w:pPr>
              <w:autoSpaceDE w:val="0"/>
              <w:autoSpaceDN w:val="0"/>
              <w:adjustRightInd w:val="0"/>
              <w:jc w:val="center"/>
              <w:rPr>
                <w:rFonts w:ascii="Wingdings" w:hAnsi="Wingdings"/>
              </w:rPr>
            </w:pPr>
            <w:r>
              <w:rPr>
                <w:rFonts w:ascii="Wingdings" w:hAnsi="Wingdings"/>
              </w:rPr>
              <w:t></w:t>
            </w:r>
          </w:p>
        </w:tc>
        <w:tc>
          <w:tcPr>
            <w:tcW w:w="2496" w:type="dxa"/>
          </w:tcPr>
          <w:p w:rsidR="0055499C" w:rsidRDefault="004058B2" w:rsidP="00913EC0">
            <w:pPr>
              <w:autoSpaceDE w:val="0"/>
              <w:autoSpaceDN w:val="0"/>
              <w:adjustRightInd w:val="0"/>
              <w:rPr>
                <w:b/>
              </w:rPr>
            </w:pPr>
            <w:r>
              <w:rPr>
                <w:b/>
              </w:rPr>
              <w:t xml:space="preserve">Openness of accounts to lead generation </w:t>
            </w:r>
          </w:p>
        </w:tc>
        <w:tc>
          <w:tcPr>
            <w:tcW w:w="6912" w:type="dxa"/>
          </w:tcPr>
          <w:p w:rsidR="0055499C" w:rsidRDefault="004058B2" w:rsidP="004058B2">
            <w:pPr>
              <w:spacing w:before="100" w:beforeAutospacing="1" w:after="100" w:afterAutospacing="1"/>
            </w:pPr>
            <w:r>
              <w:t xml:space="preserve">Don’t Smother Lead Generation Efforts.  Don’t be paranoid and close out your lead generation team from a large portion of accounts.  With solid due diligence in place to identify active opportunities and contacts, remove the draconian level of protection of sales rep accounts.  Limit the number of ‘protected’ accounts.  Constrain the parameters that squelch lead generation efforts in existing accounts.  Stop wasting time building protective walls.  Spend more time focusing the activities you want.  Let lead generation teams extend the capability of the sales field to nurture many contacts concurrently.  </w:t>
            </w:r>
          </w:p>
        </w:tc>
      </w:tr>
      <w:tr w:rsidR="00402C91" w:rsidTr="00402C91">
        <w:tc>
          <w:tcPr>
            <w:tcW w:w="1032" w:type="dxa"/>
          </w:tcPr>
          <w:p w:rsidR="00402C91" w:rsidRDefault="00402C91" w:rsidP="00402C91">
            <w:pPr>
              <w:autoSpaceDE w:val="0"/>
              <w:autoSpaceDN w:val="0"/>
              <w:adjustRightInd w:val="0"/>
              <w:jc w:val="center"/>
              <w:rPr>
                <w:b/>
              </w:rPr>
            </w:pPr>
            <w:r>
              <w:rPr>
                <w:rFonts w:ascii="Wingdings" w:hAnsi="Wingdings"/>
              </w:rPr>
              <w:t></w:t>
            </w:r>
          </w:p>
        </w:tc>
        <w:tc>
          <w:tcPr>
            <w:tcW w:w="2496" w:type="dxa"/>
          </w:tcPr>
          <w:p w:rsidR="00402C91" w:rsidRDefault="006A1666" w:rsidP="006A1666">
            <w:pPr>
              <w:autoSpaceDE w:val="0"/>
              <w:autoSpaceDN w:val="0"/>
              <w:adjustRightInd w:val="0"/>
              <w:rPr>
                <w:b/>
              </w:rPr>
            </w:pPr>
            <w:r>
              <w:rPr>
                <w:b/>
              </w:rPr>
              <w:t xml:space="preserve">Comprehensive view of the Revenue Lifecycle </w:t>
            </w:r>
          </w:p>
        </w:tc>
        <w:tc>
          <w:tcPr>
            <w:tcW w:w="6912" w:type="dxa"/>
          </w:tcPr>
          <w:p w:rsidR="00402C91" w:rsidRDefault="00776FD7" w:rsidP="00583970">
            <w:pPr>
              <w:autoSpaceDE w:val="0"/>
              <w:autoSpaceDN w:val="0"/>
              <w:adjustRightInd w:val="0"/>
              <w:rPr>
                <w:b/>
              </w:rPr>
            </w:pPr>
            <w:r>
              <w:t xml:space="preserve">Transition from silo views of marketing and sales where the Revenue Lifecycle is fragmented.  Instead operate with comprehensive view from prospect Inquiries that can be tracked all the way through to Leads, Opportunities, and Wins.  </w:t>
            </w:r>
          </w:p>
        </w:tc>
      </w:tr>
      <w:tr w:rsidR="0044606B" w:rsidTr="00402C91">
        <w:tc>
          <w:tcPr>
            <w:tcW w:w="1032" w:type="dxa"/>
          </w:tcPr>
          <w:p w:rsidR="0044606B" w:rsidRDefault="0044606B" w:rsidP="00402C91">
            <w:pPr>
              <w:autoSpaceDE w:val="0"/>
              <w:autoSpaceDN w:val="0"/>
              <w:adjustRightInd w:val="0"/>
              <w:jc w:val="center"/>
              <w:rPr>
                <w:rFonts w:ascii="Wingdings" w:hAnsi="Wingdings"/>
              </w:rPr>
            </w:pPr>
            <w:r>
              <w:rPr>
                <w:rFonts w:ascii="Wingdings" w:hAnsi="Wingdings"/>
              </w:rPr>
              <w:t></w:t>
            </w:r>
          </w:p>
        </w:tc>
        <w:tc>
          <w:tcPr>
            <w:tcW w:w="2496" w:type="dxa"/>
          </w:tcPr>
          <w:p w:rsidR="0044606B" w:rsidRDefault="006A1666" w:rsidP="00050761">
            <w:pPr>
              <w:autoSpaceDE w:val="0"/>
              <w:autoSpaceDN w:val="0"/>
              <w:adjustRightInd w:val="0"/>
              <w:rPr>
                <w:b/>
              </w:rPr>
            </w:pPr>
            <w:r>
              <w:rPr>
                <w:b/>
              </w:rPr>
              <w:t xml:space="preserve">Clear areas of responsibility </w:t>
            </w:r>
          </w:p>
        </w:tc>
        <w:tc>
          <w:tcPr>
            <w:tcW w:w="6912" w:type="dxa"/>
          </w:tcPr>
          <w:p w:rsidR="0055499C" w:rsidRPr="00D3628C" w:rsidRDefault="00913EC0" w:rsidP="0044606B">
            <w:r>
              <w:t xml:space="preserve">A comprehensive Revenue Lifecycle cannot be complete with a neck to choke if results are there.  Does the lead generation team have a person assigned to a single responsibility?  Or do they have multiple people assigned to the same responsibility resulting in zero accountability?   World class firms have clear responsibilities for the key roles of Lead Generation.  </w:t>
            </w:r>
          </w:p>
        </w:tc>
      </w:tr>
      <w:tr w:rsidR="0044606B" w:rsidTr="00402C91">
        <w:tc>
          <w:tcPr>
            <w:tcW w:w="1032" w:type="dxa"/>
          </w:tcPr>
          <w:p w:rsidR="0044606B" w:rsidRDefault="0044606B" w:rsidP="00402C91">
            <w:pPr>
              <w:autoSpaceDE w:val="0"/>
              <w:autoSpaceDN w:val="0"/>
              <w:adjustRightInd w:val="0"/>
              <w:jc w:val="center"/>
              <w:rPr>
                <w:rFonts w:ascii="Wingdings" w:hAnsi="Wingdings"/>
              </w:rPr>
            </w:pPr>
            <w:r>
              <w:rPr>
                <w:rFonts w:ascii="Wingdings" w:hAnsi="Wingdings"/>
              </w:rPr>
              <w:t></w:t>
            </w:r>
          </w:p>
        </w:tc>
        <w:tc>
          <w:tcPr>
            <w:tcW w:w="2496" w:type="dxa"/>
          </w:tcPr>
          <w:p w:rsidR="0044606B" w:rsidRDefault="00050761" w:rsidP="00050761">
            <w:pPr>
              <w:autoSpaceDE w:val="0"/>
              <w:autoSpaceDN w:val="0"/>
              <w:adjustRightInd w:val="0"/>
              <w:rPr>
                <w:b/>
              </w:rPr>
            </w:pPr>
            <w:r>
              <w:rPr>
                <w:b/>
              </w:rPr>
              <w:t>F</w:t>
            </w:r>
            <w:r w:rsidR="00961811">
              <w:rPr>
                <w:b/>
              </w:rPr>
              <w:t xml:space="preserve">ormal </w:t>
            </w:r>
            <w:r w:rsidR="0044606B">
              <w:rPr>
                <w:b/>
              </w:rPr>
              <w:t>definition of a Lead</w:t>
            </w:r>
            <w:r w:rsidR="00961811">
              <w:rPr>
                <w:b/>
              </w:rPr>
              <w:t xml:space="preserve"> </w:t>
            </w:r>
          </w:p>
        </w:tc>
        <w:tc>
          <w:tcPr>
            <w:tcW w:w="6912" w:type="dxa"/>
          </w:tcPr>
          <w:p w:rsidR="00050761" w:rsidRPr="00D3628C" w:rsidRDefault="00050761" w:rsidP="00050761">
            <w:pPr>
              <w:autoSpaceDE w:val="0"/>
              <w:autoSpaceDN w:val="0"/>
              <w:adjustRightInd w:val="0"/>
            </w:pPr>
            <w:r>
              <w:t>The lead generation team and s</w:t>
            </w:r>
            <w:r w:rsidR="0044606B" w:rsidRPr="00402C91">
              <w:t xml:space="preserve">ales </w:t>
            </w:r>
            <w:r>
              <w:t xml:space="preserve">have </w:t>
            </w:r>
            <w:r w:rsidR="0044606B" w:rsidRPr="00402C91">
              <w:t>work</w:t>
            </w:r>
            <w:r>
              <w:t>ed</w:t>
            </w:r>
            <w:r w:rsidR="0044606B" w:rsidRPr="00402C91">
              <w:t xml:space="preserve"> in collaboration to deve</w:t>
            </w:r>
            <w:r w:rsidR="0044606B">
              <w:t xml:space="preserve">lop </w:t>
            </w:r>
            <w:r w:rsidR="00961811">
              <w:t xml:space="preserve">this guiding definition.  </w:t>
            </w:r>
            <w:r>
              <w:t>Leads are</w:t>
            </w:r>
            <w:r w:rsidR="00961811">
              <w:t xml:space="preserve"> developed </w:t>
            </w:r>
            <w:r>
              <w:t>that meet the criteria and s</w:t>
            </w:r>
            <w:r w:rsidR="0044606B" w:rsidRPr="00402C91">
              <w:t>ales</w:t>
            </w:r>
            <w:r w:rsidR="00961811">
              <w:t xml:space="preserve"> reps </w:t>
            </w:r>
            <w:r w:rsidR="0044606B" w:rsidRPr="00402C91">
              <w:t>have expectations based on this definition.</w:t>
            </w:r>
            <w:r>
              <w:t xml:space="preserve">  </w:t>
            </w:r>
          </w:p>
        </w:tc>
      </w:tr>
      <w:tr w:rsidR="0044606B" w:rsidTr="00402C91">
        <w:tc>
          <w:tcPr>
            <w:tcW w:w="1032" w:type="dxa"/>
          </w:tcPr>
          <w:p w:rsidR="0044606B" w:rsidRDefault="0044606B" w:rsidP="00402C91">
            <w:pPr>
              <w:autoSpaceDE w:val="0"/>
              <w:autoSpaceDN w:val="0"/>
              <w:adjustRightInd w:val="0"/>
              <w:jc w:val="center"/>
              <w:rPr>
                <w:rFonts w:ascii="Wingdings" w:hAnsi="Wingdings"/>
              </w:rPr>
            </w:pPr>
            <w:r>
              <w:rPr>
                <w:rFonts w:ascii="Wingdings" w:hAnsi="Wingdings"/>
              </w:rPr>
              <w:t></w:t>
            </w:r>
          </w:p>
        </w:tc>
        <w:tc>
          <w:tcPr>
            <w:tcW w:w="2496" w:type="dxa"/>
          </w:tcPr>
          <w:p w:rsidR="0044606B" w:rsidRDefault="00913EC0" w:rsidP="00402C91">
            <w:pPr>
              <w:autoSpaceDE w:val="0"/>
              <w:autoSpaceDN w:val="0"/>
              <w:adjustRightInd w:val="0"/>
              <w:rPr>
                <w:b/>
              </w:rPr>
            </w:pPr>
            <w:r>
              <w:rPr>
                <w:b/>
              </w:rPr>
              <w:t>Provide concise and specific Lead feedback on a per-lead basis</w:t>
            </w:r>
          </w:p>
        </w:tc>
        <w:tc>
          <w:tcPr>
            <w:tcW w:w="6912" w:type="dxa"/>
          </w:tcPr>
          <w:p w:rsidR="0044606B" w:rsidRPr="00D3628C" w:rsidRDefault="00913EC0" w:rsidP="0055499C">
            <w:pPr>
              <w:pStyle w:val="NoSpacing"/>
            </w:pPr>
            <w:r w:rsidRPr="00594F04">
              <w:t xml:space="preserve">Don’t let your reps throw mud by giving negative feedback without specific details. Be tough with feedback. Provide specific details on why leads were not good. Coach on what makes a great lead. Continuous </w:t>
            </w:r>
            <w:r w:rsidRPr="00594F04">
              <w:lastRenderedPageBreak/>
              <w:t>feedback between the individual rep and the contact providing the leads is required for success.</w:t>
            </w:r>
          </w:p>
        </w:tc>
      </w:tr>
      <w:tr w:rsidR="00050761" w:rsidTr="00402C91">
        <w:tc>
          <w:tcPr>
            <w:tcW w:w="1032" w:type="dxa"/>
          </w:tcPr>
          <w:p w:rsidR="00050761" w:rsidRDefault="00050761" w:rsidP="00402C91">
            <w:pPr>
              <w:autoSpaceDE w:val="0"/>
              <w:autoSpaceDN w:val="0"/>
              <w:adjustRightInd w:val="0"/>
              <w:jc w:val="center"/>
              <w:rPr>
                <w:rFonts w:ascii="Wingdings" w:hAnsi="Wingdings"/>
              </w:rPr>
            </w:pPr>
            <w:r>
              <w:rPr>
                <w:rFonts w:ascii="Wingdings" w:hAnsi="Wingdings"/>
              </w:rPr>
              <w:lastRenderedPageBreak/>
              <w:t></w:t>
            </w:r>
          </w:p>
        </w:tc>
        <w:tc>
          <w:tcPr>
            <w:tcW w:w="2496" w:type="dxa"/>
          </w:tcPr>
          <w:p w:rsidR="00050761" w:rsidRDefault="00050761" w:rsidP="00402C91">
            <w:pPr>
              <w:autoSpaceDE w:val="0"/>
              <w:autoSpaceDN w:val="0"/>
              <w:adjustRightInd w:val="0"/>
              <w:rPr>
                <w:b/>
              </w:rPr>
            </w:pPr>
            <w:r>
              <w:rPr>
                <w:b/>
              </w:rPr>
              <w:t>Nurturing in your Demand Generation</w:t>
            </w:r>
          </w:p>
        </w:tc>
        <w:tc>
          <w:tcPr>
            <w:tcW w:w="6912" w:type="dxa"/>
          </w:tcPr>
          <w:p w:rsidR="00050761" w:rsidRPr="00594F04" w:rsidRDefault="00050761" w:rsidP="00913EC0">
            <w:pPr>
              <w:spacing w:before="100" w:beforeAutospacing="1" w:after="100" w:afterAutospacing="1"/>
            </w:pPr>
            <w:r w:rsidRPr="00594F04">
              <w:t xml:space="preserve">Recognize that what makes a great sales rep is a hunter instinct to produce results. Demand Generation efforts will drive inquiries and prospects early in the buying process. In a complex b2b sale, pressure to qualify too early in the process can be detrimental. Companies with Lead Development Representatives and Marketing Automation have the capability to offer resources and build a rapport. This planned cadence speeds up the overall buying process to accelerate momentum to a formal sales lead. </w:t>
            </w:r>
          </w:p>
        </w:tc>
      </w:tr>
      <w:tr w:rsidR="00050761" w:rsidTr="00402C91">
        <w:tc>
          <w:tcPr>
            <w:tcW w:w="1032" w:type="dxa"/>
          </w:tcPr>
          <w:p w:rsidR="00050761" w:rsidRDefault="00050761" w:rsidP="00402C91">
            <w:pPr>
              <w:autoSpaceDE w:val="0"/>
              <w:autoSpaceDN w:val="0"/>
              <w:adjustRightInd w:val="0"/>
              <w:jc w:val="center"/>
              <w:rPr>
                <w:rFonts w:ascii="Wingdings" w:hAnsi="Wingdings"/>
              </w:rPr>
            </w:pPr>
            <w:r>
              <w:rPr>
                <w:rFonts w:ascii="Wingdings" w:hAnsi="Wingdings"/>
              </w:rPr>
              <w:t></w:t>
            </w:r>
          </w:p>
        </w:tc>
        <w:tc>
          <w:tcPr>
            <w:tcW w:w="2496" w:type="dxa"/>
          </w:tcPr>
          <w:p w:rsidR="00050761" w:rsidRDefault="00050761" w:rsidP="00402C91">
            <w:pPr>
              <w:autoSpaceDE w:val="0"/>
              <w:autoSpaceDN w:val="0"/>
              <w:adjustRightInd w:val="0"/>
              <w:rPr>
                <w:b/>
              </w:rPr>
            </w:pPr>
            <w:r>
              <w:rPr>
                <w:b/>
              </w:rPr>
              <w:t>Allow Leads to Develop (Don’t choke the Golden Goose)</w:t>
            </w:r>
          </w:p>
        </w:tc>
        <w:tc>
          <w:tcPr>
            <w:tcW w:w="6912" w:type="dxa"/>
          </w:tcPr>
          <w:p w:rsidR="00050761" w:rsidRPr="00594F04" w:rsidRDefault="00050761" w:rsidP="0055499C">
            <w:pPr>
              <w:pStyle w:val="NoSpacing"/>
            </w:pPr>
            <w:r>
              <w:t>When challenged with a tight quota, d</w:t>
            </w:r>
            <w:r w:rsidRPr="00594F04">
              <w:t>on’t prematurely pull under-developed prospects that aren’t ready into the sales rep’s call plans</w:t>
            </w:r>
            <w:r>
              <w:t xml:space="preserve">.  </w:t>
            </w:r>
            <w:r w:rsidRPr="00594F04">
              <w:t>As lead generation efforts increase in success; resist the urge to increase the short-term quantity of leads to the sales force by lowering the criteria for when a lead passes off to the sales rep. Allow best practices in lead manageme</w:t>
            </w:r>
            <w:r>
              <w:t>nt to work for your sales force</w:t>
            </w:r>
            <w:r w:rsidRPr="00594F04">
              <w:t>.</w:t>
            </w:r>
          </w:p>
        </w:tc>
      </w:tr>
      <w:tr w:rsidR="00050761" w:rsidTr="00402C91">
        <w:tc>
          <w:tcPr>
            <w:tcW w:w="1032" w:type="dxa"/>
          </w:tcPr>
          <w:p w:rsidR="00050761" w:rsidRDefault="00050761" w:rsidP="00402C91">
            <w:pPr>
              <w:autoSpaceDE w:val="0"/>
              <w:autoSpaceDN w:val="0"/>
              <w:adjustRightInd w:val="0"/>
              <w:jc w:val="center"/>
              <w:rPr>
                <w:rFonts w:ascii="Wingdings" w:hAnsi="Wingdings"/>
              </w:rPr>
            </w:pPr>
            <w:r>
              <w:rPr>
                <w:rFonts w:ascii="Wingdings" w:hAnsi="Wingdings"/>
              </w:rPr>
              <w:t></w:t>
            </w:r>
          </w:p>
        </w:tc>
        <w:tc>
          <w:tcPr>
            <w:tcW w:w="2496" w:type="dxa"/>
          </w:tcPr>
          <w:p w:rsidR="00050761" w:rsidRDefault="00050761" w:rsidP="00402C91">
            <w:pPr>
              <w:autoSpaceDE w:val="0"/>
              <w:autoSpaceDN w:val="0"/>
              <w:adjustRightInd w:val="0"/>
              <w:rPr>
                <w:b/>
              </w:rPr>
            </w:pPr>
            <w:r>
              <w:rPr>
                <w:b/>
              </w:rPr>
              <w:t>Return to Nurture</w:t>
            </w:r>
          </w:p>
        </w:tc>
        <w:tc>
          <w:tcPr>
            <w:tcW w:w="6912" w:type="dxa"/>
          </w:tcPr>
          <w:p w:rsidR="00050761" w:rsidRDefault="00050761" w:rsidP="00050761">
            <w:pPr>
              <w:pStyle w:val="NoSpacing"/>
            </w:pPr>
            <w:r>
              <w:t>When your reps receive a L</w:t>
            </w:r>
            <w:r w:rsidRPr="00594F04">
              <w:t>ead that's not ready or is non-responsive, simply return the lead to</w:t>
            </w:r>
            <w:r>
              <w:t xml:space="preserve"> the lead generation team to continue nurturing</w:t>
            </w:r>
            <w:r w:rsidRPr="00594F04">
              <w:t xml:space="preserve">. Let the nurturing resources of lead generation work on your behalf to cultivate awareness, onto interest, through consideration. The </w:t>
            </w:r>
            <w:r>
              <w:t xml:space="preserve">sales </w:t>
            </w:r>
            <w:r w:rsidRPr="00594F04">
              <w:t xml:space="preserve">reps will get pulled back in at the right time. </w:t>
            </w:r>
          </w:p>
        </w:tc>
      </w:tr>
      <w:tr w:rsidR="00913EC0" w:rsidTr="00402C91">
        <w:tc>
          <w:tcPr>
            <w:tcW w:w="1032" w:type="dxa"/>
          </w:tcPr>
          <w:p w:rsidR="00913EC0" w:rsidRDefault="00913EC0" w:rsidP="00402C91">
            <w:pPr>
              <w:autoSpaceDE w:val="0"/>
              <w:autoSpaceDN w:val="0"/>
              <w:adjustRightInd w:val="0"/>
              <w:jc w:val="center"/>
              <w:rPr>
                <w:rFonts w:ascii="Wingdings" w:hAnsi="Wingdings"/>
              </w:rPr>
            </w:pPr>
            <w:r>
              <w:rPr>
                <w:rFonts w:ascii="Wingdings" w:hAnsi="Wingdings"/>
              </w:rPr>
              <w:t></w:t>
            </w:r>
          </w:p>
        </w:tc>
        <w:tc>
          <w:tcPr>
            <w:tcW w:w="2496" w:type="dxa"/>
          </w:tcPr>
          <w:p w:rsidR="00913EC0" w:rsidRDefault="00913EC0" w:rsidP="00D22F16">
            <w:pPr>
              <w:autoSpaceDE w:val="0"/>
              <w:autoSpaceDN w:val="0"/>
              <w:adjustRightInd w:val="0"/>
              <w:rPr>
                <w:b/>
              </w:rPr>
            </w:pPr>
            <w:r>
              <w:rPr>
                <w:b/>
              </w:rPr>
              <w:t>Regular Cadence of Performance Review</w:t>
            </w:r>
          </w:p>
        </w:tc>
        <w:tc>
          <w:tcPr>
            <w:tcW w:w="6912" w:type="dxa"/>
          </w:tcPr>
          <w:p w:rsidR="00913EC0" w:rsidRDefault="00913EC0" w:rsidP="0055499C">
            <w:pPr>
              <w:pStyle w:val="NoSpacing"/>
            </w:pPr>
            <w:r>
              <w:t>Lead Generation teams should have regularly scheduled meetings with sales leadership to report on results.  This regular meeting forms the ongoing collaboration necessary to provide timely insights and drive corrective action.  Monthly or Quarterly reviews are too infrequent to get to root cause problems that are holding lead generation results back from peak performance.  Regular weekly or bi-weekly meetings enable the platform for world class lead generation.</w:t>
            </w:r>
          </w:p>
        </w:tc>
      </w:tr>
      <w:tr w:rsidR="00D6492E" w:rsidTr="00D6492E">
        <w:tc>
          <w:tcPr>
            <w:tcW w:w="1032" w:type="dxa"/>
            <w:shd w:val="clear" w:color="auto" w:fill="8DB3E2" w:themeFill="text2" w:themeFillTint="66"/>
          </w:tcPr>
          <w:p w:rsidR="00D6492E" w:rsidRDefault="00D6492E" w:rsidP="00402C91">
            <w:pPr>
              <w:autoSpaceDE w:val="0"/>
              <w:autoSpaceDN w:val="0"/>
              <w:adjustRightInd w:val="0"/>
              <w:jc w:val="center"/>
              <w:rPr>
                <w:rFonts w:ascii="Wingdings" w:hAnsi="Wingdings"/>
              </w:rPr>
            </w:pPr>
          </w:p>
        </w:tc>
        <w:tc>
          <w:tcPr>
            <w:tcW w:w="2496" w:type="dxa"/>
            <w:shd w:val="clear" w:color="auto" w:fill="8DB3E2" w:themeFill="text2" w:themeFillTint="66"/>
          </w:tcPr>
          <w:p w:rsidR="00D6492E" w:rsidRDefault="00D6492E" w:rsidP="00D22F16">
            <w:pPr>
              <w:autoSpaceDE w:val="0"/>
              <w:autoSpaceDN w:val="0"/>
              <w:adjustRightInd w:val="0"/>
              <w:rPr>
                <w:b/>
              </w:rPr>
            </w:pPr>
          </w:p>
        </w:tc>
        <w:tc>
          <w:tcPr>
            <w:tcW w:w="6912" w:type="dxa"/>
            <w:shd w:val="clear" w:color="auto" w:fill="8DB3E2" w:themeFill="text2" w:themeFillTint="66"/>
          </w:tcPr>
          <w:p w:rsidR="00D6492E" w:rsidRDefault="00D6492E" w:rsidP="0055499C">
            <w:pPr>
              <w:pStyle w:val="NoSpacing"/>
            </w:pPr>
          </w:p>
        </w:tc>
      </w:tr>
      <w:tr w:rsidR="00D6492E" w:rsidTr="00402C91">
        <w:tc>
          <w:tcPr>
            <w:tcW w:w="1032" w:type="dxa"/>
          </w:tcPr>
          <w:p w:rsidR="00D6492E" w:rsidRDefault="00D6492E" w:rsidP="00402C91">
            <w:pPr>
              <w:autoSpaceDE w:val="0"/>
              <w:autoSpaceDN w:val="0"/>
              <w:adjustRightInd w:val="0"/>
              <w:jc w:val="center"/>
              <w:rPr>
                <w:rFonts w:ascii="Wingdings" w:hAnsi="Wingdings"/>
              </w:rPr>
            </w:pPr>
          </w:p>
          <w:p w:rsidR="00D6492E" w:rsidRDefault="00DB02E8" w:rsidP="00402C91">
            <w:pPr>
              <w:autoSpaceDE w:val="0"/>
              <w:autoSpaceDN w:val="0"/>
              <w:adjustRightInd w:val="0"/>
              <w:jc w:val="center"/>
              <w:rPr>
                <w:rFonts w:ascii="Wingdings" w:hAnsi="Wingdings"/>
              </w:rPr>
            </w:pPr>
            <w:r>
              <w:rPr>
                <w:b/>
              </w:rPr>
              <w:t xml:space="preserve">Total </w:t>
            </w:r>
            <w:r w:rsidR="00D6492E">
              <w:rPr>
                <w:b/>
              </w:rPr>
              <w:t>QTY</w:t>
            </w:r>
            <w:r>
              <w:rPr>
                <w:b/>
              </w:rPr>
              <w:t xml:space="preserve"> </w:t>
            </w:r>
          </w:p>
          <w:p w:rsidR="00D6492E" w:rsidRDefault="00D6492E" w:rsidP="00402C91">
            <w:pPr>
              <w:autoSpaceDE w:val="0"/>
              <w:autoSpaceDN w:val="0"/>
              <w:adjustRightInd w:val="0"/>
              <w:jc w:val="center"/>
              <w:rPr>
                <w:rFonts w:ascii="Wingdings" w:hAnsi="Wingdings"/>
              </w:rPr>
            </w:pPr>
          </w:p>
          <w:p w:rsidR="00D6492E" w:rsidRDefault="00D6492E" w:rsidP="00402C91">
            <w:pPr>
              <w:autoSpaceDE w:val="0"/>
              <w:autoSpaceDN w:val="0"/>
              <w:adjustRightInd w:val="0"/>
              <w:jc w:val="center"/>
              <w:rPr>
                <w:rFonts w:ascii="Wingdings" w:hAnsi="Wingdings"/>
              </w:rPr>
            </w:pPr>
          </w:p>
        </w:tc>
        <w:tc>
          <w:tcPr>
            <w:tcW w:w="2496" w:type="dxa"/>
          </w:tcPr>
          <w:p w:rsidR="00D6492E" w:rsidRDefault="00D6492E" w:rsidP="00D22F16">
            <w:pPr>
              <w:autoSpaceDE w:val="0"/>
              <w:autoSpaceDN w:val="0"/>
              <w:adjustRightInd w:val="0"/>
              <w:rPr>
                <w:b/>
              </w:rPr>
            </w:pPr>
          </w:p>
          <w:p w:rsidR="00DB02E8" w:rsidRDefault="00DB02E8" w:rsidP="00DB02E8">
            <w:pPr>
              <w:autoSpaceDE w:val="0"/>
              <w:autoSpaceDN w:val="0"/>
              <w:adjustRightInd w:val="0"/>
              <w:jc w:val="center"/>
              <w:rPr>
                <w:rFonts w:ascii="Wingdings" w:hAnsi="Wingdings"/>
              </w:rPr>
            </w:pPr>
            <w:r>
              <w:rPr>
                <w:b/>
              </w:rPr>
              <w:t>Affirmative Checks</w:t>
            </w:r>
          </w:p>
          <w:p w:rsidR="00D6492E" w:rsidRDefault="00D6492E" w:rsidP="00EB4597">
            <w:pPr>
              <w:autoSpaceDE w:val="0"/>
              <w:autoSpaceDN w:val="0"/>
              <w:adjustRightInd w:val="0"/>
              <w:rPr>
                <w:b/>
              </w:rPr>
            </w:pPr>
          </w:p>
        </w:tc>
        <w:tc>
          <w:tcPr>
            <w:tcW w:w="6912" w:type="dxa"/>
          </w:tcPr>
          <w:p w:rsidR="00D6492E" w:rsidRDefault="00D6492E" w:rsidP="0055499C">
            <w:pPr>
              <w:pStyle w:val="NoSpacing"/>
            </w:pPr>
          </w:p>
          <w:p w:rsidR="00DB02E8" w:rsidRDefault="00DB02E8" w:rsidP="0055499C">
            <w:pPr>
              <w:pStyle w:val="NoSpacing"/>
            </w:pPr>
            <w:r w:rsidRPr="00DB02E8">
              <w:rPr>
                <w:u w:val="single"/>
              </w:rPr>
              <w:t xml:space="preserve">Qty </w:t>
            </w:r>
            <w:r>
              <w:t xml:space="preserve">     </w:t>
            </w:r>
            <w:r w:rsidRPr="00DB02E8">
              <w:rPr>
                <w:u w:val="single"/>
              </w:rPr>
              <w:t>Action Step</w:t>
            </w:r>
          </w:p>
          <w:p w:rsidR="00D6492E" w:rsidRDefault="00EB4597" w:rsidP="0055499C">
            <w:pPr>
              <w:pStyle w:val="NoSpacing"/>
            </w:pPr>
            <w:r>
              <w:t xml:space="preserve">10    </w:t>
            </w:r>
            <w:r w:rsidR="00DB02E8">
              <w:t xml:space="preserve">    </w:t>
            </w:r>
            <w:r w:rsidR="00D6492E">
              <w:t>Congrat</w:t>
            </w:r>
            <w:r w:rsidR="00DB02E8">
              <w:t>ulations!  Y</w:t>
            </w:r>
            <w:r w:rsidR="00D6492E">
              <w:t xml:space="preserve">ou </w:t>
            </w:r>
            <w:r>
              <w:t>have world-class alignment</w:t>
            </w:r>
          </w:p>
          <w:p w:rsidR="00D6492E" w:rsidRDefault="00EB4597" w:rsidP="00EB4597">
            <w:pPr>
              <w:pStyle w:val="NoSpacing"/>
            </w:pPr>
            <w:r>
              <w:t xml:space="preserve">8-9   </w:t>
            </w:r>
            <w:r w:rsidR="00DB02E8">
              <w:t xml:space="preserve">    </w:t>
            </w:r>
            <w:r>
              <w:t xml:space="preserve">Fine-tuning efforts </w:t>
            </w:r>
            <w:r w:rsidR="005D71BD">
              <w:t>should be opportunistically pursued</w:t>
            </w:r>
          </w:p>
          <w:p w:rsidR="00EB4597" w:rsidRDefault="00EB4597" w:rsidP="00EB4597">
            <w:pPr>
              <w:pStyle w:val="NoSpacing"/>
            </w:pPr>
            <w:r>
              <w:t xml:space="preserve">4-7  </w:t>
            </w:r>
            <w:r w:rsidR="00DB02E8">
              <w:t xml:space="preserve">    </w:t>
            </w:r>
            <w:r>
              <w:t xml:space="preserve"> Significant efforts are required</w:t>
            </w:r>
            <w:r w:rsidR="00DB02E8">
              <w:t>, you are missing opportunities</w:t>
            </w:r>
          </w:p>
          <w:p w:rsidR="00B639A5" w:rsidRDefault="00EB4597" w:rsidP="005D71BD">
            <w:pPr>
              <w:pStyle w:val="NoSpacing"/>
            </w:pPr>
            <w:r>
              <w:t xml:space="preserve">0-3  </w:t>
            </w:r>
            <w:r w:rsidR="00DB02E8">
              <w:t xml:space="preserve">     </w:t>
            </w:r>
            <w:r w:rsidR="005D71BD">
              <w:t>Immediate attention is required</w:t>
            </w:r>
            <w:r w:rsidR="00DB02E8">
              <w:t>, you are off course</w:t>
            </w:r>
          </w:p>
          <w:p w:rsidR="00EB4597" w:rsidRDefault="005D71BD" w:rsidP="005D71BD">
            <w:pPr>
              <w:pStyle w:val="NoSpacing"/>
            </w:pPr>
            <w:r>
              <w:t xml:space="preserve">  </w:t>
            </w:r>
          </w:p>
        </w:tc>
      </w:tr>
    </w:tbl>
    <w:p w:rsidR="00402C91" w:rsidRDefault="00402C91" w:rsidP="00583970">
      <w:pPr>
        <w:autoSpaceDE w:val="0"/>
        <w:autoSpaceDN w:val="0"/>
        <w:adjustRightInd w:val="0"/>
        <w:spacing w:after="0" w:line="240" w:lineRule="auto"/>
        <w:rPr>
          <w:b/>
        </w:rPr>
      </w:pPr>
    </w:p>
    <w:p w:rsidR="004A6486" w:rsidRDefault="004A6486" w:rsidP="00583970">
      <w:pPr>
        <w:autoSpaceDE w:val="0"/>
        <w:autoSpaceDN w:val="0"/>
        <w:adjustRightInd w:val="0"/>
        <w:spacing w:after="0" w:line="240" w:lineRule="auto"/>
        <w:rPr>
          <w:b/>
        </w:rPr>
      </w:pPr>
    </w:p>
    <w:p w:rsidR="004A6486" w:rsidRDefault="004A6486" w:rsidP="00583970">
      <w:pPr>
        <w:autoSpaceDE w:val="0"/>
        <w:autoSpaceDN w:val="0"/>
        <w:adjustRightInd w:val="0"/>
        <w:spacing w:after="0" w:line="240" w:lineRule="auto"/>
        <w:rPr>
          <w:b/>
        </w:rPr>
      </w:pPr>
    </w:p>
    <w:p w:rsidR="004A6486" w:rsidRDefault="004A6486" w:rsidP="00583970">
      <w:pPr>
        <w:autoSpaceDE w:val="0"/>
        <w:autoSpaceDN w:val="0"/>
        <w:adjustRightInd w:val="0"/>
        <w:spacing w:after="0" w:line="240" w:lineRule="auto"/>
        <w:rPr>
          <w:b/>
        </w:rPr>
      </w:pPr>
    </w:p>
    <w:p w:rsidR="004A6486" w:rsidRDefault="004A6486" w:rsidP="00583970">
      <w:pPr>
        <w:autoSpaceDE w:val="0"/>
        <w:autoSpaceDN w:val="0"/>
        <w:adjustRightInd w:val="0"/>
        <w:spacing w:after="0" w:line="240" w:lineRule="auto"/>
        <w:rPr>
          <w:b/>
        </w:rPr>
      </w:pPr>
    </w:p>
    <w:p w:rsidR="004A6486" w:rsidRDefault="004A6486" w:rsidP="00583970">
      <w:pPr>
        <w:autoSpaceDE w:val="0"/>
        <w:autoSpaceDN w:val="0"/>
        <w:adjustRightInd w:val="0"/>
        <w:spacing w:after="0" w:line="240" w:lineRule="auto"/>
        <w:rPr>
          <w:b/>
        </w:rPr>
      </w:pPr>
    </w:p>
    <w:p w:rsidR="004A6486" w:rsidRDefault="004A6486" w:rsidP="00583970">
      <w:pPr>
        <w:autoSpaceDE w:val="0"/>
        <w:autoSpaceDN w:val="0"/>
        <w:adjustRightInd w:val="0"/>
        <w:spacing w:after="0" w:line="240" w:lineRule="auto"/>
        <w:rPr>
          <w:b/>
        </w:rPr>
      </w:pPr>
    </w:p>
    <w:p w:rsidR="004A6486" w:rsidRDefault="004A6486" w:rsidP="00583970">
      <w:pPr>
        <w:autoSpaceDE w:val="0"/>
        <w:autoSpaceDN w:val="0"/>
        <w:adjustRightInd w:val="0"/>
        <w:spacing w:after="0" w:line="240" w:lineRule="auto"/>
        <w:rPr>
          <w:b/>
        </w:rPr>
      </w:pPr>
    </w:p>
    <w:p w:rsidR="004A6486" w:rsidRDefault="004A6486" w:rsidP="00583970">
      <w:pPr>
        <w:autoSpaceDE w:val="0"/>
        <w:autoSpaceDN w:val="0"/>
        <w:adjustRightInd w:val="0"/>
        <w:spacing w:after="0" w:line="240" w:lineRule="auto"/>
        <w:rPr>
          <w:b/>
        </w:rPr>
      </w:pPr>
    </w:p>
    <w:p w:rsidR="004A6486" w:rsidRDefault="004A6486" w:rsidP="004A6486">
      <w:pPr>
        <w:autoSpaceDE w:val="0"/>
        <w:autoSpaceDN w:val="0"/>
        <w:adjustRightInd w:val="0"/>
        <w:spacing w:after="0" w:line="240" w:lineRule="auto"/>
        <w:jc w:val="center"/>
        <w:rPr>
          <w:b/>
        </w:rPr>
      </w:pPr>
      <w:r>
        <w:rPr>
          <w:b/>
        </w:rPr>
        <w:t>www.SalesBenchmarkIndex.com</w:t>
      </w:r>
    </w:p>
    <w:sectPr w:rsidR="004A6486" w:rsidSect="00B85F93">
      <w:head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F34" w:rsidRDefault="00260F34" w:rsidP="00CC5A9E">
      <w:pPr>
        <w:spacing w:after="0" w:line="240" w:lineRule="auto"/>
      </w:pPr>
      <w:r>
        <w:separator/>
      </w:r>
    </w:p>
  </w:endnote>
  <w:endnote w:type="continuationSeparator" w:id="0">
    <w:p w:rsidR="00260F34" w:rsidRDefault="00260F34" w:rsidP="00CC5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F34" w:rsidRDefault="00260F34" w:rsidP="00CC5A9E">
      <w:pPr>
        <w:spacing w:after="0" w:line="240" w:lineRule="auto"/>
      </w:pPr>
      <w:r>
        <w:separator/>
      </w:r>
    </w:p>
  </w:footnote>
  <w:footnote w:type="continuationSeparator" w:id="0">
    <w:p w:rsidR="00260F34" w:rsidRDefault="00260F34" w:rsidP="00CC5A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85C" w:rsidRDefault="00793529" w:rsidP="007C185C">
    <w:pPr>
      <w:pStyle w:val="Header"/>
      <w:tabs>
        <w:tab w:val="clear" w:pos="9360"/>
        <w:tab w:val="right" w:pos="10080"/>
      </w:tabs>
      <w:rPr>
        <w:rFonts w:cs="Arial"/>
        <w:b/>
        <w:noProof/>
        <w:sz w:val="32"/>
        <w:szCs w:val="32"/>
      </w:rPr>
    </w:pPr>
    <w:r>
      <w:rPr>
        <w:rFonts w:cs="Arial"/>
        <w:b/>
        <w:noProof/>
        <w:sz w:val="32"/>
        <w:szCs w:val="32"/>
      </w:rPr>
      <mc:AlternateContent>
        <mc:Choice Requires="wps">
          <w:drawing>
            <wp:anchor distT="0" distB="0" distL="114300" distR="114300" simplePos="0" relativeHeight="251659264" behindDoc="0" locked="0" layoutInCell="1" allowOverlap="1" wp14:anchorId="4057DEA6" wp14:editId="0605611F">
              <wp:simplePos x="0" y="0"/>
              <wp:positionH relativeFrom="column">
                <wp:posOffset>-400050</wp:posOffset>
              </wp:positionH>
              <wp:positionV relativeFrom="paragraph">
                <wp:posOffset>-292100</wp:posOffset>
              </wp:positionV>
              <wp:extent cx="7264400" cy="9607550"/>
              <wp:effectExtent l="38100" t="41275" r="41275" b="381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0" cy="9607550"/>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1.5pt;margin-top:-23pt;width:572pt;height:7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" filled="f" strokeweight="6pt">
              <v:stroke linestyle="thickBetweenThin"/>
            </v:rect>
          </w:pict>
        </mc:Fallback>
      </mc:AlternateContent>
    </w:r>
    <w:r w:rsidR="002D5AED">
      <w:rPr>
        <w:rFonts w:cs="Arial"/>
        <w:b/>
        <w:noProof/>
        <w:sz w:val="32"/>
        <w:szCs w:val="32"/>
      </w:rPr>
      <w:t>Lead Generation Job Aid</w:t>
    </w:r>
    <w:r w:rsidR="007C185C">
      <w:rPr>
        <w:rFonts w:cs="Arial"/>
        <w:b/>
        <w:noProof/>
        <w:sz w:val="32"/>
        <w:szCs w:val="32"/>
      </w:rPr>
      <w:tab/>
    </w:r>
  </w:p>
  <w:p w:rsidR="00241987" w:rsidRPr="007C185C" w:rsidRDefault="00961811" w:rsidP="007C185C">
    <w:pPr>
      <w:pStyle w:val="Header"/>
      <w:tabs>
        <w:tab w:val="clear" w:pos="9360"/>
        <w:tab w:val="right" w:pos="10080"/>
      </w:tabs>
      <w:rPr>
        <w:rFonts w:cs="Arial"/>
        <w:b/>
        <w:sz w:val="32"/>
        <w:szCs w:val="32"/>
      </w:rPr>
    </w:pPr>
    <w:r>
      <w:rPr>
        <w:rFonts w:cs="Arial"/>
        <w:i/>
        <w:sz w:val="28"/>
        <w:szCs w:val="32"/>
      </w:rPr>
      <w:t xml:space="preserve">Sales Leader Checklist for LeadGen </w:t>
    </w:r>
    <w:r w:rsidR="008D62E4">
      <w:rPr>
        <w:rFonts w:cs="Arial"/>
        <w:i/>
        <w:sz w:val="28"/>
        <w:szCs w:val="32"/>
      </w:rPr>
      <w:t>Alignmen</w:t>
    </w:r>
    <w:r>
      <w:rPr>
        <w:rFonts w:cs="Arial"/>
        <w:i/>
        <w:sz w:val="28"/>
        <w:szCs w:val="32"/>
      </w:rPr>
      <w:t xml:space="preserve">t      </w:t>
    </w:r>
    <w:r w:rsidR="003472B9">
      <w:rPr>
        <w:rFonts w:cs="Arial"/>
        <w:i/>
        <w:sz w:val="28"/>
        <w:szCs w:val="32"/>
      </w:rPr>
      <w:t xml:space="preserve">                                           </w:t>
    </w:r>
    <w:r w:rsidR="007C185C">
      <w:rPr>
        <w:rFonts w:cs="Arial"/>
        <w:b/>
        <w:noProof/>
        <w:sz w:val="32"/>
        <w:szCs w:val="32"/>
      </w:rPr>
      <w:drawing>
        <wp:inline distT="0" distB="0" distL="0" distR="0" wp14:anchorId="176B9B6F" wp14:editId="1636BB82">
          <wp:extent cx="1060450" cy="551386"/>
          <wp:effectExtent l="0" t="0" r="635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I-Logo-Transparent_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3440" cy="552941"/>
                  </a:xfrm>
                  <a:prstGeom prst="rect">
                    <a:avLst/>
                  </a:prstGeom>
                </pic:spPr>
              </pic:pic>
            </a:graphicData>
          </a:graphic>
        </wp:inline>
      </w:drawing>
    </w:r>
  </w:p>
  <w:p w:rsidR="00CC5A9E" w:rsidRPr="00720FA2" w:rsidRDefault="00CC5A9E" w:rsidP="00CC5A9E">
    <w:pPr>
      <w:pStyle w:val="Header"/>
      <w:pBdr>
        <w:top w:val="single" w:sz="4" w:space="1" w:color="auto"/>
      </w:pBdr>
      <w:rPr>
        <w:rFonts w:cs="Arial"/>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3BC1"/>
    <w:multiLevelType w:val="hybridMultilevel"/>
    <w:tmpl w:val="56103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C87FC0"/>
    <w:multiLevelType w:val="hybridMultilevel"/>
    <w:tmpl w:val="8C9CB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E87F82"/>
    <w:multiLevelType w:val="multilevel"/>
    <w:tmpl w:val="B0122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3B7CE7"/>
    <w:multiLevelType w:val="multilevel"/>
    <w:tmpl w:val="B0122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F317FD"/>
    <w:multiLevelType w:val="hybridMultilevel"/>
    <w:tmpl w:val="D6A6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684EAC"/>
    <w:multiLevelType w:val="multilevel"/>
    <w:tmpl w:val="B0122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4C1F67"/>
    <w:multiLevelType w:val="multilevel"/>
    <w:tmpl w:val="B0122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EB7CDD"/>
    <w:multiLevelType w:val="hybridMultilevel"/>
    <w:tmpl w:val="F3D4B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357755"/>
    <w:multiLevelType w:val="multilevel"/>
    <w:tmpl w:val="B0122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647A32"/>
    <w:multiLevelType w:val="hybridMultilevel"/>
    <w:tmpl w:val="C4080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59772D"/>
    <w:multiLevelType w:val="hybridMultilevel"/>
    <w:tmpl w:val="626A09FE"/>
    <w:lvl w:ilvl="0" w:tplc="E29CFE40">
      <w:start w:val="1"/>
      <w:numFmt w:val="decimal"/>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C171B1"/>
    <w:multiLevelType w:val="multilevel"/>
    <w:tmpl w:val="B0122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1E73DE"/>
    <w:multiLevelType w:val="hybridMultilevel"/>
    <w:tmpl w:val="D6062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847F64"/>
    <w:multiLevelType w:val="multilevel"/>
    <w:tmpl w:val="B0122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9813AC"/>
    <w:multiLevelType w:val="hybridMultilevel"/>
    <w:tmpl w:val="CC12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D23D2E"/>
    <w:multiLevelType w:val="hybridMultilevel"/>
    <w:tmpl w:val="7B9A3258"/>
    <w:lvl w:ilvl="0" w:tplc="BF62A1A6">
      <w:start w:val="1"/>
      <w:numFmt w:val="bullet"/>
      <w:lvlText w:val="•"/>
      <w:lvlJc w:val="left"/>
      <w:pPr>
        <w:tabs>
          <w:tab w:val="num" w:pos="360"/>
        </w:tabs>
        <w:ind w:left="360" w:hanging="360"/>
      </w:pPr>
      <w:rPr>
        <w:rFonts w:ascii="Times New Roman" w:hAnsi="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F108689C">
      <w:start w:val="524"/>
      <w:numFmt w:val="bullet"/>
      <w:lvlText w:val=""/>
      <w:lvlJc w:val="left"/>
      <w:pPr>
        <w:tabs>
          <w:tab w:val="num" w:pos="1800"/>
        </w:tabs>
        <w:ind w:left="1800" w:hanging="360"/>
      </w:pPr>
      <w:rPr>
        <w:rFonts w:ascii="Wingdings" w:hAnsi="Wingdings" w:hint="default"/>
      </w:rPr>
    </w:lvl>
    <w:lvl w:ilvl="3" w:tplc="89F4E354" w:tentative="1">
      <w:start w:val="1"/>
      <w:numFmt w:val="bullet"/>
      <w:lvlText w:val="•"/>
      <w:lvlJc w:val="left"/>
      <w:pPr>
        <w:tabs>
          <w:tab w:val="num" w:pos="2520"/>
        </w:tabs>
        <w:ind w:left="2520" w:hanging="360"/>
      </w:pPr>
      <w:rPr>
        <w:rFonts w:ascii="Times New Roman" w:hAnsi="Times New Roman" w:hint="default"/>
      </w:rPr>
    </w:lvl>
    <w:lvl w:ilvl="4" w:tplc="956CE74E" w:tentative="1">
      <w:start w:val="1"/>
      <w:numFmt w:val="bullet"/>
      <w:lvlText w:val="•"/>
      <w:lvlJc w:val="left"/>
      <w:pPr>
        <w:tabs>
          <w:tab w:val="num" w:pos="3240"/>
        </w:tabs>
        <w:ind w:left="3240" w:hanging="360"/>
      </w:pPr>
      <w:rPr>
        <w:rFonts w:ascii="Times New Roman" w:hAnsi="Times New Roman" w:hint="default"/>
      </w:rPr>
    </w:lvl>
    <w:lvl w:ilvl="5" w:tplc="34004780" w:tentative="1">
      <w:start w:val="1"/>
      <w:numFmt w:val="bullet"/>
      <w:lvlText w:val="•"/>
      <w:lvlJc w:val="left"/>
      <w:pPr>
        <w:tabs>
          <w:tab w:val="num" w:pos="3960"/>
        </w:tabs>
        <w:ind w:left="3960" w:hanging="360"/>
      </w:pPr>
      <w:rPr>
        <w:rFonts w:ascii="Times New Roman" w:hAnsi="Times New Roman" w:hint="default"/>
      </w:rPr>
    </w:lvl>
    <w:lvl w:ilvl="6" w:tplc="475CE30A" w:tentative="1">
      <w:start w:val="1"/>
      <w:numFmt w:val="bullet"/>
      <w:lvlText w:val="•"/>
      <w:lvlJc w:val="left"/>
      <w:pPr>
        <w:tabs>
          <w:tab w:val="num" w:pos="4680"/>
        </w:tabs>
        <w:ind w:left="4680" w:hanging="360"/>
      </w:pPr>
      <w:rPr>
        <w:rFonts w:ascii="Times New Roman" w:hAnsi="Times New Roman" w:hint="default"/>
      </w:rPr>
    </w:lvl>
    <w:lvl w:ilvl="7" w:tplc="746E024E" w:tentative="1">
      <w:start w:val="1"/>
      <w:numFmt w:val="bullet"/>
      <w:lvlText w:val="•"/>
      <w:lvlJc w:val="left"/>
      <w:pPr>
        <w:tabs>
          <w:tab w:val="num" w:pos="5400"/>
        </w:tabs>
        <w:ind w:left="5400" w:hanging="360"/>
      </w:pPr>
      <w:rPr>
        <w:rFonts w:ascii="Times New Roman" w:hAnsi="Times New Roman" w:hint="default"/>
      </w:rPr>
    </w:lvl>
    <w:lvl w:ilvl="8" w:tplc="C95E94CE" w:tentative="1">
      <w:start w:val="1"/>
      <w:numFmt w:val="bullet"/>
      <w:lvlText w:val="•"/>
      <w:lvlJc w:val="left"/>
      <w:pPr>
        <w:tabs>
          <w:tab w:val="num" w:pos="6120"/>
        </w:tabs>
        <w:ind w:left="6120" w:hanging="360"/>
      </w:pPr>
      <w:rPr>
        <w:rFonts w:ascii="Times New Roman" w:hAnsi="Times New Roman" w:hint="default"/>
      </w:rPr>
    </w:lvl>
  </w:abstractNum>
  <w:abstractNum w:abstractNumId="16">
    <w:nsid w:val="3F393194"/>
    <w:multiLevelType w:val="hybridMultilevel"/>
    <w:tmpl w:val="633A4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A60AEF"/>
    <w:multiLevelType w:val="hybridMultilevel"/>
    <w:tmpl w:val="3670B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8476C6"/>
    <w:multiLevelType w:val="hybridMultilevel"/>
    <w:tmpl w:val="AAE212EA"/>
    <w:lvl w:ilvl="0" w:tplc="180278D6">
      <w:start w:val="1"/>
      <w:numFmt w:val="decimal"/>
      <w:lvlText w:val="%1."/>
      <w:lvlJc w:val="left"/>
      <w:pPr>
        <w:tabs>
          <w:tab w:val="num" w:pos="720"/>
        </w:tabs>
        <w:ind w:left="720" w:hanging="360"/>
      </w:pPr>
    </w:lvl>
    <w:lvl w:ilvl="1" w:tplc="279AC394" w:tentative="1">
      <w:start w:val="1"/>
      <w:numFmt w:val="decimal"/>
      <w:lvlText w:val="%2."/>
      <w:lvlJc w:val="left"/>
      <w:pPr>
        <w:tabs>
          <w:tab w:val="num" w:pos="1440"/>
        </w:tabs>
        <w:ind w:left="1440" w:hanging="360"/>
      </w:pPr>
    </w:lvl>
    <w:lvl w:ilvl="2" w:tplc="AA6C929C" w:tentative="1">
      <w:start w:val="1"/>
      <w:numFmt w:val="decimal"/>
      <w:lvlText w:val="%3."/>
      <w:lvlJc w:val="left"/>
      <w:pPr>
        <w:tabs>
          <w:tab w:val="num" w:pos="2160"/>
        </w:tabs>
        <w:ind w:left="2160" w:hanging="360"/>
      </w:pPr>
    </w:lvl>
    <w:lvl w:ilvl="3" w:tplc="07629060" w:tentative="1">
      <w:start w:val="1"/>
      <w:numFmt w:val="decimal"/>
      <w:lvlText w:val="%4."/>
      <w:lvlJc w:val="left"/>
      <w:pPr>
        <w:tabs>
          <w:tab w:val="num" w:pos="2880"/>
        </w:tabs>
        <w:ind w:left="2880" w:hanging="360"/>
      </w:pPr>
    </w:lvl>
    <w:lvl w:ilvl="4" w:tplc="39BEB958" w:tentative="1">
      <w:start w:val="1"/>
      <w:numFmt w:val="decimal"/>
      <w:lvlText w:val="%5."/>
      <w:lvlJc w:val="left"/>
      <w:pPr>
        <w:tabs>
          <w:tab w:val="num" w:pos="3600"/>
        </w:tabs>
        <w:ind w:left="3600" w:hanging="360"/>
      </w:pPr>
    </w:lvl>
    <w:lvl w:ilvl="5" w:tplc="0CB496FA" w:tentative="1">
      <w:start w:val="1"/>
      <w:numFmt w:val="decimal"/>
      <w:lvlText w:val="%6."/>
      <w:lvlJc w:val="left"/>
      <w:pPr>
        <w:tabs>
          <w:tab w:val="num" w:pos="4320"/>
        </w:tabs>
        <w:ind w:left="4320" w:hanging="360"/>
      </w:pPr>
    </w:lvl>
    <w:lvl w:ilvl="6" w:tplc="5B100FEE" w:tentative="1">
      <w:start w:val="1"/>
      <w:numFmt w:val="decimal"/>
      <w:lvlText w:val="%7."/>
      <w:lvlJc w:val="left"/>
      <w:pPr>
        <w:tabs>
          <w:tab w:val="num" w:pos="5040"/>
        </w:tabs>
        <w:ind w:left="5040" w:hanging="360"/>
      </w:pPr>
    </w:lvl>
    <w:lvl w:ilvl="7" w:tplc="70E43DB4" w:tentative="1">
      <w:start w:val="1"/>
      <w:numFmt w:val="decimal"/>
      <w:lvlText w:val="%8."/>
      <w:lvlJc w:val="left"/>
      <w:pPr>
        <w:tabs>
          <w:tab w:val="num" w:pos="5760"/>
        </w:tabs>
        <w:ind w:left="5760" w:hanging="360"/>
      </w:pPr>
    </w:lvl>
    <w:lvl w:ilvl="8" w:tplc="861202AE" w:tentative="1">
      <w:start w:val="1"/>
      <w:numFmt w:val="decimal"/>
      <w:lvlText w:val="%9."/>
      <w:lvlJc w:val="left"/>
      <w:pPr>
        <w:tabs>
          <w:tab w:val="num" w:pos="6480"/>
        </w:tabs>
        <w:ind w:left="6480" w:hanging="360"/>
      </w:pPr>
    </w:lvl>
  </w:abstractNum>
  <w:abstractNum w:abstractNumId="19">
    <w:nsid w:val="4D3A7F13"/>
    <w:multiLevelType w:val="hybridMultilevel"/>
    <w:tmpl w:val="985EB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B76FDC"/>
    <w:multiLevelType w:val="hybridMultilevel"/>
    <w:tmpl w:val="1C486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5F0D94"/>
    <w:multiLevelType w:val="hybridMultilevel"/>
    <w:tmpl w:val="29C00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DE62DB"/>
    <w:multiLevelType w:val="hybridMultilevel"/>
    <w:tmpl w:val="8110A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9C081F"/>
    <w:multiLevelType w:val="hybridMultilevel"/>
    <w:tmpl w:val="869CB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5B2F08"/>
    <w:multiLevelType w:val="multilevel"/>
    <w:tmpl w:val="B0122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4105968"/>
    <w:multiLevelType w:val="multilevel"/>
    <w:tmpl w:val="B0122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9D40B8D"/>
    <w:multiLevelType w:val="hybridMultilevel"/>
    <w:tmpl w:val="925A2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1C4DB3"/>
    <w:multiLevelType w:val="hybridMultilevel"/>
    <w:tmpl w:val="FD184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465858"/>
    <w:multiLevelType w:val="hybridMultilevel"/>
    <w:tmpl w:val="71FE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CA39A1"/>
    <w:multiLevelType w:val="hybridMultilevel"/>
    <w:tmpl w:val="0DC6EB1C"/>
    <w:lvl w:ilvl="0" w:tplc="3AA2B13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6"/>
  </w:num>
  <w:num w:numId="4">
    <w:abstractNumId w:val="26"/>
  </w:num>
  <w:num w:numId="5">
    <w:abstractNumId w:val="0"/>
  </w:num>
  <w:num w:numId="6">
    <w:abstractNumId w:val="23"/>
  </w:num>
  <w:num w:numId="7">
    <w:abstractNumId w:val="20"/>
  </w:num>
  <w:num w:numId="8">
    <w:abstractNumId w:val="9"/>
  </w:num>
  <w:num w:numId="9">
    <w:abstractNumId w:val="17"/>
  </w:num>
  <w:num w:numId="10">
    <w:abstractNumId w:val="18"/>
  </w:num>
  <w:num w:numId="11">
    <w:abstractNumId w:val="27"/>
  </w:num>
  <w:num w:numId="12">
    <w:abstractNumId w:val="4"/>
  </w:num>
  <w:num w:numId="13">
    <w:abstractNumId w:val="14"/>
  </w:num>
  <w:num w:numId="14">
    <w:abstractNumId w:val="19"/>
  </w:num>
  <w:num w:numId="15">
    <w:abstractNumId w:val="7"/>
  </w:num>
  <w:num w:numId="16">
    <w:abstractNumId w:val="11"/>
  </w:num>
  <w:num w:numId="17">
    <w:abstractNumId w:val="29"/>
  </w:num>
  <w:num w:numId="18">
    <w:abstractNumId w:val="21"/>
  </w:num>
  <w:num w:numId="19">
    <w:abstractNumId w:val="28"/>
  </w:num>
  <w:num w:numId="20">
    <w:abstractNumId w:val="12"/>
  </w:num>
  <w:num w:numId="21">
    <w:abstractNumId w:val="15"/>
  </w:num>
  <w:num w:numId="22">
    <w:abstractNumId w:val="5"/>
  </w:num>
  <w:num w:numId="23">
    <w:abstractNumId w:val="6"/>
  </w:num>
  <w:num w:numId="24">
    <w:abstractNumId w:val="3"/>
  </w:num>
  <w:num w:numId="25">
    <w:abstractNumId w:val="2"/>
  </w:num>
  <w:num w:numId="26">
    <w:abstractNumId w:val="25"/>
  </w:num>
  <w:num w:numId="27">
    <w:abstractNumId w:val="8"/>
  </w:num>
  <w:num w:numId="28">
    <w:abstractNumId w:val="24"/>
  </w:num>
  <w:num w:numId="29">
    <w:abstractNumId w:val="1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BAC"/>
    <w:rsid w:val="00000089"/>
    <w:rsid w:val="000017D5"/>
    <w:rsid w:val="00013A1D"/>
    <w:rsid w:val="00022099"/>
    <w:rsid w:val="00035F62"/>
    <w:rsid w:val="00050761"/>
    <w:rsid w:val="00081AA0"/>
    <w:rsid w:val="000839F7"/>
    <w:rsid w:val="000868DE"/>
    <w:rsid w:val="000C5141"/>
    <w:rsid w:val="000C7716"/>
    <w:rsid w:val="000E027F"/>
    <w:rsid w:val="000F24A5"/>
    <w:rsid w:val="000F71DC"/>
    <w:rsid w:val="001169E6"/>
    <w:rsid w:val="001176E0"/>
    <w:rsid w:val="001179C5"/>
    <w:rsid w:val="001224C2"/>
    <w:rsid w:val="001226DB"/>
    <w:rsid w:val="00125D8D"/>
    <w:rsid w:val="0014590F"/>
    <w:rsid w:val="00145EF8"/>
    <w:rsid w:val="001548C2"/>
    <w:rsid w:val="00165EFD"/>
    <w:rsid w:val="0018235A"/>
    <w:rsid w:val="001909E4"/>
    <w:rsid w:val="00193F81"/>
    <w:rsid w:val="001B7B87"/>
    <w:rsid w:val="001C136B"/>
    <w:rsid w:val="001E1323"/>
    <w:rsid w:val="001E691E"/>
    <w:rsid w:val="001F7378"/>
    <w:rsid w:val="002149FA"/>
    <w:rsid w:val="00231E6E"/>
    <w:rsid w:val="00241987"/>
    <w:rsid w:val="00247978"/>
    <w:rsid w:val="00247A0D"/>
    <w:rsid w:val="00260F34"/>
    <w:rsid w:val="002619D3"/>
    <w:rsid w:val="002667AE"/>
    <w:rsid w:val="00280F03"/>
    <w:rsid w:val="002C3FB7"/>
    <w:rsid w:val="002D5AED"/>
    <w:rsid w:val="002D5DC1"/>
    <w:rsid w:val="002E4AD0"/>
    <w:rsid w:val="0030291C"/>
    <w:rsid w:val="00303F2E"/>
    <w:rsid w:val="0032414C"/>
    <w:rsid w:val="00332E8F"/>
    <w:rsid w:val="00343C25"/>
    <w:rsid w:val="003472B9"/>
    <w:rsid w:val="00350DD2"/>
    <w:rsid w:val="00366C71"/>
    <w:rsid w:val="00376296"/>
    <w:rsid w:val="003767C6"/>
    <w:rsid w:val="00387633"/>
    <w:rsid w:val="003A51E7"/>
    <w:rsid w:val="003B412E"/>
    <w:rsid w:val="003B7C9F"/>
    <w:rsid w:val="003C26FC"/>
    <w:rsid w:val="003F514A"/>
    <w:rsid w:val="003F5E94"/>
    <w:rsid w:val="00402C91"/>
    <w:rsid w:val="004058B2"/>
    <w:rsid w:val="004179FB"/>
    <w:rsid w:val="004238EB"/>
    <w:rsid w:val="00426C0A"/>
    <w:rsid w:val="004337DE"/>
    <w:rsid w:val="00442014"/>
    <w:rsid w:val="0044606B"/>
    <w:rsid w:val="00453FCE"/>
    <w:rsid w:val="00464D13"/>
    <w:rsid w:val="00464E39"/>
    <w:rsid w:val="00484CE3"/>
    <w:rsid w:val="004900D8"/>
    <w:rsid w:val="00492D19"/>
    <w:rsid w:val="004A6486"/>
    <w:rsid w:val="004A6B57"/>
    <w:rsid w:val="004B144B"/>
    <w:rsid w:val="004B62D9"/>
    <w:rsid w:val="004C6026"/>
    <w:rsid w:val="004F48AE"/>
    <w:rsid w:val="00507A5F"/>
    <w:rsid w:val="00514A85"/>
    <w:rsid w:val="00523CAD"/>
    <w:rsid w:val="00537943"/>
    <w:rsid w:val="00543C7F"/>
    <w:rsid w:val="005545C9"/>
    <w:rsid w:val="0055499C"/>
    <w:rsid w:val="005635F1"/>
    <w:rsid w:val="00582FA5"/>
    <w:rsid w:val="00583970"/>
    <w:rsid w:val="00594F04"/>
    <w:rsid w:val="005A4805"/>
    <w:rsid w:val="005D3EE8"/>
    <w:rsid w:val="005D71BD"/>
    <w:rsid w:val="00605C6D"/>
    <w:rsid w:val="006108E9"/>
    <w:rsid w:val="006176EA"/>
    <w:rsid w:val="00620234"/>
    <w:rsid w:val="00636ED2"/>
    <w:rsid w:val="0064694A"/>
    <w:rsid w:val="0067103E"/>
    <w:rsid w:val="00690640"/>
    <w:rsid w:val="006960AA"/>
    <w:rsid w:val="006A1666"/>
    <w:rsid w:val="006B5C74"/>
    <w:rsid w:val="006B7964"/>
    <w:rsid w:val="006C3611"/>
    <w:rsid w:val="006D6531"/>
    <w:rsid w:val="006D7DA2"/>
    <w:rsid w:val="006F3627"/>
    <w:rsid w:val="0070710A"/>
    <w:rsid w:val="007107B8"/>
    <w:rsid w:val="00720FA2"/>
    <w:rsid w:val="007255A5"/>
    <w:rsid w:val="00745469"/>
    <w:rsid w:val="007532D8"/>
    <w:rsid w:val="00755A2F"/>
    <w:rsid w:val="00765724"/>
    <w:rsid w:val="00776FD7"/>
    <w:rsid w:val="007843C7"/>
    <w:rsid w:val="00793529"/>
    <w:rsid w:val="00794081"/>
    <w:rsid w:val="00797DAD"/>
    <w:rsid w:val="007A0F84"/>
    <w:rsid w:val="007A7780"/>
    <w:rsid w:val="007A785F"/>
    <w:rsid w:val="007B2AB3"/>
    <w:rsid w:val="007C185C"/>
    <w:rsid w:val="007C5F12"/>
    <w:rsid w:val="007D302F"/>
    <w:rsid w:val="007E04AF"/>
    <w:rsid w:val="007E214D"/>
    <w:rsid w:val="007F1206"/>
    <w:rsid w:val="007F5FCF"/>
    <w:rsid w:val="007F7278"/>
    <w:rsid w:val="00825FEA"/>
    <w:rsid w:val="0082702C"/>
    <w:rsid w:val="00841DE9"/>
    <w:rsid w:val="00841E4F"/>
    <w:rsid w:val="008507D2"/>
    <w:rsid w:val="00856B38"/>
    <w:rsid w:val="00860AC2"/>
    <w:rsid w:val="00860C25"/>
    <w:rsid w:val="008622C7"/>
    <w:rsid w:val="00865ACA"/>
    <w:rsid w:val="00877E55"/>
    <w:rsid w:val="00886A5D"/>
    <w:rsid w:val="008A1E47"/>
    <w:rsid w:val="008A4D1C"/>
    <w:rsid w:val="008B41EE"/>
    <w:rsid w:val="008B44D6"/>
    <w:rsid w:val="008C1FDA"/>
    <w:rsid w:val="008D582E"/>
    <w:rsid w:val="008D62E4"/>
    <w:rsid w:val="008E2174"/>
    <w:rsid w:val="008F26AC"/>
    <w:rsid w:val="00913EC0"/>
    <w:rsid w:val="009174CB"/>
    <w:rsid w:val="00917B90"/>
    <w:rsid w:val="00931AEA"/>
    <w:rsid w:val="00933B46"/>
    <w:rsid w:val="00933D12"/>
    <w:rsid w:val="0094258B"/>
    <w:rsid w:val="00944DB7"/>
    <w:rsid w:val="009533A7"/>
    <w:rsid w:val="00961811"/>
    <w:rsid w:val="00984557"/>
    <w:rsid w:val="00994986"/>
    <w:rsid w:val="009A0D62"/>
    <w:rsid w:val="009C1B00"/>
    <w:rsid w:val="009F4EC9"/>
    <w:rsid w:val="00A045F1"/>
    <w:rsid w:val="00A06FDF"/>
    <w:rsid w:val="00A15D34"/>
    <w:rsid w:val="00A2005A"/>
    <w:rsid w:val="00A36DCE"/>
    <w:rsid w:val="00A52D77"/>
    <w:rsid w:val="00A70657"/>
    <w:rsid w:val="00A76A22"/>
    <w:rsid w:val="00A8568C"/>
    <w:rsid w:val="00A870A2"/>
    <w:rsid w:val="00A951C1"/>
    <w:rsid w:val="00AA448B"/>
    <w:rsid w:val="00AB56CF"/>
    <w:rsid w:val="00AB7B26"/>
    <w:rsid w:val="00AC4ACE"/>
    <w:rsid w:val="00AC72A9"/>
    <w:rsid w:val="00AC7E59"/>
    <w:rsid w:val="00AD2438"/>
    <w:rsid w:val="00AD5C44"/>
    <w:rsid w:val="00AE163E"/>
    <w:rsid w:val="00AE297C"/>
    <w:rsid w:val="00B023A4"/>
    <w:rsid w:val="00B125DC"/>
    <w:rsid w:val="00B271B7"/>
    <w:rsid w:val="00B400A1"/>
    <w:rsid w:val="00B45345"/>
    <w:rsid w:val="00B519BD"/>
    <w:rsid w:val="00B60D99"/>
    <w:rsid w:val="00B6223D"/>
    <w:rsid w:val="00B639A5"/>
    <w:rsid w:val="00B728E6"/>
    <w:rsid w:val="00B7787A"/>
    <w:rsid w:val="00B84C9C"/>
    <w:rsid w:val="00B85F93"/>
    <w:rsid w:val="00B94993"/>
    <w:rsid w:val="00BB1937"/>
    <w:rsid w:val="00BC1C0F"/>
    <w:rsid w:val="00BC73A5"/>
    <w:rsid w:val="00BE4228"/>
    <w:rsid w:val="00BE4B48"/>
    <w:rsid w:val="00BF10EC"/>
    <w:rsid w:val="00BF2361"/>
    <w:rsid w:val="00C0336C"/>
    <w:rsid w:val="00C17B15"/>
    <w:rsid w:val="00C31A7A"/>
    <w:rsid w:val="00C44CF5"/>
    <w:rsid w:val="00C743A8"/>
    <w:rsid w:val="00C776A0"/>
    <w:rsid w:val="00C84923"/>
    <w:rsid w:val="00C86312"/>
    <w:rsid w:val="00C9205A"/>
    <w:rsid w:val="00C96190"/>
    <w:rsid w:val="00CC1444"/>
    <w:rsid w:val="00CC192C"/>
    <w:rsid w:val="00CC346F"/>
    <w:rsid w:val="00CC4E2C"/>
    <w:rsid w:val="00CC5A9E"/>
    <w:rsid w:val="00CD54F9"/>
    <w:rsid w:val="00CF43FD"/>
    <w:rsid w:val="00CF442B"/>
    <w:rsid w:val="00D05185"/>
    <w:rsid w:val="00D16092"/>
    <w:rsid w:val="00D32690"/>
    <w:rsid w:val="00D33B55"/>
    <w:rsid w:val="00D3628C"/>
    <w:rsid w:val="00D367DA"/>
    <w:rsid w:val="00D403B9"/>
    <w:rsid w:val="00D52497"/>
    <w:rsid w:val="00D6492E"/>
    <w:rsid w:val="00D80760"/>
    <w:rsid w:val="00D857CB"/>
    <w:rsid w:val="00D921BB"/>
    <w:rsid w:val="00DA139A"/>
    <w:rsid w:val="00DA215D"/>
    <w:rsid w:val="00DA6540"/>
    <w:rsid w:val="00DB02E8"/>
    <w:rsid w:val="00DB4BDA"/>
    <w:rsid w:val="00DC0183"/>
    <w:rsid w:val="00DC21E0"/>
    <w:rsid w:val="00DF23C5"/>
    <w:rsid w:val="00E00E6F"/>
    <w:rsid w:val="00E0386C"/>
    <w:rsid w:val="00E14710"/>
    <w:rsid w:val="00E214E0"/>
    <w:rsid w:val="00E3737B"/>
    <w:rsid w:val="00E7001B"/>
    <w:rsid w:val="00E84B66"/>
    <w:rsid w:val="00E86C52"/>
    <w:rsid w:val="00EA5C71"/>
    <w:rsid w:val="00EB4597"/>
    <w:rsid w:val="00EC2E2C"/>
    <w:rsid w:val="00EE2970"/>
    <w:rsid w:val="00F05B34"/>
    <w:rsid w:val="00F05C0B"/>
    <w:rsid w:val="00F1154E"/>
    <w:rsid w:val="00F16ECA"/>
    <w:rsid w:val="00F21B46"/>
    <w:rsid w:val="00F249D8"/>
    <w:rsid w:val="00F26E08"/>
    <w:rsid w:val="00F30BAC"/>
    <w:rsid w:val="00F32C7F"/>
    <w:rsid w:val="00F362E1"/>
    <w:rsid w:val="00F4612E"/>
    <w:rsid w:val="00F6292D"/>
    <w:rsid w:val="00F67F84"/>
    <w:rsid w:val="00F76A8D"/>
    <w:rsid w:val="00F82899"/>
    <w:rsid w:val="00F836C8"/>
    <w:rsid w:val="00F9206E"/>
    <w:rsid w:val="00FA617E"/>
    <w:rsid w:val="00FB59D4"/>
    <w:rsid w:val="00FC1426"/>
    <w:rsid w:val="00FC7717"/>
    <w:rsid w:val="00FC7985"/>
    <w:rsid w:val="00FE282B"/>
    <w:rsid w:val="00FF0B78"/>
    <w:rsid w:val="00FF1AD7"/>
    <w:rsid w:val="00FF497E"/>
    <w:rsid w:val="00FF5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iPriority w:val="99"/>
    <w:unhideWhenUsed/>
    <w:rsid w:val="00F30BAC"/>
    <w:pPr>
      <w:spacing w:after="0" w:line="240" w:lineRule="auto"/>
      <w:ind w:left="360" w:hanging="360"/>
    </w:pPr>
  </w:style>
  <w:style w:type="paragraph" w:styleId="BalloonText">
    <w:name w:val="Balloon Text"/>
    <w:basedOn w:val="Normal"/>
    <w:link w:val="BalloonTextChar"/>
    <w:uiPriority w:val="99"/>
    <w:semiHidden/>
    <w:unhideWhenUsed/>
    <w:rsid w:val="00CC5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A9E"/>
    <w:rPr>
      <w:rFonts w:ascii="Tahoma" w:hAnsi="Tahoma" w:cs="Tahoma"/>
      <w:sz w:val="16"/>
      <w:szCs w:val="16"/>
    </w:rPr>
  </w:style>
  <w:style w:type="paragraph" w:styleId="Header">
    <w:name w:val="header"/>
    <w:basedOn w:val="Normal"/>
    <w:link w:val="HeaderChar"/>
    <w:uiPriority w:val="99"/>
    <w:unhideWhenUsed/>
    <w:rsid w:val="00CC5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A9E"/>
  </w:style>
  <w:style w:type="paragraph" w:styleId="Footer">
    <w:name w:val="footer"/>
    <w:basedOn w:val="Normal"/>
    <w:link w:val="FooterChar"/>
    <w:uiPriority w:val="99"/>
    <w:unhideWhenUsed/>
    <w:rsid w:val="00CC5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A9E"/>
  </w:style>
  <w:style w:type="paragraph" w:styleId="ListParagraph">
    <w:name w:val="List Paragraph"/>
    <w:basedOn w:val="Normal"/>
    <w:uiPriority w:val="34"/>
    <w:qFormat/>
    <w:rsid w:val="004900D8"/>
    <w:pPr>
      <w:ind w:left="720"/>
      <w:contextualSpacing/>
    </w:pPr>
  </w:style>
  <w:style w:type="paragraph" w:styleId="FootnoteText">
    <w:name w:val="footnote text"/>
    <w:basedOn w:val="Normal"/>
    <w:link w:val="FootnoteTextChar"/>
    <w:uiPriority w:val="99"/>
    <w:semiHidden/>
    <w:unhideWhenUsed/>
    <w:rsid w:val="007940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4081"/>
    <w:rPr>
      <w:sz w:val="20"/>
      <w:szCs w:val="20"/>
    </w:rPr>
  </w:style>
  <w:style w:type="character" w:styleId="FootnoteReference">
    <w:name w:val="footnote reference"/>
    <w:basedOn w:val="DefaultParagraphFont"/>
    <w:uiPriority w:val="99"/>
    <w:semiHidden/>
    <w:unhideWhenUsed/>
    <w:rsid w:val="00794081"/>
    <w:rPr>
      <w:vertAlign w:val="superscript"/>
    </w:rPr>
  </w:style>
  <w:style w:type="character" w:styleId="Hyperlink">
    <w:name w:val="Hyperlink"/>
    <w:basedOn w:val="DefaultParagraphFont"/>
    <w:uiPriority w:val="99"/>
    <w:unhideWhenUsed/>
    <w:rsid w:val="00745469"/>
    <w:rPr>
      <w:color w:val="0000FF" w:themeColor="hyperlink"/>
      <w:u w:val="single"/>
    </w:rPr>
  </w:style>
  <w:style w:type="paragraph" w:styleId="NoSpacing">
    <w:name w:val="No Spacing"/>
    <w:uiPriority w:val="1"/>
    <w:qFormat/>
    <w:rsid w:val="00583970"/>
    <w:pPr>
      <w:spacing w:after="0" w:line="240" w:lineRule="auto"/>
    </w:pPr>
    <w:rPr>
      <w:rFonts w:ascii="Calibri" w:eastAsia="Times New Roman" w:hAnsi="Calibri" w:cs="Times New Roman"/>
    </w:rPr>
  </w:style>
  <w:style w:type="table" w:styleId="TableGrid">
    <w:name w:val="Table Grid"/>
    <w:basedOn w:val="TableNormal"/>
    <w:uiPriority w:val="59"/>
    <w:rsid w:val="00755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B5C7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iPriority w:val="99"/>
    <w:unhideWhenUsed/>
    <w:rsid w:val="00F30BAC"/>
    <w:pPr>
      <w:spacing w:after="0" w:line="240" w:lineRule="auto"/>
      <w:ind w:left="360" w:hanging="360"/>
    </w:pPr>
  </w:style>
  <w:style w:type="paragraph" w:styleId="BalloonText">
    <w:name w:val="Balloon Text"/>
    <w:basedOn w:val="Normal"/>
    <w:link w:val="BalloonTextChar"/>
    <w:uiPriority w:val="99"/>
    <w:semiHidden/>
    <w:unhideWhenUsed/>
    <w:rsid w:val="00CC5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A9E"/>
    <w:rPr>
      <w:rFonts w:ascii="Tahoma" w:hAnsi="Tahoma" w:cs="Tahoma"/>
      <w:sz w:val="16"/>
      <w:szCs w:val="16"/>
    </w:rPr>
  </w:style>
  <w:style w:type="paragraph" w:styleId="Header">
    <w:name w:val="header"/>
    <w:basedOn w:val="Normal"/>
    <w:link w:val="HeaderChar"/>
    <w:uiPriority w:val="99"/>
    <w:unhideWhenUsed/>
    <w:rsid w:val="00CC5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A9E"/>
  </w:style>
  <w:style w:type="paragraph" w:styleId="Footer">
    <w:name w:val="footer"/>
    <w:basedOn w:val="Normal"/>
    <w:link w:val="FooterChar"/>
    <w:uiPriority w:val="99"/>
    <w:unhideWhenUsed/>
    <w:rsid w:val="00CC5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A9E"/>
  </w:style>
  <w:style w:type="paragraph" w:styleId="ListParagraph">
    <w:name w:val="List Paragraph"/>
    <w:basedOn w:val="Normal"/>
    <w:uiPriority w:val="34"/>
    <w:qFormat/>
    <w:rsid w:val="004900D8"/>
    <w:pPr>
      <w:ind w:left="720"/>
      <w:contextualSpacing/>
    </w:pPr>
  </w:style>
  <w:style w:type="paragraph" w:styleId="FootnoteText">
    <w:name w:val="footnote text"/>
    <w:basedOn w:val="Normal"/>
    <w:link w:val="FootnoteTextChar"/>
    <w:uiPriority w:val="99"/>
    <w:semiHidden/>
    <w:unhideWhenUsed/>
    <w:rsid w:val="007940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4081"/>
    <w:rPr>
      <w:sz w:val="20"/>
      <w:szCs w:val="20"/>
    </w:rPr>
  </w:style>
  <w:style w:type="character" w:styleId="FootnoteReference">
    <w:name w:val="footnote reference"/>
    <w:basedOn w:val="DefaultParagraphFont"/>
    <w:uiPriority w:val="99"/>
    <w:semiHidden/>
    <w:unhideWhenUsed/>
    <w:rsid w:val="00794081"/>
    <w:rPr>
      <w:vertAlign w:val="superscript"/>
    </w:rPr>
  </w:style>
  <w:style w:type="character" w:styleId="Hyperlink">
    <w:name w:val="Hyperlink"/>
    <w:basedOn w:val="DefaultParagraphFont"/>
    <w:uiPriority w:val="99"/>
    <w:unhideWhenUsed/>
    <w:rsid w:val="00745469"/>
    <w:rPr>
      <w:color w:val="0000FF" w:themeColor="hyperlink"/>
      <w:u w:val="single"/>
    </w:rPr>
  </w:style>
  <w:style w:type="paragraph" w:styleId="NoSpacing">
    <w:name w:val="No Spacing"/>
    <w:uiPriority w:val="1"/>
    <w:qFormat/>
    <w:rsid w:val="00583970"/>
    <w:pPr>
      <w:spacing w:after="0" w:line="240" w:lineRule="auto"/>
    </w:pPr>
    <w:rPr>
      <w:rFonts w:ascii="Calibri" w:eastAsia="Times New Roman" w:hAnsi="Calibri" w:cs="Times New Roman"/>
    </w:rPr>
  </w:style>
  <w:style w:type="table" w:styleId="TableGrid">
    <w:name w:val="Table Grid"/>
    <w:basedOn w:val="TableNormal"/>
    <w:uiPriority w:val="59"/>
    <w:rsid w:val="00755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B5C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1050">
      <w:bodyDiv w:val="1"/>
      <w:marLeft w:val="0"/>
      <w:marRight w:val="0"/>
      <w:marTop w:val="0"/>
      <w:marBottom w:val="0"/>
      <w:divBdr>
        <w:top w:val="none" w:sz="0" w:space="0" w:color="auto"/>
        <w:left w:val="none" w:sz="0" w:space="0" w:color="auto"/>
        <w:bottom w:val="none" w:sz="0" w:space="0" w:color="auto"/>
        <w:right w:val="none" w:sz="0" w:space="0" w:color="auto"/>
      </w:divBdr>
      <w:divsChild>
        <w:div w:id="823856216">
          <w:marLeft w:val="547"/>
          <w:marRight w:val="0"/>
          <w:marTop w:val="0"/>
          <w:marBottom w:val="0"/>
          <w:divBdr>
            <w:top w:val="none" w:sz="0" w:space="0" w:color="auto"/>
            <w:left w:val="none" w:sz="0" w:space="0" w:color="auto"/>
            <w:bottom w:val="none" w:sz="0" w:space="0" w:color="auto"/>
            <w:right w:val="none" w:sz="0" w:space="0" w:color="auto"/>
          </w:divBdr>
        </w:div>
      </w:divsChild>
    </w:div>
    <w:div w:id="275256623">
      <w:bodyDiv w:val="1"/>
      <w:marLeft w:val="0"/>
      <w:marRight w:val="0"/>
      <w:marTop w:val="0"/>
      <w:marBottom w:val="0"/>
      <w:divBdr>
        <w:top w:val="none" w:sz="0" w:space="0" w:color="auto"/>
        <w:left w:val="none" w:sz="0" w:space="0" w:color="auto"/>
        <w:bottom w:val="none" w:sz="0" w:space="0" w:color="auto"/>
        <w:right w:val="none" w:sz="0" w:space="0" w:color="auto"/>
      </w:divBdr>
    </w:div>
    <w:div w:id="333609098">
      <w:bodyDiv w:val="1"/>
      <w:marLeft w:val="0"/>
      <w:marRight w:val="0"/>
      <w:marTop w:val="0"/>
      <w:marBottom w:val="0"/>
      <w:divBdr>
        <w:top w:val="none" w:sz="0" w:space="0" w:color="auto"/>
        <w:left w:val="none" w:sz="0" w:space="0" w:color="auto"/>
        <w:bottom w:val="none" w:sz="0" w:space="0" w:color="auto"/>
        <w:right w:val="none" w:sz="0" w:space="0" w:color="auto"/>
      </w:divBdr>
    </w:div>
    <w:div w:id="393239076">
      <w:bodyDiv w:val="1"/>
      <w:marLeft w:val="0"/>
      <w:marRight w:val="0"/>
      <w:marTop w:val="0"/>
      <w:marBottom w:val="0"/>
      <w:divBdr>
        <w:top w:val="none" w:sz="0" w:space="0" w:color="auto"/>
        <w:left w:val="none" w:sz="0" w:space="0" w:color="auto"/>
        <w:bottom w:val="none" w:sz="0" w:space="0" w:color="auto"/>
        <w:right w:val="none" w:sz="0" w:space="0" w:color="auto"/>
      </w:divBdr>
    </w:div>
    <w:div w:id="412943473">
      <w:bodyDiv w:val="1"/>
      <w:marLeft w:val="0"/>
      <w:marRight w:val="0"/>
      <w:marTop w:val="0"/>
      <w:marBottom w:val="0"/>
      <w:divBdr>
        <w:top w:val="none" w:sz="0" w:space="0" w:color="auto"/>
        <w:left w:val="none" w:sz="0" w:space="0" w:color="auto"/>
        <w:bottom w:val="none" w:sz="0" w:space="0" w:color="auto"/>
        <w:right w:val="none" w:sz="0" w:space="0" w:color="auto"/>
      </w:divBdr>
    </w:div>
    <w:div w:id="535889914">
      <w:bodyDiv w:val="1"/>
      <w:marLeft w:val="0"/>
      <w:marRight w:val="0"/>
      <w:marTop w:val="0"/>
      <w:marBottom w:val="0"/>
      <w:divBdr>
        <w:top w:val="none" w:sz="0" w:space="0" w:color="auto"/>
        <w:left w:val="none" w:sz="0" w:space="0" w:color="auto"/>
        <w:bottom w:val="none" w:sz="0" w:space="0" w:color="auto"/>
        <w:right w:val="none" w:sz="0" w:space="0" w:color="auto"/>
      </w:divBdr>
    </w:div>
    <w:div w:id="830172342">
      <w:bodyDiv w:val="1"/>
      <w:marLeft w:val="0"/>
      <w:marRight w:val="0"/>
      <w:marTop w:val="0"/>
      <w:marBottom w:val="0"/>
      <w:divBdr>
        <w:top w:val="none" w:sz="0" w:space="0" w:color="auto"/>
        <w:left w:val="none" w:sz="0" w:space="0" w:color="auto"/>
        <w:bottom w:val="none" w:sz="0" w:space="0" w:color="auto"/>
        <w:right w:val="none" w:sz="0" w:space="0" w:color="auto"/>
      </w:divBdr>
    </w:div>
    <w:div w:id="986201910">
      <w:bodyDiv w:val="1"/>
      <w:marLeft w:val="0"/>
      <w:marRight w:val="0"/>
      <w:marTop w:val="0"/>
      <w:marBottom w:val="0"/>
      <w:divBdr>
        <w:top w:val="none" w:sz="0" w:space="0" w:color="auto"/>
        <w:left w:val="none" w:sz="0" w:space="0" w:color="auto"/>
        <w:bottom w:val="none" w:sz="0" w:space="0" w:color="auto"/>
        <w:right w:val="none" w:sz="0" w:space="0" w:color="auto"/>
      </w:divBdr>
    </w:div>
    <w:div w:id="1186671621">
      <w:bodyDiv w:val="1"/>
      <w:marLeft w:val="0"/>
      <w:marRight w:val="0"/>
      <w:marTop w:val="0"/>
      <w:marBottom w:val="0"/>
      <w:divBdr>
        <w:top w:val="none" w:sz="0" w:space="0" w:color="auto"/>
        <w:left w:val="none" w:sz="0" w:space="0" w:color="auto"/>
        <w:bottom w:val="none" w:sz="0" w:space="0" w:color="auto"/>
        <w:right w:val="none" w:sz="0" w:space="0" w:color="auto"/>
      </w:divBdr>
      <w:divsChild>
        <w:div w:id="796414315">
          <w:marLeft w:val="360"/>
          <w:marRight w:val="0"/>
          <w:marTop w:val="0"/>
          <w:marBottom w:val="151"/>
          <w:divBdr>
            <w:top w:val="none" w:sz="0" w:space="0" w:color="auto"/>
            <w:left w:val="none" w:sz="0" w:space="0" w:color="auto"/>
            <w:bottom w:val="none" w:sz="0" w:space="0" w:color="auto"/>
            <w:right w:val="none" w:sz="0" w:space="0" w:color="auto"/>
          </w:divBdr>
        </w:div>
        <w:div w:id="1996717253">
          <w:marLeft w:val="720"/>
          <w:marRight w:val="0"/>
          <w:marTop w:val="168"/>
          <w:marBottom w:val="168"/>
          <w:divBdr>
            <w:top w:val="none" w:sz="0" w:space="0" w:color="auto"/>
            <w:left w:val="none" w:sz="0" w:space="0" w:color="auto"/>
            <w:bottom w:val="none" w:sz="0" w:space="0" w:color="auto"/>
            <w:right w:val="none" w:sz="0" w:space="0" w:color="auto"/>
          </w:divBdr>
        </w:div>
        <w:div w:id="1237975784">
          <w:marLeft w:val="360"/>
          <w:marRight w:val="0"/>
          <w:marTop w:val="0"/>
          <w:marBottom w:val="151"/>
          <w:divBdr>
            <w:top w:val="none" w:sz="0" w:space="0" w:color="auto"/>
            <w:left w:val="none" w:sz="0" w:space="0" w:color="auto"/>
            <w:bottom w:val="none" w:sz="0" w:space="0" w:color="auto"/>
            <w:right w:val="none" w:sz="0" w:space="0" w:color="auto"/>
          </w:divBdr>
        </w:div>
        <w:div w:id="1242331951">
          <w:marLeft w:val="720"/>
          <w:marRight w:val="0"/>
          <w:marTop w:val="168"/>
          <w:marBottom w:val="168"/>
          <w:divBdr>
            <w:top w:val="none" w:sz="0" w:space="0" w:color="auto"/>
            <w:left w:val="none" w:sz="0" w:space="0" w:color="auto"/>
            <w:bottom w:val="none" w:sz="0" w:space="0" w:color="auto"/>
            <w:right w:val="none" w:sz="0" w:space="0" w:color="auto"/>
          </w:divBdr>
        </w:div>
        <w:div w:id="903178914">
          <w:marLeft w:val="360"/>
          <w:marRight w:val="0"/>
          <w:marTop w:val="0"/>
          <w:marBottom w:val="151"/>
          <w:divBdr>
            <w:top w:val="none" w:sz="0" w:space="0" w:color="auto"/>
            <w:left w:val="none" w:sz="0" w:space="0" w:color="auto"/>
            <w:bottom w:val="none" w:sz="0" w:space="0" w:color="auto"/>
            <w:right w:val="none" w:sz="0" w:space="0" w:color="auto"/>
          </w:divBdr>
        </w:div>
        <w:div w:id="76444798">
          <w:marLeft w:val="720"/>
          <w:marRight w:val="0"/>
          <w:marTop w:val="168"/>
          <w:marBottom w:val="168"/>
          <w:divBdr>
            <w:top w:val="none" w:sz="0" w:space="0" w:color="auto"/>
            <w:left w:val="none" w:sz="0" w:space="0" w:color="auto"/>
            <w:bottom w:val="none" w:sz="0" w:space="0" w:color="auto"/>
            <w:right w:val="none" w:sz="0" w:space="0" w:color="auto"/>
          </w:divBdr>
        </w:div>
        <w:div w:id="738752689">
          <w:marLeft w:val="360"/>
          <w:marRight w:val="0"/>
          <w:marTop w:val="0"/>
          <w:marBottom w:val="151"/>
          <w:divBdr>
            <w:top w:val="none" w:sz="0" w:space="0" w:color="auto"/>
            <w:left w:val="none" w:sz="0" w:space="0" w:color="auto"/>
            <w:bottom w:val="none" w:sz="0" w:space="0" w:color="auto"/>
            <w:right w:val="none" w:sz="0" w:space="0" w:color="auto"/>
          </w:divBdr>
        </w:div>
        <w:div w:id="1796558725">
          <w:marLeft w:val="720"/>
          <w:marRight w:val="0"/>
          <w:marTop w:val="168"/>
          <w:marBottom w:val="168"/>
          <w:divBdr>
            <w:top w:val="none" w:sz="0" w:space="0" w:color="auto"/>
            <w:left w:val="none" w:sz="0" w:space="0" w:color="auto"/>
            <w:bottom w:val="none" w:sz="0" w:space="0" w:color="auto"/>
            <w:right w:val="none" w:sz="0" w:space="0" w:color="auto"/>
          </w:divBdr>
        </w:div>
      </w:divsChild>
    </w:div>
    <w:div w:id="1348753445">
      <w:bodyDiv w:val="1"/>
      <w:marLeft w:val="0"/>
      <w:marRight w:val="0"/>
      <w:marTop w:val="0"/>
      <w:marBottom w:val="0"/>
      <w:divBdr>
        <w:top w:val="none" w:sz="0" w:space="0" w:color="auto"/>
        <w:left w:val="none" w:sz="0" w:space="0" w:color="auto"/>
        <w:bottom w:val="none" w:sz="0" w:space="0" w:color="auto"/>
        <w:right w:val="none" w:sz="0" w:space="0" w:color="auto"/>
      </w:divBdr>
    </w:div>
    <w:div w:id="1658605572">
      <w:bodyDiv w:val="1"/>
      <w:marLeft w:val="0"/>
      <w:marRight w:val="0"/>
      <w:marTop w:val="0"/>
      <w:marBottom w:val="0"/>
      <w:divBdr>
        <w:top w:val="none" w:sz="0" w:space="0" w:color="auto"/>
        <w:left w:val="none" w:sz="0" w:space="0" w:color="auto"/>
        <w:bottom w:val="none" w:sz="0" w:space="0" w:color="auto"/>
        <w:right w:val="none" w:sz="0" w:space="0" w:color="auto"/>
      </w:divBdr>
    </w:div>
    <w:div w:id="1743596925">
      <w:bodyDiv w:val="1"/>
      <w:marLeft w:val="0"/>
      <w:marRight w:val="0"/>
      <w:marTop w:val="0"/>
      <w:marBottom w:val="0"/>
      <w:divBdr>
        <w:top w:val="none" w:sz="0" w:space="0" w:color="auto"/>
        <w:left w:val="none" w:sz="0" w:space="0" w:color="auto"/>
        <w:bottom w:val="none" w:sz="0" w:space="0" w:color="auto"/>
        <w:right w:val="none" w:sz="0" w:space="0" w:color="auto"/>
      </w:divBdr>
    </w:div>
    <w:div w:id="1835298629">
      <w:bodyDiv w:val="1"/>
      <w:marLeft w:val="0"/>
      <w:marRight w:val="0"/>
      <w:marTop w:val="0"/>
      <w:marBottom w:val="0"/>
      <w:divBdr>
        <w:top w:val="none" w:sz="0" w:space="0" w:color="auto"/>
        <w:left w:val="none" w:sz="0" w:space="0" w:color="auto"/>
        <w:bottom w:val="none" w:sz="0" w:space="0" w:color="auto"/>
        <w:right w:val="none" w:sz="0" w:space="0" w:color="auto"/>
      </w:divBdr>
      <w:divsChild>
        <w:div w:id="641157752">
          <w:marLeft w:val="0"/>
          <w:marRight w:val="0"/>
          <w:marTop w:val="0"/>
          <w:marBottom w:val="0"/>
          <w:divBdr>
            <w:top w:val="none" w:sz="0" w:space="0" w:color="auto"/>
            <w:left w:val="none" w:sz="0" w:space="0" w:color="auto"/>
            <w:bottom w:val="none" w:sz="0" w:space="0" w:color="auto"/>
            <w:right w:val="none" w:sz="0" w:space="0" w:color="auto"/>
          </w:divBdr>
          <w:divsChild>
            <w:div w:id="1696728659">
              <w:marLeft w:val="0"/>
              <w:marRight w:val="0"/>
              <w:marTop w:val="0"/>
              <w:marBottom w:val="0"/>
              <w:divBdr>
                <w:top w:val="none" w:sz="0" w:space="0" w:color="auto"/>
                <w:left w:val="none" w:sz="0" w:space="0" w:color="auto"/>
                <w:bottom w:val="none" w:sz="0" w:space="0" w:color="auto"/>
                <w:right w:val="none" w:sz="0" w:space="0" w:color="auto"/>
              </w:divBdr>
              <w:divsChild>
                <w:div w:id="312024609">
                  <w:marLeft w:val="0"/>
                  <w:marRight w:val="0"/>
                  <w:marTop w:val="0"/>
                  <w:marBottom w:val="0"/>
                  <w:divBdr>
                    <w:top w:val="none" w:sz="0" w:space="0" w:color="auto"/>
                    <w:left w:val="none" w:sz="0" w:space="0" w:color="auto"/>
                    <w:bottom w:val="none" w:sz="0" w:space="0" w:color="auto"/>
                    <w:right w:val="none" w:sz="0" w:space="0" w:color="auto"/>
                  </w:divBdr>
                  <w:divsChild>
                    <w:div w:id="723676468">
                      <w:marLeft w:val="0"/>
                      <w:marRight w:val="0"/>
                      <w:marTop w:val="0"/>
                      <w:marBottom w:val="0"/>
                      <w:divBdr>
                        <w:top w:val="none" w:sz="0" w:space="0" w:color="auto"/>
                        <w:left w:val="none" w:sz="0" w:space="0" w:color="auto"/>
                        <w:bottom w:val="none" w:sz="0" w:space="0" w:color="auto"/>
                        <w:right w:val="none" w:sz="0" w:space="0" w:color="auto"/>
                      </w:divBdr>
                      <w:divsChild>
                        <w:div w:id="1330786235">
                          <w:marLeft w:val="0"/>
                          <w:marRight w:val="0"/>
                          <w:marTop w:val="0"/>
                          <w:marBottom w:val="0"/>
                          <w:divBdr>
                            <w:top w:val="none" w:sz="0" w:space="0" w:color="auto"/>
                            <w:left w:val="none" w:sz="0" w:space="0" w:color="auto"/>
                            <w:bottom w:val="none" w:sz="0" w:space="0" w:color="auto"/>
                            <w:right w:val="none" w:sz="0" w:space="0" w:color="auto"/>
                          </w:divBdr>
                          <w:divsChild>
                            <w:div w:id="322708888">
                              <w:marLeft w:val="0"/>
                              <w:marRight w:val="0"/>
                              <w:marTop w:val="0"/>
                              <w:marBottom w:val="0"/>
                              <w:divBdr>
                                <w:top w:val="none" w:sz="0" w:space="0" w:color="auto"/>
                                <w:left w:val="none" w:sz="0" w:space="0" w:color="auto"/>
                                <w:bottom w:val="none" w:sz="0" w:space="0" w:color="auto"/>
                                <w:right w:val="none" w:sz="0" w:space="0" w:color="auto"/>
                              </w:divBdr>
                              <w:divsChild>
                                <w:div w:id="2083140402">
                                  <w:marLeft w:val="0"/>
                                  <w:marRight w:val="0"/>
                                  <w:marTop w:val="0"/>
                                  <w:marBottom w:val="0"/>
                                  <w:divBdr>
                                    <w:top w:val="none" w:sz="0" w:space="0" w:color="auto"/>
                                    <w:left w:val="none" w:sz="0" w:space="0" w:color="auto"/>
                                    <w:bottom w:val="none" w:sz="0" w:space="0" w:color="auto"/>
                                    <w:right w:val="none" w:sz="0" w:space="0" w:color="auto"/>
                                  </w:divBdr>
                                  <w:divsChild>
                                    <w:div w:id="1225261286">
                                      <w:marLeft w:val="0"/>
                                      <w:marRight w:val="0"/>
                                      <w:marTop w:val="0"/>
                                      <w:marBottom w:val="0"/>
                                      <w:divBdr>
                                        <w:top w:val="none" w:sz="0" w:space="0" w:color="auto"/>
                                        <w:left w:val="none" w:sz="0" w:space="0" w:color="auto"/>
                                        <w:bottom w:val="none" w:sz="0" w:space="0" w:color="auto"/>
                                        <w:right w:val="none" w:sz="0" w:space="0" w:color="auto"/>
                                      </w:divBdr>
                                      <w:divsChild>
                                        <w:div w:id="1711370997">
                                          <w:marLeft w:val="0"/>
                                          <w:marRight w:val="0"/>
                                          <w:marTop w:val="0"/>
                                          <w:marBottom w:val="0"/>
                                          <w:divBdr>
                                            <w:top w:val="none" w:sz="0" w:space="0" w:color="auto"/>
                                            <w:left w:val="none" w:sz="0" w:space="0" w:color="auto"/>
                                            <w:bottom w:val="none" w:sz="0" w:space="0" w:color="auto"/>
                                            <w:right w:val="none" w:sz="0" w:space="0" w:color="auto"/>
                                          </w:divBdr>
                                          <w:divsChild>
                                            <w:div w:id="100594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15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72343-F985-4695-A584-7B047F026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Sales Benchmark Index</vt:lpstr>
    </vt:vector>
  </TitlesOfParts>
  <LinksUpToDate>false</LinksUpToDate>
  <CharactersWithSpaces>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 Benchmark Index</dc:title>
  <dc:subject>Sales Leader Checklist</dc:subject>
  <dc:creator/>
  <cp:lastModifiedBy/>
  <cp:revision>1</cp:revision>
  <dcterms:created xsi:type="dcterms:W3CDTF">2012-07-31T16:34:00Z</dcterms:created>
  <dcterms:modified xsi:type="dcterms:W3CDTF">2012-07-31T16:34:00Z</dcterms:modified>
  <cp:category>LeadGen;Lead Generation</cp:category>
</cp:coreProperties>
</file>