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44" w:rsidRPr="003C0844" w:rsidRDefault="003C0844" w:rsidP="003C0844">
      <w:pPr>
        <w:shd w:val="clear" w:color="auto" w:fill="FFFFFF"/>
        <w:spacing w:after="0" w:line="240" w:lineRule="auto"/>
        <w:ind w:left="720"/>
        <w:rPr>
          <w:rFonts w:ascii="Times New Roman" w:eastAsia="Times New Roman" w:hAnsi="Times New Roman" w:cs="Times New Roman"/>
          <w:color w:val="000000"/>
          <w:sz w:val="27"/>
          <w:szCs w:val="27"/>
          <w:lang w:val="es-ES" w:eastAsia="es-ES"/>
        </w:rPr>
      </w:pPr>
      <w:r w:rsidRPr="003C0844">
        <w:rPr>
          <w:rFonts w:ascii="Tahoma" w:eastAsia="Times New Roman" w:hAnsi="Tahoma" w:cs="Tahoma"/>
          <w:b/>
          <w:bCs/>
          <w:color w:val="00A000"/>
          <w:sz w:val="27"/>
          <w:szCs w:val="27"/>
          <w:lang w:val="es-ES" w:eastAsia="es-ES"/>
        </w:rPr>
        <w:t>Resolución</w:t>
      </w:r>
      <w:r w:rsidRPr="003C0844">
        <w:rPr>
          <w:rFonts w:ascii="Tahoma" w:eastAsia="Times New Roman" w:hAnsi="Tahoma" w:cs="Tahoma"/>
          <w:b/>
          <w:bCs/>
          <w:color w:val="000000"/>
          <w:sz w:val="27"/>
          <w:szCs w:val="27"/>
          <w:lang w:val="es-ES" w:eastAsia="es-ES"/>
        </w:rPr>
        <w:t> REGLAS GENERALES DE COMERCIO EXTERIOR 2019</w:t>
      </w:r>
    </w:p>
    <w:tbl>
      <w:tblPr>
        <w:tblW w:w="0" w:type="auto"/>
        <w:tblCellSpacing w:w="0" w:type="dxa"/>
        <w:tblInd w:w="720" w:type="dxa"/>
        <w:tblCellMar>
          <w:left w:w="0" w:type="dxa"/>
          <w:right w:w="0" w:type="dxa"/>
        </w:tblCellMar>
        <w:tblLook w:val="04A0" w:firstRow="1" w:lastRow="0" w:firstColumn="1" w:lastColumn="0" w:noHBand="0" w:noVBand="1"/>
      </w:tblPr>
      <w:tblGrid>
        <w:gridCol w:w="8640"/>
      </w:tblGrid>
      <w:tr w:rsidR="003C0844" w:rsidRPr="003C0844" w:rsidTr="003C0844">
        <w:trPr>
          <w:tblCellSpacing w:w="0" w:type="dxa"/>
        </w:trPr>
        <w:tc>
          <w:tcPr>
            <w:tcW w:w="10770" w:type="dxa"/>
            <w:hideMark/>
          </w:tcPr>
          <w:p w:rsidR="003C0844" w:rsidRPr="003C0844" w:rsidRDefault="003C0844" w:rsidP="003C0844">
            <w:pPr>
              <w:spacing w:after="0" w:line="240" w:lineRule="auto"/>
              <w:rPr>
                <w:rFonts w:ascii="Times New Roman" w:eastAsia="Times New Roman" w:hAnsi="Times New Roman" w:cs="Times New Roman"/>
                <w:sz w:val="24"/>
                <w:szCs w:val="24"/>
                <w:lang w:val="es-ES" w:eastAsia="es-ES"/>
              </w:rPr>
            </w:pPr>
            <w:r w:rsidRPr="003C0844">
              <w:rPr>
                <w:rFonts w:ascii="Tahoma" w:eastAsia="Times New Roman" w:hAnsi="Tahoma" w:cs="Tahoma"/>
                <w:b/>
                <w:bCs/>
                <w:color w:val="00A000"/>
                <w:sz w:val="24"/>
                <w:szCs w:val="24"/>
                <w:lang w:val="es-ES" w:eastAsia="es-ES"/>
              </w:rPr>
              <w:t>TÍTULO 3</w:t>
            </w:r>
            <w:r w:rsidRPr="003C0844">
              <w:rPr>
                <w:rFonts w:ascii="Tahoma" w:eastAsia="Times New Roman" w:hAnsi="Tahoma" w:cs="Tahoma"/>
                <w:b/>
                <w:bCs/>
                <w:sz w:val="24"/>
                <w:szCs w:val="24"/>
                <w:lang w:val="es-ES" w:eastAsia="es-ES"/>
              </w:rPr>
              <w:t> DESPACHO DE MERCANCÍAS</w:t>
            </w:r>
            <w:r w:rsidRPr="003C0844">
              <w:rPr>
                <w:rFonts w:ascii="Times New Roman" w:eastAsia="Times New Roman" w:hAnsi="Times New Roman" w:cs="Times New Roman"/>
                <w:sz w:val="24"/>
                <w:szCs w:val="24"/>
                <w:lang w:val="es-ES" w:eastAsia="es-ES"/>
              </w:rPr>
              <w:br/>
            </w:r>
            <w:r w:rsidRPr="003C0844">
              <w:rPr>
                <w:rFonts w:ascii="Tahoma" w:eastAsia="Times New Roman" w:hAnsi="Tahoma" w:cs="Tahoma"/>
                <w:b/>
                <w:bCs/>
                <w:color w:val="00A000"/>
                <w:sz w:val="24"/>
                <w:szCs w:val="24"/>
                <w:lang w:val="es-ES" w:eastAsia="es-ES"/>
              </w:rPr>
              <w:t>CAPÍTULO 3. 1</w:t>
            </w:r>
            <w:r w:rsidRPr="003C0844">
              <w:rPr>
                <w:rFonts w:ascii="Tahoma" w:eastAsia="Times New Roman" w:hAnsi="Tahoma" w:cs="Tahoma"/>
                <w:sz w:val="24"/>
                <w:szCs w:val="24"/>
                <w:lang w:val="es-ES" w:eastAsia="es-ES"/>
              </w:rPr>
              <w:t> </w:t>
            </w:r>
            <w:r w:rsidRPr="003C0844">
              <w:rPr>
                <w:rFonts w:ascii="Tahoma" w:eastAsia="Times New Roman" w:hAnsi="Tahoma" w:cs="Tahoma"/>
                <w:b/>
                <w:bCs/>
                <w:sz w:val="24"/>
                <w:szCs w:val="24"/>
                <w:lang w:val="es-ES" w:eastAsia="es-ES"/>
              </w:rPr>
              <w:t>DISPOSICIONES GENERALES</w:t>
            </w:r>
            <w:r w:rsidRPr="003C0844">
              <w:rPr>
                <w:rFonts w:ascii="Times New Roman" w:eastAsia="Times New Roman" w:hAnsi="Times New Roman" w:cs="Times New Roman"/>
                <w:sz w:val="24"/>
                <w:szCs w:val="24"/>
                <w:lang w:val="es-ES" w:eastAsia="es-ES"/>
              </w:rPr>
              <w:br/>
            </w:r>
            <w:r w:rsidRPr="003C0844">
              <w:rPr>
                <w:rFonts w:ascii="Times New Roman" w:eastAsia="Times New Roman" w:hAnsi="Times New Roman" w:cs="Times New Roman"/>
                <w:sz w:val="24"/>
                <w:szCs w:val="24"/>
                <w:lang w:val="es-ES" w:eastAsia="es-ES"/>
              </w:rPr>
              <w:br/>
            </w:r>
            <w:r w:rsidRPr="003C0844">
              <w:rPr>
                <w:rFonts w:ascii="Tahoma" w:eastAsia="Times New Roman" w:hAnsi="Tahoma" w:cs="Tahoma"/>
                <w:b/>
                <w:bCs/>
                <w:color w:val="00A000"/>
                <w:sz w:val="24"/>
                <w:szCs w:val="24"/>
                <w:lang w:val="es-ES" w:eastAsia="es-ES"/>
              </w:rPr>
              <w:t>REGLA 3.1. 8.</w:t>
            </w:r>
            <w:r w:rsidRPr="003C0844">
              <w:rPr>
                <w:rFonts w:ascii="Tahoma" w:eastAsia="Times New Roman" w:hAnsi="Tahoma" w:cs="Tahoma"/>
                <w:sz w:val="24"/>
                <w:szCs w:val="24"/>
                <w:lang w:val="es-ES" w:eastAsia="es-ES"/>
              </w:rPr>
              <w:t> </w:t>
            </w:r>
            <w:r w:rsidRPr="003C0844">
              <w:rPr>
                <w:rFonts w:ascii="Tahoma" w:eastAsia="Times New Roman" w:hAnsi="Tahoma" w:cs="Tahoma"/>
                <w:b/>
                <w:bCs/>
                <w:sz w:val="24"/>
                <w:szCs w:val="24"/>
                <w:lang w:val="es-ES" w:eastAsia="es-ES"/>
              </w:rPr>
              <w:t>Requisitos que deben contener el CFDI y el documento equivalente</w:t>
            </w:r>
          </w:p>
        </w:tc>
      </w:tr>
    </w:tbl>
    <w:p w:rsidR="003C0844" w:rsidRPr="003C0844" w:rsidRDefault="003C0844" w:rsidP="003C0844">
      <w:pPr>
        <w:shd w:val="clear" w:color="auto" w:fill="FFFFFF"/>
        <w:spacing w:after="0" w:line="240" w:lineRule="auto"/>
        <w:ind w:left="720"/>
        <w:rPr>
          <w:rFonts w:ascii="Times New Roman" w:eastAsia="Times New Roman" w:hAnsi="Times New Roman" w:cs="Times New Roman"/>
          <w:color w:val="000000"/>
          <w:sz w:val="27"/>
          <w:szCs w:val="27"/>
          <w:lang w:val="es-ES" w:eastAsia="es-ES"/>
        </w:rPr>
      </w:pP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3.1.8. </w:t>
      </w:r>
      <w:r w:rsidRPr="003C0844">
        <w:rPr>
          <w:rFonts w:ascii="Arial" w:eastAsia="Times New Roman" w:hAnsi="Arial" w:cs="Arial"/>
          <w:color w:val="000000"/>
          <w:sz w:val="20"/>
          <w:szCs w:val="20"/>
          <w:lang w:val="es-ES" w:eastAsia="es-ES"/>
        </w:rPr>
        <w:t>Para los efectos de los artículos 36 y 36-A, fracción I, inciso a) de la Ley, la obligación de presentar los CFDI o documentos equivalentes, se deberá cumplir cuando las mercancías tengan un valor comercial en moneda nacional o extranjera superior a 300 dólares. Los CFDI o documentos equivalentes podrán ser expedidos por proveedores nacionales o extranjeros y presentarse en original o copia.</w:t>
      </w: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t>El CFDI deberá cumplir con los requisitos establecidos en el artículo 29-A del CFF.</w:t>
      </w: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t>El documento equivalente, será el documento de carácter fiscal emitido en el extranjero, que ampare el precio pagado o por pagar de las mercancías introducidas al territorio nacional o el valor de las mismas, según corresponda, y deberá contener los siguientes datos:</w:t>
      </w:r>
    </w:p>
    <w:p w:rsidR="003C0844" w:rsidRPr="003C0844" w:rsidRDefault="003C0844" w:rsidP="003C0844">
      <w:pPr>
        <w:shd w:val="clear" w:color="auto" w:fill="FFFFFF"/>
        <w:spacing w:after="0" w:line="240" w:lineRule="auto"/>
        <w:ind w:left="216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I. </w:t>
      </w:r>
      <w:r w:rsidRPr="003C0844">
        <w:rPr>
          <w:rFonts w:ascii="Arial" w:eastAsia="Times New Roman" w:hAnsi="Arial" w:cs="Arial"/>
          <w:color w:val="000000"/>
          <w:sz w:val="20"/>
          <w:szCs w:val="20"/>
          <w:lang w:val="es-ES" w:eastAsia="es-ES"/>
        </w:rPr>
        <w:t>Lugar y fecha de expedición.</w:t>
      </w:r>
    </w:p>
    <w:p w:rsidR="003C0844" w:rsidRPr="003C0844" w:rsidRDefault="003C0844" w:rsidP="003C0844">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II. </w:t>
      </w:r>
      <w:r w:rsidRPr="003C0844">
        <w:rPr>
          <w:rFonts w:ascii="Arial" w:eastAsia="Times New Roman" w:hAnsi="Arial" w:cs="Arial"/>
          <w:color w:val="000000"/>
          <w:sz w:val="20"/>
          <w:szCs w:val="20"/>
          <w:lang w:val="es-ES" w:eastAsia="es-ES"/>
        </w:rPr>
        <w:t>Nombre y domicilio del destinatario de la mercancía. En los casos de cambio de destinatario, la persona que asuma este carácter anotará dicha circunstancia, bajo protesta de decir verdad, en todos los tantos del documento equivalente.</w:t>
      </w:r>
    </w:p>
    <w:p w:rsidR="003C0844" w:rsidRPr="003C0844" w:rsidRDefault="003C0844" w:rsidP="003C0844">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III. </w:t>
      </w:r>
      <w:r w:rsidRPr="003C0844">
        <w:rPr>
          <w:rFonts w:ascii="Arial" w:eastAsia="Times New Roman" w:hAnsi="Arial" w:cs="Arial"/>
          <w:color w:val="000000"/>
          <w:sz w:val="20"/>
          <w:szCs w:val="20"/>
          <w:lang w:val="es-ES" w:eastAsia="es-ES"/>
        </w:rPr>
        <w:t>La descripción comercial detallada de las mercancías y la especificación de ellas en cuanto a clase, cantidad de unidades, números de identificación, cuando éstos existan, así como los valores unitario y total. No se considerará descripción comercial detallada, cuando la misma venga en clave.</w:t>
      </w:r>
    </w:p>
    <w:p w:rsidR="003C0844" w:rsidRPr="003C0844" w:rsidRDefault="003C0844" w:rsidP="003C0844">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IV. </w:t>
      </w:r>
      <w:r w:rsidRPr="003C0844">
        <w:rPr>
          <w:rFonts w:ascii="Arial" w:eastAsia="Times New Roman" w:hAnsi="Arial" w:cs="Arial"/>
          <w:color w:val="000000"/>
          <w:sz w:val="20"/>
          <w:szCs w:val="20"/>
          <w:lang w:val="es-ES" w:eastAsia="es-ES"/>
        </w:rPr>
        <w:t>Nombre y domicilio del proveedor o vendedor.</w:t>
      </w:r>
    </w:p>
    <w:p w:rsidR="003C0844" w:rsidRPr="003C0844" w:rsidRDefault="003C0844" w:rsidP="003C0844">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V. </w:t>
      </w:r>
      <w:r w:rsidRPr="003C0844">
        <w:rPr>
          <w:rFonts w:ascii="Arial" w:eastAsia="Times New Roman" w:hAnsi="Arial" w:cs="Arial"/>
          <w:color w:val="000000"/>
          <w:sz w:val="20"/>
          <w:szCs w:val="20"/>
          <w:lang w:val="es-ES" w:eastAsia="es-ES"/>
        </w:rPr>
        <w:t>Nombre y domicilio del comprador cuando sea distinto del destinatario.</w:t>
      </w:r>
    </w:p>
    <w:p w:rsidR="003C0844" w:rsidRPr="003C0844" w:rsidRDefault="003C0844" w:rsidP="003C0844">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VI. </w:t>
      </w:r>
      <w:r w:rsidRPr="003C0844">
        <w:rPr>
          <w:rFonts w:ascii="Arial" w:eastAsia="Times New Roman" w:hAnsi="Arial" w:cs="Arial"/>
          <w:color w:val="000000"/>
          <w:sz w:val="20"/>
          <w:szCs w:val="20"/>
          <w:lang w:val="es-ES" w:eastAsia="es-ES"/>
        </w:rPr>
        <w:t>Número del documento.</w:t>
      </w:r>
    </w:p>
    <w:p w:rsidR="003C0844" w:rsidRPr="003C0844" w:rsidRDefault="003C0844" w:rsidP="003C0844">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lang w:val="es-ES" w:eastAsia="es-ES"/>
        </w:rPr>
      </w:pPr>
      <w:r w:rsidRPr="003C0844">
        <w:rPr>
          <w:rFonts w:ascii="Arial" w:eastAsia="Times New Roman" w:hAnsi="Arial" w:cs="Arial"/>
          <w:b/>
          <w:bCs/>
          <w:color w:val="000000"/>
          <w:sz w:val="20"/>
          <w:szCs w:val="20"/>
          <w:lang w:val="es-ES" w:eastAsia="es-ES"/>
        </w:rPr>
        <w:t xml:space="preserve">VII. </w:t>
      </w:r>
      <w:r w:rsidRPr="003C0844">
        <w:rPr>
          <w:rFonts w:ascii="Arial" w:eastAsia="Times New Roman" w:hAnsi="Arial" w:cs="Arial"/>
          <w:color w:val="000000"/>
          <w:sz w:val="20"/>
          <w:szCs w:val="20"/>
          <w:lang w:val="es-ES" w:eastAsia="es-ES"/>
        </w:rPr>
        <w:t>Valor comercial de las mercancías.</w:t>
      </w:r>
    </w:p>
    <w:p w:rsidR="003C0844" w:rsidRPr="003C0844" w:rsidRDefault="003C0844" w:rsidP="003C0844">
      <w:pPr>
        <w:shd w:val="clear" w:color="auto" w:fill="FFFFFF"/>
        <w:spacing w:after="0"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t>La falta de alguno de los datos o requisitos a que se refieren las fracciones anteriores, así como las enmendaduras o anotaciones que alteren los datos originales, deberá ser suplida por declaración, bajo protesta de decir verdad, del importador, agente aduanal o apoderado aduanal, en el propio documento equivalente cuando exista espacio para ello o mediante escrito libre en los términos de la regla 1.2.2., y presentarse en cualquier momento ante la autoridad aduanera, siempre que se efectúe el pago de la multa a que se refiere el artículo 185, fracción I de la Ley, salvo que se trate de cumplimiento espontáneo.</w:t>
      </w: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t>Lo dispuesto en el párrafo anterior, no será aplicable cuando la autoridad haya iniciado alguna de las facultades de comprobación contenidas en el artículo 42 del CFF y en la Ley.</w:t>
      </w: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lastRenderedPageBreak/>
        <w:t>En el caso de retornos de mercancías importadas temporalmente para elaboración, transformación o reparación, en términos de los artículos 108, 111 y 112 de la Ley, se podrá presentar el CFDI o documento equivalente, que exprese el valor comercial de las mercancías.</w:t>
      </w: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t>Cuando los datos a que se refiere la fracción III anterior, se encuentren en idiomas distintos del español, inglés o francés, deberán traducirse al idioma español en el mismo documento o en documento anexo.</w:t>
      </w: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t>Lo dispuesto en el párrafo anterior, también será aplicable para el documento de transporte a que se refiere el artículo 20, fracciones II y VII de la Ley y a los documentos señalados en el artículo 36-A, fracción I, inciso b) del mismo ordenamiento legal.</w:t>
      </w:r>
    </w:p>
    <w:p w:rsidR="003C0844" w:rsidRPr="003C0844" w:rsidRDefault="003C0844" w:rsidP="003C084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val="es-ES" w:eastAsia="es-ES"/>
        </w:rPr>
      </w:pPr>
      <w:r w:rsidRPr="003C0844">
        <w:rPr>
          <w:rFonts w:ascii="Arial" w:eastAsia="Times New Roman" w:hAnsi="Arial" w:cs="Arial"/>
          <w:color w:val="000000"/>
          <w:sz w:val="20"/>
          <w:szCs w:val="20"/>
          <w:lang w:val="es-ES" w:eastAsia="es-ES"/>
        </w:rPr>
        <w:t>La obligación de presentar el CFDI o documento equivalente, que exprese el valor comercial de las mercancías, deberá cumplirse mediante la transmisión señalada en la regla 1.9.18., sin que sea necesario acompañar al pedimento el comprobante que exprese el valor de las mercancías; tratándose de las mercancías señaladas en el Anexo 10, Apartado A de la presente resolución, además de la transmisión se deberá adjuntar el CFDI o documento equivalente.</w:t>
      </w:r>
    </w:p>
    <w:p w:rsidR="00D263FC" w:rsidRPr="003C0844" w:rsidRDefault="003C0844">
      <w:pPr>
        <w:rPr>
          <w:lang w:val="es-ES"/>
        </w:rPr>
      </w:pPr>
      <w:bookmarkStart w:id="0" w:name="_GoBack"/>
      <w:bookmarkEnd w:id="0"/>
    </w:p>
    <w:sectPr w:rsidR="00D263FC" w:rsidRPr="003C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44"/>
    <w:rsid w:val="003C0844"/>
    <w:rsid w:val="0059200C"/>
    <w:rsid w:val="008231D4"/>
    <w:rsid w:val="0097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F1CEA-3273-4F20-8AD9-7D901C93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084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50588">
      <w:bodyDiv w:val="1"/>
      <w:marLeft w:val="0"/>
      <w:marRight w:val="0"/>
      <w:marTop w:val="0"/>
      <w:marBottom w:val="0"/>
      <w:divBdr>
        <w:top w:val="none" w:sz="0" w:space="0" w:color="auto"/>
        <w:left w:val="none" w:sz="0" w:space="0" w:color="auto"/>
        <w:bottom w:val="none" w:sz="0" w:space="0" w:color="auto"/>
        <w:right w:val="none" w:sz="0" w:space="0" w:color="auto"/>
      </w:divBdr>
      <w:divsChild>
        <w:div w:id="145555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coronado</dc:creator>
  <cp:keywords/>
  <dc:description/>
  <cp:lastModifiedBy>manuel coronado</cp:lastModifiedBy>
  <cp:revision>1</cp:revision>
  <dcterms:created xsi:type="dcterms:W3CDTF">2019-06-29T01:13:00Z</dcterms:created>
  <dcterms:modified xsi:type="dcterms:W3CDTF">2019-06-29T01:14:00Z</dcterms:modified>
</cp:coreProperties>
</file>