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Escuela comercial cámara de comercio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Taller de lectura y redacción I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Tarea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Profa.: María Magdalena Rodríguez Ramírez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Grupo: 51-A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Tema: Enunciado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Fech: 9-10 de noviembre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Contesta las siguientes preguntas: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1.- Qué es una oración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2.- Cuáles son los elementos de la oración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3.- Qué es el sujeto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4.- Cuáles son los elementos del sujeto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5.- Qué es el núcleo verbal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6.- Qué son los modificadores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7.- Qué es el predicado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8.- Qué es el núcleo verbal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9.- Qué es el complemento directo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10.- Escribe tres enunciados con completo directo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11.- Qué es el complemento indirecto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12.- Escribe tres enunciados con complemento indirecto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13.- Cuáles son los tres tipos de complemento circunstancial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14.- Escribe tres ejemplos de enunciados que tengan todos los complementos circunstanciales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15.- Escribe un enunciado que contenga todos los elementos de la oración, tanto del sujeto como del predicado y señala cada parte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