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Escuela comercial cámara de comercio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Taller de lectura y redacción II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Guía primer parcial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Profa.: María Magdalena Rodríguez Ramírez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Grupo: 41-A / 51-A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1.- Cómo se desarrolla un tema.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2..- Cuáles son los medios de comunicación social.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3.- Cuál es la misión del periódico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4.- Qué es una editorial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5.- Cuando una editorial va firmada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6.- Cómo es el texto de la editorial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7.- Qué es un texto periodístico de información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8.- Cómo se divide la noticia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9.- En que consisten cada uno de los elementos del resumen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10.- Cuál es la diferencia entre suceso previo y suceso actual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11.- Cómo se estructura el relato periodístico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12.- Qué es la consecuencia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13.- Qué es el comentario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14.- Cuáles son los elementos del periódico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15.- Qué datos contiene la cabeza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16.- Cuál es la característica del texto científico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17.- Qué es un género literario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18.- Que es una leyenda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19.- Cuál es la característica del cuento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20.- Qué es una novela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21.- Que es un texto científico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22.- En qué se basa un texto científico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23.- Cuál es la intención del texto científico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24.- Qué es un texto literario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25.- Cuáles son las características del texto literario.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