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Tarea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Taller de lectura y redacción I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Profa.: María Magdalena Rodríguez Ramírez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Grupo: 51-A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Tema: Ficha bibliográfica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Ordenar los siguientes datos y formar las fichas bibliográficas correspondientes: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1.- Homenaje a Antonio Caso, 371 páginas, Ed., Stylo, año 2010, Antonio Gómez Robledo y otros, México, D.F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2.-  Breviarios Núm. 153 La semántica, Editorial Fondo de Cultura Económica , 115 páginas, México, D.F., 2010, Pierre Giraurd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3.- 447 páginas, El habla en la ciudad de México, 2007, México, D. F., Juan Manuel Lope Blanch. Editorial Esfinge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4.- México, D. F., 383 páginas, año 2013, Agustín Mateos Muñoz, Editorial Imprenta universitaria. Etimologías griegas del español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5.- Redacción y composición, 245 páginas, Editorial Mc. Graw-Hill, México.D.F., año 2007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Wenceslao Ortega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_419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