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Guía primer parcial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43 -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1.- Qué es 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2.- A que se refiere la reflexión metódica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3.- Quién es un filósofo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4.- Qué es el acto de filosofar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5.- A qué se refiere la teoría de las ideas y de las formas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6.- Qué precede a la filosofía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7.- En qué se basa la mitología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8.- Qué es un problema filosófico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9.- Qué significa valor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10.- Cómo se crean los valores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11.- A qué se refiere la polaridad del valor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12.- Cuáles son las características del valor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13.- Qué es la axilogía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14.- Cómo se forma la palabra axiología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15.- Cómo se determina el valor de las cosas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16.- Cuál es la diferencia entre valores superiores e inferiores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17.- En qué se basa la clasificación de los valores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18.- Escribe cinco ejemplos de valores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19.- Qué es un método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20.- Cuál es la finalidad del método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21.- Cuáles son los pasos del método filosófico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22.- Para qué sirven las críticas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24.- Qué es un argumento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25.- Cuál son los objetivos del método filosófico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