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Guía primer parcial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51 - 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1.- Qué es lenguaje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2.- Cuál es la diferencia entre lengua e idioma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3.- Qué es el circuito del habla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4.- Cuáles son los elementos del circuito del habla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5.- Cuál es la función de cada uno de los elementos del circuito del habla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6.- Qué es la retroalimentación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7.- Por qué es importante leer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8.- Qué implica saber leer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9.- Cuál es la diferencia entre lectura de estudio y de consulta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10.- En qué consiste la lectura de información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11.- Cuál es la técnica para leer periódicos y revistas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12.- Cuál es la finalidad de la lectura de investigación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13.- Cómo se lleva a cabo la lectura de información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14.- Qué datos contiene la portada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15.- Qué datos contiene la portadilla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16.- Cuál es la diferencia entre introducción y prólogo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17.- Cuáles son los diferentes tipos de índice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18.- Cuáles son las etapas de la lectura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19.- En qué consiste la lectura estructural o analítica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20.- Por qué es importante la lectura de información ( etapa 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21.- Cuál es la utilidad de la lectura evaluativa o crítica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22.- Qué es un defecto en la lectura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23.- En qué consiste la regresión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24.- Qué provoca la regresión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25.- Cuál es la diferencia entre vocalización y Subvocalización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