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Escuela comercial cámara de comercio</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Taller de lectura y redacción I</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Clase preparada</w:t>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Profa.: María Magdalena Rodríguez Ramírez</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Grupo: 51- 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Tema Tecnicismos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Fecha: 14-15  de diciembre</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Objetivo: </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Conocer lo que es un Tecnicismos así como de dónde provienen a fin de entender su aplicación.</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Desarrollo: </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Tecnicismos</w:t>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El crecimiento vertiginoso de nuestra era moderna y los constantes avances científicos y tecnológicos han incorporado a la lengua  una serie de palabras nuevas que han surgido como consecuencia del auge de ciencias como la medicina, la física, la matemática, la economía, la psicología, la filosofía, etcétera. Estos neologismos reciben el nombre de Tecnicismos.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Los tecnicismos son considerados como propios o privativos de una ciencia; pero también los encontramos en otras disciplinas como las bellas artes y los oficios en sus diversas facetas.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Su uso se limita a un grupo de personas que conocen o utilizan la misma área de conocimientos, razón por la cual resulta difícil que éstos sean comprendidos por personas ajenas a estas áreas.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Los tecnicismos son creados mediante el uso de prefijos y sufijos de origen griego y latino.</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Ejemplos: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Medicina: leucocitos, analgésicos, leucemia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Física: barómetro, pluviómetro, electrólisis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