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Escuela comercial cámara de comercio</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Filosofía</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Clase preparada</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Profa.: María Magdalena Rodríguez Ramírez</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Grupo: 43- A</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Tema: Ciencia y seudociencias</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Fecha: 12-15 de diciembre</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Objetivo: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Conocer la diferencia entre una ciencia y una seudociencia, de tal manera que se pueda diferenciar entre una y otra</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Desarrollo:.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Ciencia y seudociencia</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Otras características que permiten diferenciar la ciencia de la pseudociencia están relacionadas con su estructura interna y su dinámica.</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cuerpo del conocimiento de la ciencia está formado por hechos, hipótesis y teorías.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Los hechos deben ser verificables, las hipótesis deben ser contrastables y las teorías deben proponer nuevas hipótesis: sí la teoría es cierta, en tales circunstancias debería pasar tal cosa. Estas predicciones se someterán a verificación experimental que las refutarán o corroborará. Mientras una refutación suele ser definitiva,una verificación nunca es completa porque sólo garantiza que la cosa funciona en las condiciones del experimento, pero no puede ofrecer seguridades sobre lo que pasaría en escenarios alternativos.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Las pseudociencias no funcionan así, normalmente los hechos que defienden no son nunca verificables y sólo funcionan en condiciones fuera de control. Si se hace un experimento y el resultado es negativo suele acudirse a disculpas que tampoco son verificables.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Las pseudociencias tampoco plantean hipótesis ni elaboran teorías, lo cual es lógico dada la imposibilidad de probar o refutar los presuntos hechos paranormales que las fundamentan</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Esta falta de una estructura sólida es una buena pista para distinguir la ciencia de la pseudociencia. Por ejemplo, los defensores de la telepatía deberían desarrollar una “ teoría telepática”, que ecplicara los principios del fenómeno y a través del conocimiento adquirido, propusiera, por ejemplo, que la intensidad de la comunicación es constante y no desciende de la distancia entre el emisor y el receptor lo cuál sería, por cierto, un descubrimiento extraordinario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