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Escuela comercial cámara de comercio</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Taller de lectura y redacción II</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Clase preparada</w:t>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Profa.: María Magdalena Rodríguez Ramírez</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Grupo: 41-A / 51-A</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Tema: Texto científico</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Fecha: 21-23 de febrero del 2018</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Objetivo:</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Conocer lo que es un texto científico, así cómo sus características.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Desarrollo:</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Texto científico</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La lengua científica de caracteriza por el uso de terminología especializada, privativa de una ciencia, arte u oficio.</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Un texto científico es un conjunto coherente de enunciados con intención comunicativa expresado através de signos.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El objetivo científico nombra aquellos pertenecientes o relativos a la ciencia, que permiten organizar la información.</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Todos los días nos topamos con la lengua especial de las diversas ramas del conocimiento, economía, lógica, medicina, etc. En la actualidad han surgido diccionarios especializados en cada una de estas ciencias, con el propósito de dar respuesta al profesionista o al aficionado.</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El texto científico se basa en utilización de lenguaje especializado . Se trata de un tipo de lenguaje claro, con una sintaxis no demasiado compleja y oraciones adecuadas.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Para la lengua científica la escritura es un instrumento de precisión y su objetivo es transmitir conocimiento, es denotativo, tiende a una correspondencia recíproca entre signo y cosa designada. El signo es totalmente arbitrario, por lo que puede ser sustituido por signos equivalentes. El signo también es transparente, es decir, nos remite a lo que designa.</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El objetivo es que la información no sea malinterpretada: estos textos por lo tanto deben ser precisos.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El texto científico no contiene palabras ambiguas, ya que pretende que el significado de sus palabras sea unívico, con un único significante y significado.</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La intención es que el texto científico sea comprendido por cualquier integrante del grupo al que se dirige, aspira a la universalidad mediante su terminología específica, que permite traducciones precisas y exactas a otras lenguas sin lugar para interpretaciones erróneas.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El objetivo del texto científico es transmitir de manera apropiada, clara y concisa los resultados de un trabajo de investigación en un tema específico a la comunidad científica, así como al público interesado en general.</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Los textos científicos tienen una serie de características específicas que los diferencia de otro tipo de texto, como el literario o el informativo, pues trata de temas y situaciones que requieren un registro y una forma de abordaje específica.</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Sus características son las siguientes: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Lenguaje. Utiliza una terminología o léxico especializado, propio de cada área específica.</w:t>
      </w:r>
    </w:p>
    <w:p w:rsidR="00000000" w:rsidDel="00000000" w:rsidP="00000000" w:rsidRDefault="00000000" w:rsidRPr="00000000">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Objetividad. Son textos objetivos, basados en datos concretos, verificables, reproducibles.</w:t>
      </w:r>
    </w:p>
    <w:p w:rsidR="00000000" w:rsidDel="00000000" w:rsidP="00000000" w:rsidRDefault="00000000" w:rsidRPr="00000000">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Claridad. Los conocimientos son comunicados al lector de manera clara y precisa, sin ambigüedades, con una sintaxis limpia y adecuada</w:t>
      </w:r>
    </w:p>
    <w:p w:rsidR="00000000" w:rsidDel="00000000" w:rsidP="00000000" w:rsidRDefault="00000000" w:rsidRPr="00000000">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Formalidad. El tema es presentado y expuesto en un registro formal de escritura.</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Texto literario</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La teoría de los géneros literarios permite que haya una clasificación para que exista orden en la poesía. Puede haber poesía en verso o en prosa y por la manera de expresarse se divide en tres géneros:</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Lírico</w:t>
      </w:r>
    </w:p>
    <w:p w:rsidR="00000000" w:rsidDel="00000000" w:rsidP="00000000" w:rsidRDefault="00000000" w:rsidRPr="00000000">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Épico</w:t>
      </w:r>
    </w:p>
    <w:p w:rsidR="00000000" w:rsidDel="00000000" w:rsidP="00000000" w:rsidRDefault="00000000" w:rsidRPr="00000000">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Dramático</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Lo literario está ligado a la literatura que es el conjunto de saberes para leer y escribir bien.</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El texto literario es aquel  que usa un lenguaje que persigue un cierto fin estético para captar el interés del lector.</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El autor de literatura busca las palabras adecuadas para expresar sus ideas depurando y según un cierto criterio de estilo.</w:t>
      </w:r>
    </w:p>
    <w:p w:rsidR="00000000" w:rsidDel="00000000" w:rsidP="00000000" w:rsidRDefault="00000000" w:rsidRPr="00000000">
      <w:pPr>
        <w:contextualSpacing w:val="0"/>
        <w:jc w:val="left"/>
        <w:rPr>
          <w:sz w:val="24"/>
          <w:szCs w:val="24"/>
        </w:rPr>
      </w:pPr>
      <w:r w:rsidDel="00000000" w:rsidR="00000000" w:rsidRPr="00000000">
        <w:rPr>
          <w:rtl w:val="0"/>
        </w:rPr>
      </w:r>
    </w:p>
    <w:p w:rsidR="00000000" w:rsidDel="00000000" w:rsidP="00000000" w:rsidRDefault="00000000" w:rsidRPr="00000000">
      <w:pPr>
        <w:contextualSpacing w:val="0"/>
        <w:jc w:val="left"/>
        <w:rPr>
          <w:sz w:val="24"/>
          <w:szCs w:val="24"/>
        </w:rPr>
      </w:pPr>
      <w:r w:rsidDel="00000000" w:rsidR="00000000" w:rsidRPr="00000000">
        <w:rPr>
          <w:rtl w:val="0"/>
        </w:rPr>
      </w:r>
    </w:p>
    <w:p w:rsidR="00000000" w:rsidDel="00000000" w:rsidP="00000000" w:rsidRDefault="00000000" w:rsidRPr="00000000">
      <w:pPr>
        <w:contextualSpacing w:val="0"/>
        <w:jc w:val="left"/>
        <w:rPr>
          <w:sz w:val="24"/>
          <w:szCs w:val="24"/>
        </w:rPr>
      </w:pPr>
      <w:r w:rsidDel="00000000" w:rsidR="00000000" w:rsidRPr="00000000">
        <w:rPr>
          <w:sz w:val="24"/>
          <w:szCs w:val="24"/>
          <w:rtl w:val="0"/>
        </w:rPr>
        <w:t xml:space="preserve">Tarea: </w:t>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Buscar un texto científico y pegarlo o transcribir en el cuaderno</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Señalar en el texto científico 10 palabras especializadas e investigar su significado.</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Vocabulario 3</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Veraz</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Súbito</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Flaqueza</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Tácito</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Habrán</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Válvula</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Verosímil</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Obsesión</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Níquel</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jc w:val="left"/>
        <w:rPr>
          <w:sz w:val="24"/>
          <w:szCs w:val="24"/>
        </w:rPr>
      </w:pPr>
      <w:r w:rsidDel="00000000" w:rsidR="00000000" w:rsidRPr="00000000">
        <w:rPr>
          <w:sz w:val="24"/>
          <w:szCs w:val="24"/>
          <w:rtl w:val="0"/>
        </w:rPr>
        <w:t xml:space="preserve">Oscilar</w:t>
      </w: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rtl w:val="0"/>
        </w:rPr>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_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