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4B" w:rsidRDefault="0051674B" w:rsidP="0051674B"/>
    <w:tbl>
      <w:tblPr>
        <w:tblStyle w:val="Tablaconcuadrcula"/>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852"/>
      </w:tblGrid>
      <w:tr w:rsidR="005C1B1F" w:rsidRPr="001354AB" w:rsidTr="00805676">
        <w:tc>
          <w:tcPr>
            <w:tcW w:w="9852" w:type="dxa"/>
          </w:tcPr>
          <w:p w:rsidR="005C1B1F" w:rsidRPr="001354AB" w:rsidRDefault="005C1B1F" w:rsidP="000F472D">
            <w:pPr>
              <w:rPr>
                <w:b/>
              </w:rPr>
            </w:pPr>
          </w:p>
        </w:tc>
      </w:tr>
      <w:tr w:rsidR="005C1B1F" w:rsidRPr="001354AB" w:rsidTr="00805676">
        <w:tc>
          <w:tcPr>
            <w:tcW w:w="9852" w:type="dxa"/>
            <w:shd w:val="clear" w:color="auto" w:fill="BDD6EE" w:themeFill="accent1" w:themeFillTint="66"/>
          </w:tcPr>
          <w:p w:rsidR="005C1B1F" w:rsidRPr="001354AB" w:rsidRDefault="005C1B1F" w:rsidP="000F472D">
            <w:pPr>
              <w:rPr>
                <w:b/>
              </w:rPr>
            </w:pPr>
            <w:r>
              <w:rPr>
                <w:b/>
              </w:rPr>
              <w:t>CLASE 3 DE OCTUBRE DE 2017</w:t>
            </w:r>
          </w:p>
        </w:tc>
      </w:tr>
      <w:tr w:rsidR="005C1B1F" w:rsidRPr="001354AB" w:rsidTr="00805676">
        <w:tc>
          <w:tcPr>
            <w:tcW w:w="9852" w:type="dxa"/>
          </w:tcPr>
          <w:p w:rsidR="005C1B1F" w:rsidRPr="001354AB" w:rsidRDefault="005C1B1F" w:rsidP="000F472D">
            <w:pPr>
              <w:rPr>
                <w:b/>
              </w:rPr>
            </w:pPr>
          </w:p>
        </w:tc>
      </w:tr>
      <w:tr w:rsidR="001354AB" w:rsidRPr="001354AB" w:rsidTr="00805676">
        <w:tc>
          <w:tcPr>
            <w:tcW w:w="9852" w:type="dxa"/>
          </w:tcPr>
          <w:p w:rsidR="001354AB" w:rsidRPr="001354AB" w:rsidRDefault="001354AB" w:rsidP="000F472D">
            <w:pPr>
              <w:rPr>
                <w:b/>
              </w:rPr>
            </w:pPr>
            <w:r w:rsidRPr="001354AB">
              <w:rPr>
                <w:b/>
              </w:rPr>
              <w:t>LEGISLACIÓN ELECTORAL VIGENTE</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El pasado 10 de febrero de 2014, fue publicada la reforma electoral en el Diario Oficial de la Federación por virtud de la cual y con fundamento en los artículos 73 y segundo transitorio se establecieron, diversas modificaciones y adiciones a las leyes generales, mismas que fueron adicionadas y publicadas el 23 de mayo de 2014 con los siguientes nombres:</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pPr>
              <w:rPr>
                <w:b/>
                <w:i/>
              </w:rPr>
            </w:pPr>
            <w:r w:rsidRPr="001354AB">
              <w:rPr>
                <w:b/>
                <w:i/>
              </w:rPr>
              <w:t>Ley General de Instituciones y Procedimientos Electorales.</w:t>
            </w:r>
          </w:p>
        </w:tc>
      </w:tr>
      <w:tr w:rsidR="001354AB" w:rsidRPr="001354AB" w:rsidTr="00805676">
        <w:tc>
          <w:tcPr>
            <w:tcW w:w="9852" w:type="dxa"/>
          </w:tcPr>
          <w:p w:rsidR="001354AB" w:rsidRPr="001354AB" w:rsidRDefault="001354AB" w:rsidP="000F472D">
            <w:pPr>
              <w:rPr>
                <w:b/>
                <w:i/>
              </w:rPr>
            </w:pPr>
            <w:r w:rsidRPr="001354AB">
              <w:rPr>
                <w:b/>
                <w:i/>
              </w:rPr>
              <w:t>Ley General de Partidos Políticos.</w:t>
            </w:r>
          </w:p>
        </w:tc>
      </w:tr>
      <w:tr w:rsidR="001354AB" w:rsidRPr="001354AB" w:rsidTr="00805676">
        <w:tc>
          <w:tcPr>
            <w:tcW w:w="9852" w:type="dxa"/>
          </w:tcPr>
          <w:p w:rsidR="001354AB" w:rsidRPr="001354AB" w:rsidRDefault="001354AB" w:rsidP="000F472D">
            <w:pPr>
              <w:rPr>
                <w:b/>
                <w:i/>
              </w:rPr>
            </w:pPr>
            <w:r w:rsidRPr="001354AB">
              <w:rPr>
                <w:b/>
                <w:i/>
              </w:rPr>
              <w:t>Ley General en Materia de Delitos Electorales.</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Entre los cambios más importantes se encuentran las candidaturas independientes y la iniciativa ciudadana en materia legislativa (en los niveles federal y estatal), así como la posibilidad de celebrar consultas ciudadanas o de que el Presidente pueda enviar iniciativas “preferentes” durante la apertura de cada periodo ordinario de sesiones del Congreso de la Unión.</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La reforma constitucional contempla una importante amalgama de instituciones y temas de gran trascendencia para el Estado en su conjunto, para la Federación, los estados, el Distrito Federal y lo Municipios. Las principales modificaciones en materia Político Electoral resultantes de la reforma constitucional son las siguientes:</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 xml:space="preserve"> </w:t>
            </w:r>
            <w:r w:rsidRPr="001354AB">
              <w:rPr>
                <w:b/>
              </w:rPr>
              <w:t>Se crea el Instituto Nacional Electoral (INE)</w:t>
            </w:r>
            <w:r w:rsidRPr="001354AB">
              <w:t xml:space="preserve">, que sustituye al IFE en la organización y vigilancia de las elecciones federales. Se coordinará con los órganos locales para las elecciones estatales. El número de consejeros electorales federales pasa de nueve a 11 con una duración de nueve años en el cargo. </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 Los organismos públicos locales electorales estarán integrados por un consejero Presidente y 6 consejeros electorales; todos serán nombrados directamente por el INE para un periodo de siete años, sin reelección.</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 xml:space="preserve"> En un plazo máximo de dos años después de aprobada la Reforma en cuestión, la Procuraduría General de la República se convertirá en Fiscalía General de la República como órgano público autónomo, dotado de personalidad jurídica y de patrimonios propios. Contará con dos fiscalías especializadas: una en delitos electorales y otra en combate a la corrupción. Su titular será </w:t>
            </w:r>
            <w:r w:rsidRPr="001354AB">
              <w:lastRenderedPageBreak/>
              <w:t xml:space="preserve">nombrado por dos terceras partes del Senado y podrá ser removido por el presidente, con el aval de la </w:t>
            </w:r>
          </w:p>
        </w:tc>
      </w:tr>
      <w:tr w:rsidR="001354AB" w:rsidRPr="001354AB" w:rsidTr="00805676">
        <w:tc>
          <w:tcPr>
            <w:tcW w:w="9852" w:type="dxa"/>
          </w:tcPr>
          <w:p w:rsidR="001354AB" w:rsidRPr="001354AB" w:rsidRDefault="001354AB" w:rsidP="000F472D">
            <w:r w:rsidRPr="001354AB">
              <w:lastRenderedPageBreak/>
              <w:t>mayoría calificada de la Cámara alta.</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 A partir de 2018, se otorga autonomía constitucional al Consejo Nacional de Evaluación de la Política de Desarrollo Social (CONEVAL).</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 El Senado tendrá que ratificar la estrategia nacional de seguridad del Presidente y éste tendría que informar anualmente de los resultados.</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 Los Senadores podrán ser electos hasta por dos periodos consecutivos, a partir de 2018 y los Diputados al Congreso de la Unión hasta por cuatro periodos consecutivos, a partir de 2015. En ambos casos hasta un máximo de 12 años de manera consecutiva.</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 Se faculta al Presidente de la República para que, en cualquier momento, pueda optar por un gobierno de coalición con uno o varios de los partidos políticos representados en el Congreso de la Unión.</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 Se aumenta del 2 al 3% el porcentaje mínimo de votos requerido a los partidos políticos para conservar su registro. Además, todo partido político que alcance el 3% del total de votos válidos emitidos tendrá derecho a que le sean atribuidos diputados plurinominales.</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 Para el registro de candidatos independientes que deseen participar por el cargo de Presidente de la República deberán contar con el 1% de las firmas de la lista nominal de electores y 2% para otros cargos de elección popular.</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 Se establece que una elección podrá anularse cuando rebase el tope de gastos de campaña o compra de propaganda en medios, siempre que se determine que la falta fue "sistemática" y "determinante" para el resultado de la elección.</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Los partidos políticos deberán garantizar la paridad entre géneros en candidaturas a legisladores federales y locales (la cuota todavía vigente se fijó en 2007 con 6040, mientras que entre 1996 y 2007 fue de 70-30).</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 Se adelanta del 1º de septiembre al 1º de agosto la fecha de inicio del primer periodo ordinario de sesiones cuando el Presidente de la República inicie su cargo.</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lastRenderedPageBreak/>
              <w:t> Se adelanta del 1º de diciembre al 1º de octubre la toma de protesta del Presidente de la República.</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 Respecto al voto de los mexicanos en el extranjero se precisa que podrán ejercer su derecho para la elección de Presidente, gobernador de las entidades federativas y Jefe de Gobierno del Distrito Federal bajo las modalidades de voto personal en los consulados, embajadas y centros de votación autorizados o por el servicio postal. Resalta que los partidos políticos nacionales y los candidatos a cargos de elección popular podrán realizar campaña electoral en el extranjero.</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 xml:space="preserve">Con el objeto de implementar de manera adecuada las recientes reformas constitucionales en materia político electoral, el pasado 23 de mayo de 2014, se expidieron varias leyes secundarias en la materia: </w:t>
            </w:r>
          </w:p>
        </w:tc>
      </w:tr>
      <w:tr w:rsidR="001354AB" w:rsidRPr="001354AB" w:rsidTr="00805676">
        <w:tc>
          <w:tcPr>
            <w:tcW w:w="9852" w:type="dxa"/>
          </w:tcPr>
          <w:p w:rsidR="001354AB" w:rsidRPr="001354AB" w:rsidRDefault="001354AB" w:rsidP="000F472D"/>
        </w:tc>
      </w:tr>
      <w:tr w:rsidR="005C1B1F" w:rsidRPr="001354AB" w:rsidTr="00805676">
        <w:tc>
          <w:tcPr>
            <w:tcW w:w="9852" w:type="dxa"/>
            <w:shd w:val="clear" w:color="auto" w:fill="BDD6EE" w:themeFill="accent1" w:themeFillTint="66"/>
          </w:tcPr>
          <w:p w:rsidR="005C1B1F" w:rsidRPr="005C1B1F" w:rsidRDefault="005C1B1F" w:rsidP="000F472D">
            <w:pPr>
              <w:rPr>
                <w:b/>
                <w:i/>
              </w:rPr>
            </w:pPr>
            <w:r w:rsidRPr="005C1B1F">
              <w:rPr>
                <w:b/>
                <w:i/>
              </w:rPr>
              <w:t>CLASE 4 DE OCTUBRE DE 2017.</w:t>
            </w:r>
          </w:p>
        </w:tc>
      </w:tr>
      <w:tr w:rsidR="005C1B1F" w:rsidRPr="001354AB" w:rsidTr="00805676">
        <w:tc>
          <w:tcPr>
            <w:tcW w:w="9852" w:type="dxa"/>
          </w:tcPr>
          <w:p w:rsidR="005C1B1F" w:rsidRPr="001354AB" w:rsidRDefault="005C1B1F" w:rsidP="000F472D"/>
        </w:tc>
      </w:tr>
      <w:tr w:rsidR="001354AB" w:rsidRPr="001354AB" w:rsidTr="00805676">
        <w:tc>
          <w:tcPr>
            <w:tcW w:w="9852" w:type="dxa"/>
          </w:tcPr>
          <w:p w:rsidR="001354AB" w:rsidRPr="001354AB" w:rsidRDefault="001354AB" w:rsidP="000F472D">
            <w:r w:rsidRPr="001354AB">
              <w:rPr>
                <w:b/>
                <w:i/>
              </w:rPr>
              <w:t>Ley General de Partidos Políticos-</w:t>
            </w:r>
            <w:r w:rsidRPr="001354AB">
              <w:t xml:space="preserve"> con la que se busca regular las disposiciones constitucionales aplicables a los partidos políticos, tanto a nivel federal como local, así como distribuir competencias entre el Instituto Nacional Electoral (INE) y los organismos públicos locales.</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Abroga el libro segundo del COFIPE. Se estructura a partir de diez títulos en los que se integran los siguientes rubros:</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La regulación aplicable a los partidos políticos nacionales y locales de conformidad a las disposiciones constitucionales;</w:t>
            </w:r>
          </w:p>
        </w:tc>
      </w:tr>
      <w:tr w:rsidR="001354AB" w:rsidRPr="001354AB" w:rsidTr="00805676">
        <w:tc>
          <w:tcPr>
            <w:tcW w:w="9852" w:type="dxa"/>
          </w:tcPr>
          <w:p w:rsidR="001354AB" w:rsidRPr="001354AB" w:rsidRDefault="001354AB" w:rsidP="000F472D">
            <w:r w:rsidRPr="001354AB">
              <w:t>La distribución de competencias,</w:t>
            </w:r>
          </w:p>
        </w:tc>
      </w:tr>
      <w:tr w:rsidR="001354AB" w:rsidRPr="001354AB" w:rsidTr="00805676">
        <w:tc>
          <w:tcPr>
            <w:tcW w:w="9852" w:type="dxa"/>
          </w:tcPr>
          <w:p w:rsidR="001354AB" w:rsidRPr="001354AB" w:rsidRDefault="001354AB" w:rsidP="000F472D">
            <w:r w:rsidRPr="001354AB">
              <w:t>Los derechos y obligaciones de los militantes,</w:t>
            </w:r>
          </w:p>
        </w:tc>
      </w:tr>
      <w:tr w:rsidR="001354AB" w:rsidRPr="001354AB" w:rsidTr="00805676">
        <w:tc>
          <w:tcPr>
            <w:tcW w:w="9852" w:type="dxa"/>
          </w:tcPr>
          <w:p w:rsidR="001354AB" w:rsidRPr="001354AB" w:rsidRDefault="001354AB" w:rsidP="000F472D">
            <w:r w:rsidRPr="001354AB">
              <w:t>Los lineamientos para la integración de los órganos directivos,</w:t>
            </w:r>
          </w:p>
        </w:tc>
      </w:tr>
      <w:tr w:rsidR="001354AB" w:rsidRPr="001354AB" w:rsidTr="00805676">
        <w:tc>
          <w:tcPr>
            <w:tcW w:w="9852" w:type="dxa"/>
          </w:tcPr>
          <w:p w:rsidR="001354AB" w:rsidRPr="001354AB" w:rsidRDefault="001354AB" w:rsidP="000F472D">
            <w:r w:rsidRPr="001354AB">
              <w:t>La postulación de candidatos,</w:t>
            </w:r>
          </w:p>
        </w:tc>
      </w:tr>
      <w:tr w:rsidR="001354AB" w:rsidRPr="001354AB" w:rsidTr="00805676">
        <w:tc>
          <w:tcPr>
            <w:tcW w:w="9852" w:type="dxa"/>
          </w:tcPr>
          <w:p w:rsidR="001354AB" w:rsidRPr="001354AB" w:rsidRDefault="001354AB" w:rsidP="000F472D">
            <w:r w:rsidRPr="001354AB">
              <w:t>Transparencia y fiscalización en el uso de recursos,</w:t>
            </w:r>
          </w:p>
        </w:tc>
      </w:tr>
      <w:tr w:rsidR="001354AB" w:rsidRPr="001354AB" w:rsidTr="00805676">
        <w:tc>
          <w:tcPr>
            <w:tcW w:w="9852" w:type="dxa"/>
          </w:tcPr>
          <w:p w:rsidR="001354AB" w:rsidRPr="001354AB" w:rsidRDefault="001354AB" w:rsidP="000F472D">
            <w:r w:rsidRPr="001354AB">
              <w:t>El régimen jurídico aplicable a las agrupaciones políticas nacionales,</w:t>
            </w:r>
          </w:p>
        </w:tc>
      </w:tr>
      <w:tr w:rsidR="001354AB" w:rsidRPr="001354AB" w:rsidTr="00805676">
        <w:tc>
          <w:tcPr>
            <w:tcW w:w="9852" w:type="dxa"/>
          </w:tcPr>
          <w:p w:rsidR="001354AB" w:rsidRPr="001354AB" w:rsidRDefault="001354AB" w:rsidP="000F472D">
            <w:r w:rsidRPr="001354AB">
              <w:t>Los derechos político-electorales de los ciudadanos respecto a los partidos políticos.</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rPr>
                <w:b/>
                <w:i/>
              </w:rPr>
              <w:t>Ley General de Instituciones y Procedimientos Electorales-</w:t>
            </w:r>
            <w:r w:rsidRPr="001354AB">
              <w:t xml:space="preserve"> tiene por objeto reglamentar las normas constitucionales relativas a derechos y obligaciones político-electorales de los ciudadanos, el registro de candidatos, la organización de las elecciones de los integrantes de los Poderes Legislativo y Ejecutivo de la Unión, los procesos electorales federales y locales, así como la integración de los organismos electorales. Asimismo, busca distribuir competencias entre la </w:t>
            </w:r>
            <w:r w:rsidRPr="001354AB">
              <w:lastRenderedPageBreak/>
              <w:t>federación y las entidades federativas y regular la relación entre el Instituto Nacional Electoral (INE) y los organismos públicos locales.</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Se estructura a partir de ocho libros en los que se integran las disposiciones relativas los siguientes rubros:</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Los derechos ciudadanos;</w:t>
            </w:r>
          </w:p>
        </w:tc>
      </w:tr>
      <w:tr w:rsidR="001354AB" w:rsidRPr="001354AB" w:rsidTr="00805676">
        <w:tc>
          <w:tcPr>
            <w:tcW w:w="9852" w:type="dxa"/>
          </w:tcPr>
          <w:p w:rsidR="001354AB" w:rsidRPr="001354AB" w:rsidRDefault="001354AB" w:rsidP="000F472D">
            <w:r w:rsidRPr="001354AB">
              <w:t>La integración de los poderes Legislativo y Ejecutivo de la Unión, de las entidades federativas y de los municipios;</w:t>
            </w:r>
          </w:p>
        </w:tc>
      </w:tr>
      <w:tr w:rsidR="001354AB" w:rsidRPr="001354AB" w:rsidTr="00805676">
        <w:tc>
          <w:tcPr>
            <w:tcW w:w="9852" w:type="dxa"/>
          </w:tcPr>
          <w:p w:rsidR="001354AB" w:rsidRPr="001354AB" w:rsidRDefault="001354AB" w:rsidP="000F472D">
            <w:r w:rsidRPr="001354AB">
              <w:t>Los organismos electorales federales y locales,</w:t>
            </w:r>
          </w:p>
        </w:tc>
      </w:tr>
      <w:tr w:rsidR="001354AB" w:rsidRPr="001354AB" w:rsidTr="00805676">
        <w:tc>
          <w:tcPr>
            <w:tcW w:w="9852" w:type="dxa"/>
          </w:tcPr>
          <w:p w:rsidR="001354AB" w:rsidRPr="001354AB" w:rsidRDefault="001354AB" w:rsidP="000F472D">
            <w:r w:rsidRPr="001354AB">
              <w:t>Los procedimientos especiales en las direcciones ejecutivas,</w:t>
            </w:r>
          </w:p>
        </w:tc>
      </w:tr>
      <w:tr w:rsidR="001354AB" w:rsidRPr="001354AB" w:rsidTr="00805676">
        <w:tc>
          <w:tcPr>
            <w:tcW w:w="9852" w:type="dxa"/>
          </w:tcPr>
          <w:p w:rsidR="001354AB" w:rsidRPr="001354AB" w:rsidRDefault="001354AB" w:rsidP="000F472D">
            <w:r w:rsidRPr="001354AB">
              <w:t>Las reglas de los procesos electorales,</w:t>
            </w:r>
          </w:p>
        </w:tc>
      </w:tr>
      <w:tr w:rsidR="001354AB" w:rsidRPr="001354AB" w:rsidTr="00805676">
        <w:tc>
          <w:tcPr>
            <w:tcW w:w="9852" w:type="dxa"/>
          </w:tcPr>
          <w:p w:rsidR="001354AB" w:rsidRPr="001354AB" w:rsidRDefault="001354AB" w:rsidP="000F472D">
            <w:r w:rsidRPr="001354AB">
              <w:t>El voto de los mexicanos residentes en el extranjero,</w:t>
            </w:r>
          </w:p>
        </w:tc>
      </w:tr>
      <w:tr w:rsidR="001354AB" w:rsidRPr="001354AB" w:rsidTr="00805676">
        <w:tc>
          <w:tcPr>
            <w:tcW w:w="9852" w:type="dxa"/>
          </w:tcPr>
          <w:p w:rsidR="001354AB" w:rsidRPr="001354AB" w:rsidRDefault="001354AB" w:rsidP="000F472D">
            <w:r w:rsidRPr="001354AB">
              <w:t>Las candidaturas independientes,</w:t>
            </w:r>
          </w:p>
        </w:tc>
      </w:tr>
      <w:tr w:rsidR="001354AB" w:rsidRPr="001354AB" w:rsidTr="00805676">
        <w:tc>
          <w:tcPr>
            <w:tcW w:w="9852" w:type="dxa"/>
          </w:tcPr>
          <w:p w:rsidR="001354AB" w:rsidRPr="001354AB" w:rsidRDefault="001354AB" w:rsidP="000F472D">
            <w:r w:rsidRPr="001354AB">
              <w:t>La propaganda electoral,</w:t>
            </w:r>
          </w:p>
        </w:tc>
      </w:tr>
      <w:tr w:rsidR="001354AB" w:rsidRPr="001354AB" w:rsidTr="00805676">
        <w:tc>
          <w:tcPr>
            <w:tcW w:w="9852" w:type="dxa"/>
          </w:tcPr>
          <w:p w:rsidR="001354AB" w:rsidRPr="001354AB" w:rsidRDefault="001354AB" w:rsidP="000F472D">
            <w:r w:rsidRPr="001354AB">
              <w:t>La fiscalización de recursos,</w:t>
            </w:r>
          </w:p>
        </w:tc>
      </w:tr>
      <w:tr w:rsidR="001354AB" w:rsidRPr="001354AB" w:rsidTr="00805676">
        <w:tc>
          <w:tcPr>
            <w:tcW w:w="9852" w:type="dxa"/>
          </w:tcPr>
          <w:p w:rsidR="001354AB" w:rsidRPr="001354AB" w:rsidRDefault="001354AB" w:rsidP="000F472D">
            <w:r w:rsidRPr="001354AB">
              <w:t>El régimen sancionador electoral y disciplinario interno respectivamente.</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rPr>
                <w:b/>
                <w:i/>
              </w:rPr>
              <w:t>Ley General en Materia de Delitos Electorales</w:t>
            </w:r>
            <w:r w:rsidRPr="001354AB">
              <w:t xml:space="preserve"> -su objetivo es establecer los tipos penales, las sanciones, la distribución de competencias y las formas de coordinación entre los órdenes de gobierno. </w:t>
            </w:r>
          </w:p>
        </w:tc>
      </w:tr>
      <w:tr w:rsidR="001354AB" w:rsidRPr="001354AB" w:rsidTr="00805676">
        <w:tc>
          <w:tcPr>
            <w:tcW w:w="9852" w:type="dxa"/>
          </w:tcPr>
          <w:p w:rsidR="001354AB" w:rsidRPr="001354AB" w:rsidRDefault="001354AB" w:rsidP="000F472D">
            <w:r w:rsidRPr="001354AB">
              <w:t>El 20 y 23 de mayo se publicaron los decretos mediante los que se reformaron varios artículos de la Ley General del Sistema de Medios de Impugnación en Materia Electoral, de la Ley Orgánica del Poder Judicial de la Federación y de la Ley Federal de Responsabilidades Administrativas de los Servidores Públicos y del Código Federal de Instituciones y Procedimientos Electorales a fin de adecuarlas a las nuevas normas.</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Se compone de tres títulos en los que se integran las disposiciones relativas los siguientes rubros:</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Se establecen las disposiciones básicas que se aplican a las leyes generales, tales como: Objeto y definiciones generales,</w:t>
            </w:r>
          </w:p>
        </w:tc>
      </w:tr>
      <w:tr w:rsidR="001354AB" w:rsidRPr="001354AB" w:rsidTr="00805676">
        <w:tc>
          <w:tcPr>
            <w:tcW w:w="9852" w:type="dxa"/>
          </w:tcPr>
          <w:p w:rsidR="001354AB" w:rsidRPr="001354AB" w:rsidRDefault="001354AB" w:rsidP="000F472D">
            <w:r w:rsidRPr="001354AB">
              <w:t>Formas de coordinación entre los tres niveles de gobierno para la investigación, persecución y sanción de los delitos electorales,</w:t>
            </w:r>
          </w:p>
        </w:tc>
      </w:tr>
      <w:tr w:rsidR="001354AB" w:rsidRPr="001354AB" w:rsidTr="00805676">
        <w:tc>
          <w:tcPr>
            <w:tcW w:w="9852" w:type="dxa"/>
          </w:tcPr>
          <w:p w:rsidR="001354AB" w:rsidRPr="001354AB" w:rsidRDefault="001354AB" w:rsidP="000F472D">
            <w:r w:rsidRPr="001354AB">
              <w:t>Los tipos penales en materia electoral, así como reglas comunes para su aplicación,</w:t>
            </w:r>
          </w:p>
        </w:tc>
      </w:tr>
      <w:tr w:rsidR="001354AB" w:rsidRPr="001354AB" w:rsidTr="00805676">
        <w:tc>
          <w:tcPr>
            <w:tcW w:w="9852" w:type="dxa"/>
          </w:tcPr>
          <w:p w:rsidR="001354AB" w:rsidRPr="001354AB" w:rsidRDefault="001354AB" w:rsidP="000F472D"/>
        </w:tc>
      </w:tr>
      <w:tr w:rsidR="00805676" w:rsidRPr="001354AB" w:rsidTr="00805676">
        <w:tc>
          <w:tcPr>
            <w:tcW w:w="9852" w:type="dxa"/>
          </w:tcPr>
          <w:p w:rsidR="00805676" w:rsidRPr="001354AB" w:rsidRDefault="00805676" w:rsidP="000F472D"/>
        </w:tc>
      </w:tr>
      <w:tr w:rsidR="005C1B1F" w:rsidRPr="001354AB" w:rsidTr="00805676">
        <w:tc>
          <w:tcPr>
            <w:tcW w:w="9852" w:type="dxa"/>
            <w:shd w:val="clear" w:color="auto" w:fill="BDD6EE" w:themeFill="accent1" w:themeFillTint="66"/>
          </w:tcPr>
          <w:p w:rsidR="005C1B1F" w:rsidRPr="00282827" w:rsidRDefault="005C1B1F" w:rsidP="000F472D">
            <w:pPr>
              <w:rPr>
                <w:b/>
                <w:i/>
              </w:rPr>
            </w:pPr>
            <w:r w:rsidRPr="00282827">
              <w:rPr>
                <w:b/>
                <w:i/>
              </w:rPr>
              <w:lastRenderedPageBreak/>
              <w:t>CLASE 6 DE OCTUBRE DE 2017</w:t>
            </w:r>
          </w:p>
        </w:tc>
      </w:tr>
      <w:tr w:rsidR="005C1B1F" w:rsidRPr="001354AB" w:rsidTr="00805676">
        <w:tc>
          <w:tcPr>
            <w:tcW w:w="9852" w:type="dxa"/>
          </w:tcPr>
          <w:p w:rsidR="005C1B1F" w:rsidRPr="001354AB" w:rsidRDefault="005C1B1F" w:rsidP="000F472D"/>
        </w:tc>
      </w:tr>
      <w:tr w:rsidR="001354AB" w:rsidRPr="001354AB" w:rsidTr="00805676">
        <w:tc>
          <w:tcPr>
            <w:tcW w:w="9852" w:type="dxa"/>
          </w:tcPr>
          <w:p w:rsidR="001354AB" w:rsidRPr="001354AB" w:rsidRDefault="001354AB" w:rsidP="000F472D">
            <w:r w:rsidRPr="001354AB">
              <w:rPr>
                <w:b/>
                <w:i/>
              </w:rPr>
              <w:t>Ley General del Sistema de Medios de Impugnación en Materia Electoral</w:t>
            </w:r>
            <w:r w:rsidRPr="001354AB">
              <w:t>. Entre otras disposiciones, se reformaron los artículos relativos a la nulidad de las elecciones, estableciendo que las elecciones federales o locales serán nulas por violaciones graves, dolosas y determinantes en los casos previstos en el artículo 41 de la Constitución Política de los Estados Unidos Mexicanos. Dichas violaciones deberán acreditarse de manera objetiva y material. Se presumirá que las violaciones son determinantes cuando la diferencia entre la votación obtenida entre el primero y el segundo lugar sea menor al cinco por ciento.</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De igual forma, se reformó el artículo sobre las normas de interpretación para la resolución de los medios de impugnación previstos en la ley. Se prevé que las normas se interpretarán conforme a la Constitución, los tratados internacionales celebrados por México, así como</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rPr>
                <w:b/>
                <w:i/>
              </w:rPr>
              <w:t>Ley Orgánica del Poder Judicial de la Federación.</w:t>
            </w:r>
            <w:r w:rsidRPr="001354AB">
              <w:t xml:space="preserve"> Se modifica los artículos 185 y 192 para establecer que el Tribunal Electoral funcionará de forma permanente con una Sala Superior, siete Salas Regionales y una Sala Regional Especializada. Las dos nuevas Salas Regionales del Tribunal Electoral que se crean a partir de la reforma constitucional, deberán iniciar actividades en el mes de septiembre de 2017. La Sala Regional Especializada iniciará sus funciones antes del inicio del proceso electoral 2014-2015.</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rPr>
                <w:b/>
                <w:i/>
              </w:rPr>
              <w:t>Ley Federal de Responsabilidades Administrativas de los Servidores Públicos</w:t>
            </w:r>
            <w:r w:rsidRPr="001354AB">
              <w:t xml:space="preserve">. Se adicionan dos obligaciones a los servidores públicos: </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 Cumplir en tiempo y forma los mandatos del Instituto Nacional Electoral y de sus órganos, proporcionarles de manera oportuna y veraz la información que les sea solicitada y prestarles el auxilio y colaboración que les sea requerido por dichas autoridades electorales; y</w:t>
            </w:r>
          </w:p>
        </w:tc>
      </w:tr>
      <w:tr w:rsidR="001354AB" w:rsidRPr="001354AB" w:rsidTr="00805676">
        <w:tc>
          <w:tcPr>
            <w:tcW w:w="9852" w:type="dxa"/>
          </w:tcPr>
          <w:p w:rsidR="001354AB" w:rsidRPr="001354AB" w:rsidRDefault="001354AB" w:rsidP="000F472D">
            <w:r w:rsidRPr="001354AB">
              <w:t> Abstenerse de infringir, las disposiciones constitucionales, legales, reglamentarias y normativas en materia electoral, de propaganda gubernamental y aplicación imparcial de los recursos públicos, así como abstenerse de influir en la equidad de la competencia entre los partidos políticos.</w:t>
            </w:r>
          </w:p>
        </w:tc>
      </w:tr>
      <w:tr w:rsidR="001354AB" w:rsidRPr="001354AB" w:rsidTr="00805676">
        <w:tc>
          <w:tcPr>
            <w:tcW w:w="9852" w:type="dxa"/>
          </w:tcPr>
          <w:p w:rsidR="001354AB" w:rsidRPr="001354AB" w:rsidRDefault="001354AB" w:rsidP="000F472D"/>
        </w:tc>
      </w:tr>
      <w:tr w:rsidR="001354AB" w:rsidRPr="001354AB" w:rsidTr="00805676">
        <w:tc>
          <w:tcPr>
            <w:tcW w:w="9852" w:type="dxa"/>
          </w:tcPr>
          <w:p w:rsidR="001354AB" w:rsidRPr="001354AB" w:rsidRDefault="001354AB" w:rsidP="000F472D">
            <w:r w:rsidRPr="001354AB">
              <w:t>Finalmente, se destaca que con el cambio normativo que implica esta reforma, inicia una nueva era para México en materia de elecciones, en la cual se permitirá el mejoramiento de los procesos electorales, consolidando la vida democrática y fortaleciendo la capacidad del Estado para alcanzar acuerdos transformadores.</w:t>
            </w:r>
          </w:p>
        </w:tc>
      </w:tr>
    </w:tbl>
    <w:p w:rsidR="003E183C" w:rsidRDefault="003E183C" w:rsidP="003E183C"/>
    <w:p w:rsidR="003E183C" w:rsidRDefault="003E183C" w:rsidP="003E183C"/>
    <w:p w:rsidR="00805676" w:rsidRDefault="00805676" w:rsidP="003E183C"/>
    <w:p w:rsidR="00805676" w:rsidRDefault="00805676" w:rsidP="003E183C"/>
    <w:p w:rsidR="00805676" w:rsidRDefault="00805676" w:rsidP="003E183C"/>
    <w:p w:rsidR="00805676" w:rsidRDefault="00805676" w:rsidP="003E183C"/>
    <w:tbl>
      <w:tblPr>
        <w:tblStyle w:val="Tablaconcuadrcula"/>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852"/>
      </w:tblGrid>
      <w:tr w:rsidR="002B634F" w:rsidRPr="002B634F" w:rsidTr="002B634F">
        <w:tc>
          <w:tcPr>
            <w:tcW w:w="9962" w:type="dxa"/>
            <w:shd w:val="clear" w:color="auto" w:fill="BDD6EE" w:themeFill="accent1" w:themeFillTint="66"/>
          </w:tcPr>
          <w:p w:rsidR="002B634F" w:rsidRPr="002B634F" w:rsidRDefault="002B634F" w:rsidP="001E5ED8">
            <w:pPr>
              <w:spacing w:line="420" w:lineRule="exact"/>
              <w:rPr>
                <w:i/>
              </w:rPr>
            </w:pPr>
            <w:r w:rsidRPr="002B634F">
              <w:rPr>
                <w:i/>
              </w:rPr>
              <w:t>TAREA: REALIZAR UN ANÁLISIS ESTRUCTURAL D</w:t>
            </w:r>
            <w:r w:rsidR="001E5ED8">
              <w:rPr>
                <w:i/>
              </w:rPr>
              <w:t>EL ARTÍCULO 41 DE LA CONSTITUCIÓN POLÍTICA DE LOS ESTADOS UNIDOS MEXICANOS</w:t>
            </w:r>
            <w:bookmarkStart w:id="0" w:name="_GoBack"/>
            <w:bookmarkEnd w:id="0"/>
            <w:r w:rsidRPr="002B634F">
              <w:rPr>
                <w:i/>
              </w:rPr>
              <w:t xml:space="preserve"> Y ELABORAR UN MAPA MENTAL RESPECTO DEL MISMO.</w:t>
            </w:r>
          </w:p>
        </w:tc>
      </w:tr>
    </w:tbl>
    <w:p w:rsidR="00282827" w:rsidRDefault="00282827" w:rsidP="003E183C"/>
    <w:p w:rsidR="00282827" w:rsidRDefault="00282827" w:rsidP="003E183C"/>
    <w:p w:rsidR="00116876" w:rsidRDefault="00116876" w:rsidP="003E183C"/>
    <w:p w:rsidR="00116876" w:rsidRDefault="00116876" w:rsidP="003E183C"/>
    <w:p w:rsidR="00116876" w:rsidRDefault="00116876" w:rsidP="003E183C"/>
    <w:p w:rsidR="00116876" w:rsidRDefault="00116876" w:rsidP="003E183C"/>
    <w:p w:rsidR="00116876" w:rsidRDefault="00116876" w:rsidP="003E183C"/>
    <w:p w:rsidR="00116876" w:rsidRDefault="00116876" w:rsidP="003E183C"/>
    <w:p w:rsidR="00116876" w:rsidRDefault="00116876" w:rsidP="003E183C"/>
    <w:p w:rsidR="00116876" w:rsidRDefault="00116876" w:rsidP="003E183C"/>
    <w:p w:rsidR="00116876" w:rsidRDefault="00116876" w:rsidP="003E183C"/>
    <w:p w:rsidR="00116876" w:rsidRDefault="00116876" w:rsidP="003E183C"/>
    <w:p w:rsidR="00116876" w:rsidRDefault="00116876" w:rsidP="003E183C"/>
    <w:p w:rsidR="00116876" w:rsidRDefault="00116876" w:rsidP="003E183C"/>
    <w:p w:rsidR="00116876" w:rsidRDefault="00116876" w:rsidP="003E183C"/>
    <w:p w:rsidR="00116876" w:rsidRDefault="00116876" w:rsidP="003E183C"/>
    <w:p w:rsidR="00116876" w:rsidRDefault="00116876" w:rsidP="003E183C"/>
    <w:p w:rsidR="00116876" w:rsidRDefault="00116876" w:rsidP="003E183C"/>
    <w:p w:rsidR="00116876" w:rsidRDefault="00116876" w:rsidP="003E183C"/>
    <w:sectPr w:rsidR="00116876" w:rsidSect="001354AB">
      <w:headerReference w:type="default" r:id="rId6"/>
      <w:pgSz w:w="12240" w:h="15840" w:code="1"/>
      <w:pgMar w:top="1134" w:right="1134" w:bottom="1134"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7E" w:rsidRDefault="00B72D7E" w:rsidP="002B634F">
      <w:pPr>
        <w:spacing w:line="240" w:lineRule="auto"/>
      </w:pPr>
      <w:r>
        <w:separator/>
      </w:r>
    </w:p>
  </w:endnote>
  <w:endnote w:type="continuationSeparator" w:id="0">
    <w:p w:rsidR="00B72D7E" w:rsidRDefault="00B72D7E" w:rsidP="002B6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7E" w:rsidRDefault="00B72D7E" w:rsidP="002B634F">
      <w:pPr>
        <w:spacing w:line="240" w:lineRule="auto"/>
      </w:pPr>
      <w:r>
        <w:separator/>
      </w:r>
    </w:p>
  </w:footnote>
  <w:footnote w:type="continuationSeparator" w:id="0">
    <w:p w:rsidR="00B72D7E" w:rsidRDefault="00B72D7E" w:rsidP="002B63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4F" w:rsidRDefault="002B634F" w:rsidP="002B634F">
    <w:pPr>
      <w:pStyle w:val="Encabezado"/>
    </w:pPr>
    <w:r>
      <w:rPr>
        <w:noProof/>
        <w:lang w:eastAsia="es-MX"/>
      </w:rPr>
      <w:drawing>
        <wp:anchor distT="0" distB="0" distL="114300" distR="114300" simplePos="0" relativeHeight="251660288" behindDoc="0" locked="0" layoutInCell="1" allowOverlap="1" wp14:anchorId="063C4CE4" wp14:editId="525E7150">
          <wp:simplePos x="0" y="0"/>
          <wp:positionH relativeFrom="column">
            <wp:posOffset>5004435</wp:posOffset>
          </wp:positionH>
          <wp:positionV relativeFrom="paragraph">
            <wp:posOffset>111760</wp:posOffset>
          </wp:positionV>
          <wp:extent cx="1626870"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CE CON FIRMA.jpg"/>
                  <pic:cNvPicPr/>
                </pic:nvPicPr>
                <pic:blipFill>
                  <a:blip r:embed="rId1">
                    <a:extLst>
                      <a:ext uri="{28A0092B-C50C-407E-A947-70E740481C1C}">
                        <a14:useLocalDpi xmlns:a14="http://schemas.microsoft.com/office/drawing/2010/main" val="0"/>
                      </a:ext>
                    </a:extLst>
                  </a:blip>
                  <a:stretch>
                    <a:fillRect/>
                  </a:stretch>
                </pic:blipFill>
                <pic:spPr>
                  <a:xfrm>
                    <a:off x="0" y="0"/>
                    <a:ext cx="1626870" cy="5143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0C2DE388" wp14:editId="577E873C">
          <wp:simplePos x="0" y="0"/>
          <wp:positionH relativeFrom="column">
            <wp:posOffset>99060</wp:posOffset>
          </wp:positionH>
          <wp:positionV relativeFrom="paragraph">
            <wp:posOffset>-50165</wp:posOffset>
          </wp:positionV>
          <wp:extent cx="914400" cy="904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C.png"/>
                  <pic:cNvPicPr/>
                </pic:nvPicPr>
                <pic:blipFill>
                  <a:blip r:embed="rId2">
                    <a:extLst>
                      <a:ext uri="{28A0092B-C50C-407E-A947-70E740481C1C}">
                        <a14:useLocalDpi xmlns:a14="http://schemas.microsoft.com/office/drawing/2010/main" val="0"/>
                      </a:ext>
                    </a:extLst>
                  </a:blip>
                  <a:stretch>
                    <a:fillRect/>
                  </a:stretch>
                </pic:blipFill>
                <pic:spPr>
                  <a:xfrm>
                    <a:off x="0" y="0"/>
                    <a:ext cx="914400" cy="904875"/>
                  </a:xfrm>
                  <a:prstGeom prst="rect">
                    <a:avLst/>
                  </a:prstGeom>
                </pic:spPr>
              </pic:pic>
            </a:graphicData>
          </a:graphic>
          <wp14:sizeRelH relativeFrom="page">
            <wp14:pctWidth>0</wp14:pctWidth>
          </wp14:sizeRelH>
          <wp14:sizeRelV relativeFrom="page">
            <wp14:pctHeight>0</wp14:pctHeight>
          </wp14:sizeRelV>
        </wp:anchor>
      </w:drawing>
    </w:r>
  </w:p>
  <w:p w:rsidR="002B634F" w:rsidRPr="00CD2FA3" w:rsidRDefault="002B634F" w:rsidP="002B634F">
    <w:pPr>
      <w:pStyle w:val="Encabezado"/>
      <w:rPr>
        <w:b/>
        <w:i/>
        <w:sz w:val="28"/>
        <w:szCs w:val="28"/>
      </w:rPr>
    </w:pPr>
    <w:r>
      <w:t xml:space="preserve">                                                </w:t>
    </w:r>
    <w:r w:rsidRPr="00CD2FA3">
      <w:rPr>
        <w:b/>
        <w:i/>
        <w:sz w:val="28"/>
        <w:szCs w:val="28"/>
      </w:rPr>
      <w:t>LICENCIATURA EN DERECHO</w:t>
    </w:r>
  </w:p>
  <w:p w:rsidR="002B634F" w:rsidRPr="00CD2FA3" w:rsidRDefault="002B634F" w:rsidP="002B634F">
    <w:pPr>
      <w:pStyle w:val="Encabezado"/>
      <w:rPr>
        <w:b/>
        <w:i/>
        <w:sz w:val="28"/>
        <w:szCs w:val="28"/>
      </w:rPr>
    </w:pPr>
    <w:r w:rsidRPr="00CD2FA3">
      <w:rPr>
        <w:b/>
        <w:i/>
        <w:sz w:val="28"/>
        <w:szCs w:val="28"/>
      </w:rPr>
      <w:t xml:space="preserve">                                        DERECHO </w:t>
    </w:r>
    <w:r>
      <w:rPr>
        <w:b/>
        <w:i/>
        <w:sz w:val="28"/>
        <w:szCs w:val="28"/>
      </w:rPr>
      <w:t>ELECTORAL</w:t>
    </w:r>
  </w:p>
  <w:p w:rsidR="002B634F" w:rsidRDefault="002B634F">
    <w:pPr>
      <w:pStyle w:val="Encabezado"/>
    </w:pPr>
  </w:p>
  <w:p w:rsidR="002B634F" w:rsidRDefault="002B634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4B"/>
    <w:rsid w:val="000F7BD6"/>
    <w:rsid w:val="00116876"/>
    <w:rsid w:val="001354AB"/>
    <w:rsid w:val="001E5ED8"/>
    <w:rsid w:val="00282827"/>
    <w:rsid w:val="002B634F"/>
    <w:rsid w:val="003E183C"/>
    <w:rsid w:val="0051674B"/>
    <w:rsid w:val="005C1B1F"/>
    <w:rsid w:val="007459E1"/>
    <w:rsid w:val="00805676"/>
    <w:rsid w:val="00B72D7E"/>
    <w:rsid w:val="00C27295"/>
    <w:rsid w:val="00C45E15"/>
    <w:rsid w:val="00D04D44"/>
    <w:rsid w:val="00D717E3"/>
    <w:rsid w:val="00D95B4B"/>
    <w:rsid w:val="00E367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C38D"/>
  <w15:chartTrackingRefBased/>
  <w15:docId w15:val="{0EE68513-0ED0-4455-A5FE-A649F54A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s-MX" w:eastAsia="en-US" w:bidi="ar-SA"/>
      </w:rPr>
    </w:rPrDefault>
    <w:pPrDefault>
      <w:pPr>
        <w:spacing w:line="4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354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634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634F"/>
  </w:style>
  <w:style w:type="paragraph" w:styleId="Piedepgina">
    <w:name w:val="footer"/>
    <w:basedOn w:val="Normal"/>
    <w:link w:val="PiedepginaCar"/>
    <w:uiPriority w:val="99"/>
    <w:unhideWhenUsed/>
    <w:rsid w:val="002B634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1680</Words>
  <Characters>9241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Eusebio</dc:creator>
  <cp:keywords/>
  <dc:description/>
  <cp:lastModifiedBy>Eusebio</cp:lastModifiedBy>
  <cp:revision>8</cp:revision>
  <dcterms:created xsi:type="dcterms:W3CDTF">2017-10-04T18:10:00Z</dcterms:created>
  <dcterms:modified xsi:type="dcterms:W3CDTF">2017-10-05T22:57:00Z</dcterms:modified>
</cp:coreProperties>
</file>