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Taller de lectura y redacción I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Tarea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Grupo: 51-A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Tema : Expresión oral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Fecha: 30 de noviembre 1 de diciembre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Objetivo: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Reafirmar lo referente a la expresión oral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Actividades: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Contesta el siguiente cuestionario: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1.- Cuál es la importancia de la expresión oral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2.- Cuáles son los elementos de la expresión oral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3.- Cuál es la función de los elementos de la expresión oral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4.- Cuáles son las cualidades de la expresión oral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5.- Qué es la dicción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6.- Cómo se puede corregir la dicción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7.- Cómo debe ser el volumen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8.- A qué se debe adaptar el volumen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9.- Qué es la fluidez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10.-A que se refiere el ritmo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