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1B5635" w:rsidRPr="001B5635" w:rsidRDefault="001B5635" w:rsidP="001B5635">
      <w:pPr>
        <w:spacing w:after="0" w:line="240" w:lineRule="auto"/>
        <w:jc w:val="center"/>
        <w:rPr>
          <w:rFonts w:ascii="Cambria" w:eastAsia="Times New Roman" w:hAnsi="Cambria" w:cs="Verdana"/>
          <w:b/>
          <w:bCs/>
          <w:sz w:val="24"/>
          <w:szCs w:val="24"/>
        </w:rPr>
      </w:pPr>
      <w:r>
        <w:rPr>
          <w:rFonts w:ascii="Cambria" w:eastAsia="Times New Roman" w:hAnsi="Cambria" w:cs="Verdana"/>
          <w:b/>
          <w:bCs/>
          <w:sz w:val="24"/>
          <w:szCs w:val="24"/>
        </w:rPr>
        <w:t>O</w:t>
      </w:r>
      <w:r w:rsidRPr="001B5635">
        <w:rPr>
          <w:rFonts w:ascii="Cambria" w:eastAsia="Times New Roman" w:hAnsi="Cambria" w:cs="Verdana"/>
          <w:b/>
          <w:bCs/>
          <w:sz w:val="24"/>
          <w:szCs w:val="24"/>
        </w:rPr>
        <w:t>KLAHOMA TOBACCO SETTLEMENT ENDOWMENT</w:t>
      </w:r>
    </w:p>
    <w:p w:rsidR="001B5635" w:rsidRPr="001B5635" w:rsidRDefault="001B5635" w:rsidP="001B5635">
      <w:pPr>
        <w:spacing w:after="0" w:line="240" w:lineRule="auto"/>
        <w:jc w:val="center"/>
        <w:rPr>
          <w:rFonts w:ascii="Cambria" w:eastAsia="Times New Roman" w:hAnsi="Cambria" w:cs="Verdana"/>
          <w:b/>
          <w:bCs/>
          <w:sz w:val="24"/>
          <w:szCs w:val="24"/>
        </w:rPr>
      </w:pPr>
      <w:r w:rsidRPr="001B5635">
        <w:rPr>
          <w:rFonts w:ascii="Cambria" w:eastAsia="Times New Roman" w:hAnsi="Cambria" w:cs="Verdana"/>
          <w:b/>
          <w:bCs/>
          <w:sz w:val="24"/>
          <w:szCs w:val="24"/>
        </w:rPr>
        <w:t>TRUST FUND BOARD OF INVESTORS</w:t>
      </w: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r w:rsidRPr="001B5635">
        <w:rPr>
          <w:rFonts w:ascii="Cambria" w:eastAsia="Times New Roman" w:hAnsi="Cambria" w:cs="Verdana"/>
          <w:b/>
          <w:bCs/>
          <w:sz w:val="24"/>
          <w:szCs w:val="24"/>
        </w:rPr>
        <w:t>REQUEST FOR PROPOSALS (RFP)</w:t>
      </w:r>
    </w:p>
    <w:p w:rsidR="001B5635" w:rsidRPr="001B5635" w:rsidRDefault="001B5635" w:rsidP="001B5635">
      <w:pPr>
        <w:spacing w:after="0" w:line="240" w:lineRule="auto"/>
        <w:jc w:val="center"/>
        <w:rPr>
          <w:rFonts w:ascii="Cambria" w:eastAsia="Times New Roman" w:hAnsi="Cambria" w:cs="Verdana"/>
          <w:b/>
          <w:bCs/>
          <w:sz w:val="24"/>
          <w:szCs w:val="24"/>
        </w:rPr>
      </w:pPr>
      <w:r w:rsidRPr="001B5635">
        <w:rPr>
          <w:rFonts w:ascii="Cambria" w:eastAsia="Times New Roman" w:hAnsi="Cambria" w:cs="Verdana"/>
          <w:b/>
          <w:bCs/>
          <w:sz w:val="24"/>
          <w:szCs w:val="24"/>
        </w:rPr>
        <w:t>FOR</w:t>
      </w:r>
    </w:p>
    <w:p w:rsidR="001B5635" w:rsidRDefault="001B5635" w:rsidP="001B5635">
      <w:pPr>
        <w:spacing w:after="0" w:line="240" w:lineRule="auto"/>
        <w:jc w:val="center"/>
        <w:rPr>
          <w:rFonts w:ascii="Cambria" w:eastAsia="Times New Roman" w:hAnsi="Cambria" w:cs="Verdana"/>
          <w:b/>
          <w:bCs/>
          <w:sz w:val="24"/>
          <w:szCs w:val="24"/>
        </w:rPr>
      </w:pPr>
      <w:r w:rsidRPr="001B5635">
        <w:rPr>
          <w:rFonts w:ascii="Cambria" w:eastAsia="Times New Roman" w:hAnsi="Cambria" w:cs="Verdana"/>
          <w:b/>
          <w:bCs/>
          <w:sz w:val="24"/>
          <w:szCs w:val="24"/>
        </w:rPr>
        <w:t>INVESTMENT MANAGEMENT SERVICES</w:t>
      </w:r>
      <w:r w:rsidR="00541524">
        <w:rPr>
          <w:rFonts w:ascii="Cambria" w:eastAsia="Times New Roman" w:hAnsi="Cambria" w:cs="Verdana"/>
          <w:b/>
          <w:bCs/>
          <w:sz w:val="24"/>
          <w:szCs w:val="24"/>
        </w:rPr>
        <w:t xml:space="preserve"> </w:t>
      </w:r>
    </w:p>
    <w:p w:rsidR="001B5635" w:rsidRPr="001B5635" w:rsidRDefault="00541524" w:rsidP="00541524">
      <w:pPr>
        <w:spacing w:after="0" w:line="240" w:lineRule="auto"/>
        <w:jc w:val="center"/>
        <w:rPr>
          <w:rFonts w:ascii="Cambria" w:eastAsia="Times New Roman" w:hAnsi="Cambria" w:cs="Verdana"/>
          <w:b/>
          <w:bCs/>
          <w:sz w:val="24"/>
          <w:szCs w:val="24"/>
        </w:rPr>
      </w:pPr>
      <w:r>
        <w:rPr>
          <w:rFonts w:ascii="Cambria" w:eastAsia="Times New Roman" w:hAnsi="Cambria" w:cs="Verdana"/>
          <w:b/>
          <w:bCs/>
          <w:sz w:val="24"/>
          <w:szCs w:val="24"/>
        </w:rPr>
        <w:t>FOR</w:t>
      </w:r>
    </w:p>
    <w:p w:rsidR="001B5635" w:rsidRPr="001B5635" w:rsidRDefault="00541524" w:rsidP="001B5635">
      <w:pPr>
        <w:spacing w:after="0" w:line="240" w:lineRule="auto"/>
        <w:jc w:val="center"/>
        <w:rPr>
          <w:rFonts w:ascii="Cambria" w:eastAsia="Times New Roman" w:hAnsi="Cambria" w:cs="Verdana"/>
          <w:b/>
          <w:bCs/>
          <w:sz w:val="24"/>
          <w:szCs w:val="24"/>
        </w:rPr>
      </w:pPr>
      <w:r>
        <w:rPr>
          <w:rFonts w:ascii="Cambria" w:eastAsia="Times New Roman" w:hAnsi="Cambria" w:cs="Verdana"/>
          <w:b/>
          <w:bCs/>
          <w:sz w:val="24"/>
          <w:szCs w:val="24"/>
        </w:rPr>
        <w:t>PRIVATE</w:t>
      </w:r>
      <w:r w:rsidR="00AB5BF8">
        <w:rPr>
          <w:rFonts w:ascii="Cambria" w:eastAsia="Times New Roman" w:hAnsi="Cambria" w:cs="Verdana"/>
          <w:b/>
          <w:bCs/>
          <w:sz w:val="24"/>
          <w:szCs w:val="24"/>
        </w:rPr>
        <w:t xml:space="preserve">, OPEN-END </w:t>
      </w:r>
      <w:r>
        <w:rPr>
          <w:rFonts w:ascii="Cambria" w:eastAsia="Times New Roman" w:hAnsi="Cambria" w:cs="Verdana"/>
          <w:b/>
          <w:bCs/>
          <w:sz w:val="24"/>
          <w:szCs w:val="24"/>
        </w:rPr>
        <w:t>REAL ESTATE DEBT</w:t>
      </w:r>
      <w:r w:rsidR="00AB5BF8">
        <w:rPr>
          <w:rFonts w:ascii="Cambria" w:eastAsia="Times New Roman" w:hAnsi="Cambria" w:cs="Verdana"/>
          <w:b/>
          <w:bCs/>
          <w:sz w:val="24"/>
          <w:szCs w:val="24"/>
        </w:rPr>
        <w:t xml:space="preserve"> FUNDS</w:t>
      </w: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AB5BF8" w:rsidP="001B5635">
      <w:pPr>
        <w:spacing w:after="0" w:line="240" w:lineRule="auto"/>
        <w:jc w:val="center"/>
        <w:rPr>
          <w:rFonts w:ascii="Cambria" w:eastAsia="Times New Roman" w:hAnsi="Cambria" w:cs="Verdana"/>
          <w:b/>
          <w:bCs/>
          <w:sz w:val="24"/>
          <w:szCs w:val="24"/>
        </w:rPr>
      </w:pPr>
      <w:r>
        <w:rPr>
          <w:rFonts w:ascii="Cambria" w:eastAsia="Times New Roman" w:hAnsi="Cambria" w:cs="Verdana"/>
          <w:b/>
          <w:bCs/>
          <w:sz w:val="24"/>
          <w:szCs w:val="24"/>
        </w:rPr>
        <w:t xml:space="preserve">January </w:t>
      </w:r>
      <w:r w:rsidR="006E3C12">
        <w:rPr>
          <w:rFonts w:ascii="Cambria" w:eastAsia="Times New Roman" w:hAnsi="Cambria" w:cs="Verdana"/>
          <w:b/>
          <w:bCs/>
          <w:sz w:val="24"/>
          <w:szCs w:val="24"/>
        </w:rPr>
        <w:t>10</w:t>
      </w:r>
      <w:r w:rsidR="0024468F">
        <w:rPr>
          <w:rFonts w:ascii="Cambria" w:eastAsia="Times New Roman" w:hAnsi="Cambria" w:cs="Verdana"/>
          <w:b/>
          <w:bCs/>
          <w:sz w:val="24"/>
          <w:szCs w:val="24"/>
        </w:rPr>
        <w:t>, 20</w:t>
      </w:r>
      <w:r>
        <w:rPr>
          <w:rFonts w:ascii="Cambria" w:eastAsia="Times New Roman" w:hAnsi="Cambria" w:cs="Verdana"/>
          <w:b/>
          <w:bCs/>
          <w:sz w:val="24"/>
          <w:szCs w:val="24"/>
        </w:rPr>
        <w:t>20</w:t>
      </w: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sz w:val="24"/>
          <w:szCs w:val="24"/>
        </w:rPr>
      </w:pPr>
      <w:r w:rsidRPr="001B5635">
        <w:rPr>
          <w:rFonts w:ascii="Cambria" w:eastAsia="Times New Roman" w:hAnsi="Cambria" w:cs="Verdana"/>
          <w:sz w:val="24"/>
          <w:szCs w:val="24"/>
        </w:rPr>
        <w:t>OKLAHOMA TOBACCO SETTLEMENT ENDOWMENT</w:t>
      </w:r>
    </w:p>
    <w:p w:rsidR="001B5635" w:rsidRPr="001B5635" w:rsidRDefault="001B5635" w:rsidP="001B5635">
      <w:pPr>
        <w:spacing w:after="0" w:line="240" w:lineRule="auto"/>
        <w:jc w:val="center"/>
        <w:rPr>
          <w:rFonts w:ascii="Cambria" w:eastAsia="Times New Roman" w:hAnsi="Cambria" w:cs="Verdana"/>
          <w:sz w:val="24"/>
          <w:szCs w:val="24"/>
        </w:rPr>
      </w:pPr>
      <w:r w:rsidRPr="001B5635">
        <w:rPr>
          <w:rFonts w:ascii="Cambria" w:eastAsia="Times New Roman" w:hAnsi="Cambria" w:cs="Verdana"/>
          <w:sz w:val="24"/>
          <w:szCs w:val="24"/>
        </w:rPr>
        <w:t>TRUST FUND BOARD OF INVESTORS</w:t>
      </w:r>
    </w:p>
    <w:p w:rsidR="001B5635" w:rsidRPr="001B5635" w:rsidRDefault="001B5635" w:rsidP="001B5635">
      <w:pPr>
        <w:spacing w:after="0" w:line="240" w:lineRule="auto"/>
        <w:jc w:val="center"/>
        <w:rPr>
          <w:rFonts w:ascii="Cambria" w:eastAsia="Times New Roman" w:hAnsi="Cambria" w:cs="Verdana"/>
          <w:sz w:val="24"/>
          <w:szCs w:val="24"/>
        </w:rPr>
      </w:pPr>
      <w:r w:rsidRPr="001B5635">
        <w:rPr>
          <w:rFonts w:ascii="Cambria" w:eastAsia="Times New Roman" w:hAnsi="Cambria" w:cs="Verdana"/>
          <w:sz w:val="24"/>
          <w:szCs w:val="24"/>
        </w:rPr>
        <w:t>c/o Oklahoma State Treasurer</w:t>
      </w:r>
    </w:p>
    <w:p w:rsidR="001B5635" w:rsidRPr="001B5635" w:rsidRDefault="001B5635" w:rsidP="001B5635">
      <w:pPr>
        <w:spacing w:after="0" w:line="240" w:lineRule="auto"/>
        <w:jc w:val="center"/>
        <w:rPr>
          <w:rFonts w:ascii="Cambria" w:eastAsia="Times New Roman" w:hAnsi="Cambria" w:cs="Verdana"/>
          <w:sz w:val="24"/>
          <w:szCs w:val="24"/>
        </w:rPr>
      </w:pPr>
      <w:r w:rsidRPr="001B5635">
        <w:rPr>
          <w:rFonts w:ascii="Cambria" w:eastAsia="Times New Roman" w:hAnsi="Cambria" w:cs="Verdana"/>
          <w:sz w:val="24"/>
          <w:szCs w:val="24"/>
        </w:rPr>
        <w:t>2300 N. Lincoln Boulevard, Room 217</w:t>
      </w:r>
    </w:p>
    <w:p w:rsidR="001B5635" w:rsidRPr="001B5635" w:rsidRDefault="001B5635" w:rsidP="001B5635">
      <w:pPr>
        <w:spacing w:after="0" w:line="240" w:lineRule="auto"/>
        <w:jc w:val="center"/>
        <w:rPr>
          <w:rFonts w:ascii="Cambria" w:eastAsia="Times New Roman" w:hAnsi="Cambria" w:cs="Verdana"/>
          <w:sz w:val="24"/>
          <w:szCs w:val="24"/>
        </w:rPr>
      </w:pPr>
      <w:r w:rsidRPr="001B5635">
        <w:rPr>
          <w:rFonts w:ascii="Cambria" w:eastAsia="Times New Roman" w:hAnsi="Cambria" w:cs="Verdana"/>
          <w:sz w:val="24"/>
          <w:szCs w:val="24"/>
        </w:rPr>
        <w:t>Oklahoma City, OK 73105</w:t>
      </w:r>
    </w:p>
    <w:p w:rsidR="00233AC3" w:rsidRDefault="00233AC3" w:rsidP="001B5635">
      <w:pPr>
        <w:spacing w:after="0" w:line="240" w:lineRule="auto"/>
        <w:jc w:val="center"/>
        <w:rPr>
          <w:rFonts w:ascii="Cambria" w:eastAsia="Times New Roman" w:hAnsi="Cambria" w:cs="Verdana"/>
          <w:b/>
          <w:bCs/>
          <w:sz w:val="24"/>
          <w:szCs w:val="24"/>
        </w:rPr>
      </w:pPr>
    </w:p>
    <w:p w:rsidR="00233AC3" w:rsidRDefault="00233AC3"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r w:rsidRPr="001B5635">
        <w:rPr>
          <w:rFonts w:ascii="Cambria" w:eastAsia="Times New Roman" w:hAnsi="Cambria" w:cs="Verdana"/>
          <w:b/>
          <w:bCs/>
          <w:sz w:val="24"/>
          <w:szCs w:val="24"/>
        </w:rPr>
        <w:t>TABLE OF CONTENTS</w:t>
      </w: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tabs>
          <w:tab w:val="right" w:pos="8640"/>
        </w:tabs>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Section I. GENERAL INFORMATION FOR MANAGERS</w:t>
      </w:r>
      <w:r w:rsidRPr="001B5635">
        <w:rPr>
          <w:rFonts w:ascii="Cambria" w:eastAsia="Times New Roman" w:hAnsi="Cambria" w:cs="Verdana"/>
          <w:sz w:val="24"/>
          <w:szCs w:val="24"/>
        </w:rPr>
        <w:tab/>
        <w:t>1-1</w:t>
      </w:r>
      <w:r w:rsidRPr="001B5635">
        <w:rPr>
          <w:rFonts w:ascii="Cambria" w:eastAsia="Times New Roman" w:hAnsi="Cambria" w:cs="Verdana"/>
          <w:sz w:val="24"/>
          <w:szCs w:val="24"/>
        </w:rPr>
        <w:tab/>
      </w:r>
    </w:p>
    <w:p w:rsidR="001B5635" w:rsidRPr="001B5635" w:rsidRDefault="001B5635" w:rsidP="001B5635">
      <w:pPr>
        <w:tabs>
          <w:tab w:val="right" w:pos="8640"/>
        </w:tabs>
        <w:spacing w:after="0" w:line="240" w:lineRule="auto"/>
        <w:rPr>
          <w:rFonts w:ascii="Cambria" w:eastAsia="Times New Roman" w:hAnsi="Cambria" w:cs="Verdana"/>
          <w:sz w:val="24"/>
          <w:szCs w:val="24"/>
        </w:rPr>
      </w:pPr>
    </w:p>
    <w:p w:rsidR="001B5635" w:rsidRPr="001B5635" w:rsidRDefault="001B5635" w:rsidP="001B5635">
      <w:pPr>
        <w:tabs>
          <w:tab w:val="right" w:pos="8640"/>
        </w:tabs>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Section II. THE PROCUREMEN</w:t>
      </w:r>
      <w:r w:rsidR="00B2584B">
        <w:rPr>
          <w:rFonts w:ascii="Cambria" w:eastAsia="Times New Roman" w:hAnsi="Cambria" w:cs="Verdana"/>
          <w:sz w:val="24"/>
          <w:szCs w:val="24"/>
        </w:rPr>
        <w:t>T PROCESS</w:t>
      </w:r>
      <w:r w:rsidRPr="001B5635">
        <w:rPr>
          <w:rFonts w:ascii="Cambria" w:eastAsia="Times New Roman" w:hAnsi="Cambria" w:cs="Verdana"/>
          <w:sz w:val="24"/>
          <w:szCs w:val="24"/>
        </w:rPr>
        <w:tab/>
        <w:t xml:space="preserve"> 2-1</w:t>
      </w:r>
    </w:p>
    <w:p w:rsidR="001B5635" w:rsidRPr="001B5635" w:rsidRDefault="001B5635" w:rsidP="001B5635">
      <w:pPr>
        <w:tabs>
          <w:tab w:val="right" w:pos="8640"/>
        </w:tabs>
        <w:spacing w:after="0" w:line="240" w:lineRule="auto"/>
        <w:rPr>
          <w:rFonts w:ascii="Cambria" w:eastAsia="Times New Roman" w:hAnsi="Cambria" w:cs="Verdana"/>
          <w:sz w:val="24"/>
          <w:szCs w:val="24"/>
        </w:rPr>
      </w:pPr>
    </w:p>
    <w:p w:rsidR="001B5635" w:rsidRPr="001B5635" w:rsidRDefault="001B5635" w:rsidP="001B5635">
      <w:pPr>
        <w:tabs>
          <w:tab w:val="right" w:pos="8640"/>
        </w:tabs>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APPENDIX A</w:t>
      </w:r>
      <w:r w:rsidR="00272E79">
        <w:rPr>
          <w:rFonts w:ascii="Cambria" w:eastAsia="Times New Roman" w:hAnsi="Cambria" w:cs="Verdana"/>
          <w:sz w:val="24"/>
          <w:szCs w:val="24"/>
        </w:rPr>
        <w:t xml:space="preserve"> – Placement Agent Policy</w:t>
      </w:r>
      <w:r w:rsidR="00233AC3">
        <w:rPr>
          <w:rFonts w:ascii="Cambria" w:eastAsia="Times New Roman" w:hAnsi="Cambria" w:cs="Verdana"/>
          <w:sz w:val="24"/>
          <w:szCs w:val="24"/>
        </w:rPr>
        <w:tab/>
      </w:r>
      <w:r w:rsidRPr="001B5635">
        <w:rPr>
          <w:rFonts w:ascii="Cambria" w:eastAsia="Times New Roman" w:hAnsi="Cambria" w:cs="Verdana"/>
          <w:sz w:val="24"/>
          <w:szCs w:val="24"/>
        </w:rPr>
        <w:t>A-1</w:t>
      </w:r>
    </w:p>
    <w:p w:rsidR="001B5635" w:rsidRPr="001B5635" w:rsidRDefault="001B5635" w:rsidP="001B5635">
      <w:pPr>
        <w:tabs>
          <w:tab w:val="right" w:pos="8640"/>
        </w:tabs>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ab/>
      </w:r>
    </w:p>
    <w:p w:rsidR="001B5635" w:rsidRPr="001B5635" w:rsidRDefault="001B5635" w:rsidP="001B5635">
      <w:pPr>
        <w:tabs>
          <w:tab w:val="right" w:pos="8640"/>
        </w:tabs>
        <w:spacing w:after="0" w:line="240" w:lineRule="auto"/>
        <w:rPr>
          <w:rFonts w:ascii="Cambria" w:eastAsia="Times New Roman" w:hAnsi="Cambria" w:cs="Verdana"/>
          <w:sz w:val="24"/>
          <w:szCs w:val="24"/>
        </w:rPr>
      </w:pPr>
    </w:p>
    <w:p w:rsidR="001B5635" w:rsidRPr="001B5635" w:rsidRDefault="001B5635" w:rsidP="001B5635">
      <w:pPr>
        <w:tabs>
          <w:tab w:val="right" w:pos="8640"/>
        </w:tabs>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br w:type="page"/>
      </w: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lastRenderedPageBreak/>
        <w:t>Section One</w:t>
      </w: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t>GENERAL INFORMATION FOR MANAGERS</w:t>
      </w:r>
    </w:p>
    <w:p w:rsidR="001B5635" w:rsidRPr="001B5635" w:rsidRDefault="001B5635" w:rsidP="001B5635">
      <w:pPr>
        <w:spacing w:after="0" w:line="240" w:lineRule="auto"/>
        <w:rPr>
          <w:rFonts w:ascii="Cambria" w:eastAsia="Times New Roman" w:hAnsi="Cambria" w:cs="Verdana"/>
          <w:b/>
          <w:bCs/>
          <w:sz w:val="24"/>
          <w:szCs w:val="24"/>
        </w:rPr>
      </w:pPr>
    </w:p>
    <w:p w:rsidR="001B5635" w:rsidRPr="001B5635" w:rsidRDefault="001B5635" w:rsidP="001B5635">
      <w:pPr>
        <w:numPr>
          <w:ilvl w:val="1"/>
          <w:numId w:val="5"/>
        </w:numPr>
        <w:spacing w:after="0" w:line="240" w:lineRule="auto"/>
        <w:contextualSpacing/>
        <w:rPr>
          <w:rFonts w:ascii="Cambria" w:eastAsia="Times New Roman" w:hAnsi="Cambria" w:cs="Verdana"/>
          <w:b/>
          <w:bCs/>
          <w:sz w:val="24"/>
          <w:szCs w:val="24"/>
        </w:rPr>
      </w:pPr>
      <w:r w:rsidRPr="001B5635">
        <w:rPr>
          <w:rFonts w:ascii="Cambria" w:eastAsia="Times New Roman" w:hAnsi="Cambria" w:cs="Verdana"/>
          <w:b/>
          <w:bCs/>
          <w:sz w:val="24"/>
          <w:szCs w:val="24"/>
        </w:rPr>
        <w:t>Introduction</w:t>
      </w:r>
    </w:p>
    <w:p w:rsidR="001B5635" w:rsidRPr="001B5635" w:rsidRDefault="001B5635" w:rsidP="001B5635">
      <w:pPr>
        <w:spacing w:after="0" w:line="240" w:lineRule="auto"/>
        <w:ind w:left="720"/>
        <w:contextualSpacing/>
        <w:rPr>
          <w:rFonts w:ascii="Cambria" w:eastAsia="Times New Roman" w:hAnsi="Cambria" w:cs="Verdana"/>
          <w:b/>
          <w:bCs/>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In November 2000, the people of the State of Oklahoma enacted Article X, Section 40 to the State Constitution. This new provision created the Tobacco Settlement Endowment Trust Fund into which a substantial portion of the State's share of the national tobacco settlement payments would be deposited. The investment management of this Trust Fund is vested in a five person Board of Investors chaired by the State Treasurer. The remaining members of the Board are appointed by the Governor, State Auditor and Inspector, the President Pro-Tempore of the Senate and the Speaker of the House of Representatives.</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Earnings from the Trust Fund may be expended for research to fight cancer and other tobacco-related diseases, tobacco prevention and cessation, programs to promote public health, programs to enhance the provision of health care, a variety of education programs, and programs to enhance the health and well-being of senior citizens. A different board, called the Board of Directors of the Tobacco Settlement Endowment Trust Fund, makes all spending decisions for the earnings.</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numPr>
          <w:ilvl w:val="1"/>
          <w:numId w:val="5"/>
        </w:numPr>
        <w:spacing w:after="0" w:line="240" w:lineRule="auto"/>
        <w:contextualSpacing/>
        <w:rPr>
          <w:rFonts w:ascii="Cambria" w:eastAsia="Times New Roman" w:hAnsi="Cambria" w:cs="Verdana"/>
          <w:b/>
          <w:bCs/>
          <w:sz w:val="24"/>
          <w:szCs w:val="24"/>
        </w:rPr>
      </w:pPr>
      <w:r w:rsidRPr="001B5635">
        <w:rPr>
          <w:rFonts w:ascii="Cambria" w:eastAsia="Times New Roman" w:hAnsi="Cambria" w:cs="Verdana"/>
          <w:b/>
          <w:bCs/>
          <w:sz w:val="24"/>
          <w:szCs w:val="24"/>
        </w:rPr>
        <w:t>Background</w:t>
      </w:r>
    </w:p>
    <w:p w:rsidR="001B5635" w:rsidRPr="001B5635" w:rsidRDefault="001B5635" w:rsidP="001B5635">
      <w:pPr>
        <w:spacing w:after="0" w:line="240" w:lineRule="auto"/>
        <w:ind w:left="720"/>
        <w:contextualSpacing/>
        <w:rPr>
          <w:rFonts w:ascii="Cambria" w:eastAsia="Times New Roman" w:hAnsi="Cambria" w:cs="Verdana"/>
          <w:b/>
          <w:bCs/>
          <w:sz w:val="24"/>
          <w:szCs w:val="24"/>
        </w:rPr>
      </w:pPr>
    </w:p>
    <w:p w:rsidR="00DF657F" w:rsidRPr="001B5635" w:rsidRDefault="00DF657F" w:rsidP="00DF657F">
      <w:pPr>
        <w:spacing w:after="0" w:line="240" w:lineRule="auto"/>
        <w:rPr>
          <w:rFonts w:ascii="Cambria" w:eastAsia="Times New Roman" w:hAnsi="Cambria" w:cs="Verdana"/>
          <w:sz w:val="24"/>
          <w:szCs w:val="24"/>
        </w:rPr>
      </w:pPr>
      <w:r>
        <w:rPr>
          <w:rFonts w:ascii="Cambria" w:eastAsia="Times New Roman" w:hAnsi="Cambria" w:cs="Verdana"/>
          <w:sz w:val="24"/>
          <w:szCs w:val="24"/>
        </w:rPr>
        <w:t>A</w:t>
      </w:r>
      <w:r w:rsidRPr="001B5635">
        <w:rPr>
          <w:rFonts w:ascii="Cambria" w:eastAsia="Times New Roman" w:hAnsi="Cambria" w:cs="Verdana"/>
          <w:sz w:val="24"/>
          <w:szCs w:val="24"/>
        </w:rPr>
        <w:t xml:space="preserve">. </w:t>
      </w:r>
      <w:r>
        <w:rPr>
          <w:rFonts w:ascii="Cambria" w:eastAsia="Times New Roman" w:hAnsi="Cambria" w:cs="Verdana"/>
          <w:sz w:val="24"/>
          <w:szCs w:val="24"/>
        </w:rPr>
        <w:t>Legal Authorization</w:t>
      </w:r>
    </w:p>
    <w:p w:rsidR="001B5635" w:rsidRPr="001B5635" w:rsidRDefault="001B5635" w:rsidP="00DF657F">
      <w:pPr>
        <w:rPr>
          <w:rFonts w:ascii="Cambria" w:eastAsia="Times New Roman" w:hAnsi="Cambria" w:cs="Verdana"/>
          <w:sz w:val="24"/>
          <w:szCs w:val="24"/>
        </w:rPr>
      </w:pPr>
      <w:r w:rsidRPr="001B5635">
        <w:rPr>
          <w:rFonts w:ascii="Cambria" w:eastAsia="Times New Roman" w:hAnsi="Cambria" w:cs="Verdana"/>
          <w:sz w:val="24"/>
          <w:szCs w:val="24"/>
        </w:rPr>
        <w:t>The Board is charged with the investment of the Trust Fund. In addition to Article X, §40 of the Oklahoma Constitution, the Board's investment authorization is set forth in Section 6 of House Bill 1003 of the 2001 Legislative session (codified as title 62, §2306 of the Oklahoma Statutes.)</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B. Support Services</w:t>
      </w: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The Board is </w:t>
      </w:r>
      <w:r w:rsidR="00CD1E21">
        <w:rPr>
          <w:rFonts w:ascii="Cambria" w:eastAsia="Times New Roman" w:hAnsi="Cambria" w:cs="Verdana"/>
          <w:sz w:val="24"/>
          <w:szCs w:val="24"/>
        </w:rPr>
        <w:t xml:space="preserve">supported by </w:t>
      </w:r>
      <w:r w:rsidRPr="001B5635">
        <w:rPr>
          <w:rFonts w:ascii="Cambria" w:eastAsia="Times New Roman" w:hAnsi="Cambria" w:cs="Verdana"/>
          <w:sz w:val="24"/>
          <w:szCs w:val="24"/>
        </w:rPr>
        <w:t>staff</w:t>
      </w:r>
      <w:r w:rsidR="00CD1E21">
        <w:rPr>
          <w:rFonts w:ascii="Cambria" w:eastAsia="Times New Roman" w:hAnsi="Cambria" w:cs="Verdana"/>
          <w:sz w:val="24"/>
          <w:szCs w:val="24"/>
        </w:rPr>
        <w:t xml:space="preserve"> of</w:t>
      </w:r>
      <w:r w:rsidRPr="001B5635">
        <w:rPr>
          <w:rFonts w:ascii="Cambria" w:eastAsia="Times New Roman" w:hAnsi="Cambria" w:cs="Verdana"/>
          <w:sz w:val="24"/>
          <w:szCs w:val="24"/>
        </w:rPr>
        <w:t xml:space="preserve"> the Oklahoma State Treasurer's office. The Board has retained</w:t>
      </w:r>
      <w:r w:rsidR="002425BC">
        <w:rPr>
          <w:rFonts w:ascii="Cambria" w:eastAsia="Times New Roman" w:hAnsi="Cambria" w:cs="Verdana"/>
          <w:sz w:val="24"/>
          <w:szCs w:val="24"/>
        </w:rPr>
        <w:t xml:space="preserve"> NEPC</w:t>
      </w:r>
      <w:r w:rsidRPr="001B5635">
        <w:rPr>
          <w:rFonts w:ascii="Cambria" w:eastAsia="Times New Roman" w:hAnsi="Cambria" w:cs="Verdana"/>
          <w:sz w:val="24"/>
          <w:szCs w:val="24"/>
        </w:rPr>
        <w:t xml:space="preserve"> as its Investment Consultant, the Bank of Oklahoma as its custodian bank and several investment managers.</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C. Allocation of Assets/ Investment Policy</w:t>
      </w: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The Board has </w:t>
      </w:r>
      <w:r w:rsidR="00630ECD">
        <w:rPr>
          <w:rFonts w:ascii="Cambria" w:eastAsia="Times New Roman" w:hAnsi="Cambria" w:cs="Verdana"/>
          <w:sz w:val="24"/>
          <w:szCs w:val="24"/>
        </w:rPr>
        <w:t xml:space="preserve">adopted an asset allocation </w:t>
      </w:r>
      <w:r w:rsidR="000E1556">
        <w:rPr>
          <w:rFonts w:ascii="Cambria" w:eastAsia="Times New Roman" w:hAnsi="Cambria" w:cs="Verdana"/>
          <w:sz w:val="24"/>
          <w:szCs w:val="24"/>
        </w:rPr>
        <w:t xml:space="preserve">target of </w:t>
      </w:r>
      <w:r w:rsidR="00AB5BF8">
        <w:rPr>
          <w:rFonts w:ascii="Cambria" w:eastAsia="Times New Roman" w:hAnsi="Cambria" w:cs="Verdana"/>
          <w:sz w:val="24"/>
          <w:szCs w:val="24"/>
        </w:rPr>
        <w:t>2.5</w:t>
      </w:r>
      <w:r w:rsidR="000406B9">
        <w:rPr>
          <w:rFonts w:ascii="Cambria" w:eastAsia="Times New Roman" w:hAnsi="Cambria" w:cs="Verdana"/>
          <w:sz w:val="24"/>
          <w:szCs w:val="24"/>
        </w:rPr>
        <w:t>%</w:t>
      </w:r>
      <w:r w:rsidR="000E1556">
        <w:rPr>
          <w:rFonts w:ascii="Cambria" w:eastAsia="Times New Roman" w:hAnsi="Cambria" w:cs="Verdana"/>
          <w:sz w:val="24"/>
          <w:szCs w:val="24"/>
        </w:rPr>
        <w:t xml:space="preserve"> ($</w:t>
      </w:r>
      <w:r w:rsidR="00AB5BF8">
        <w:rPr>
          <w:rFonts w:ascii="Cambria" w:eastAsia="Times New Roman" w:hAnsi="Cambria" w:cs="Verdana"/>
          <w:sz w:val="24"/>
          <w:szCs w:val="24"/>
        </w:rPr>
        <w:t>30-35</w:t>
      </w:r>
      <w:r w:rsidR="000E1556">
        <w:rPr>
          <w:rFonts w:ascii="Cambria" w:eastAsia="Times New Roman" w:hAnsi="Cambria" w:cs="Verdana"/>
          <w:sz w:val="24"/>
          <w:szCs w:val="24"/>
        </w:rPr>
        <w:t xml:space="preserve"> million)</w:t>
      </w:r>
      <w:r w:rsidR="000406B9">
        <w:rPr>
          <w:rFonts w:ascii="Cambria" w:eastAsia="Times New Roman" w:hAnsi="Cambria" w:cs="Verdana"/>
          <w:sz w:val="24"/>
          <w:szCs w:val="24"/>
        </w:rPr>
        <w:t xml:space="preserve"> to </w:t>
      </w:r>
      <w:r w:rsidR="00AB5BF8">
        <w:rPr>
          <w:rFonts w:ascii="Cambria" w:eastAsia="Times New Roman" w:hAnsi="Cambria" w:cs="Verdana"/>
          <w:sz w:val="24"/>
          <w:szCs w:val="24"/>
        </w:rPr>
        <w:t xml:space="preserve">Real Estate </w:t>
      </w:r>
      <w:proofErr w:type="gramStart"/>
      <w:r w:rsidR="00AB5BF8">
        <w:rPr>
          <w:rFonts w:ascii="Cambria" w:eastAsia="Times New Roman" w:hAnsi="Cambria" w:cs="Verdana"/>
          <w:sz w:val="24"/>
          <w:szCs w:val="24"/>
        </w:rPr>
        <w:t>Debt</w:t>
      </w:r>
      <w:r w:rsidR="000E1556">
        <w:rPr>
          <w:rFonts w:ascii="Cambria" w:eastAsia="Times New Roman" w:hAnsi="Cambria" w:cs="Verdana"/>
          <w:sz w:val="24"/>
          <w:szCs w:val="24"/>
        </w:rPr>
        <w:t>, and</w:t>
      </w:r>
      <w:proofErr w:type="gramEnd"/>
      <w:r w:rsidR="000E1556">
        <w:rPr>
          <w:rFonts w:ascii="Cambria" w:eastAsia="Times New Roman" w:hAnsi="Cambria" w:cs="Verdana"/>
          <w:sz w:val="24"/>
          <w:szCs w:val="24"/>
        </w:rPr>
        <w:t xml:space="preserve"> does not currently have any exposure to </w:t>
      </w:r>
      <w:r w:rsidR="00AB5BF8">
        <w:rPr>
          <w:rFonts w:ascii="Cambria" w:eastAsia="Times New Roman" w:hAnsi="Cambria" w:cs="Verdana"/>
          <w:sz w:val="24"/>
          <w:szCs w:val="24"/>
        </w:rPr>
        <w:t>Real Estate Debt</w:t>
      </w:r>
      <w:r w:rsidR="000E1556">
        <w:rPr>
          <w:rFonts w:ascii="Cambria" w:eastAsia="Times New Roman" w:hAnsi="Cambria" w:cs="Verdana"/>
          <w:sz w:val="24"/>
          <w:szCs w:val="24"/>
        </w:rPr>
        <w:t xml:space="preserve">. </w:t>
      </w:r>
      <w:r w:rsidR="00630ECD">
        <w:rPr>
          <w:rFonts w:ascii="Cambria" w:eastAsia="Times New Roman" w:hAnsi="Cambria" w:cs="Verdana"/>
          <w:sz w:val="24"/>
          <w:szCs w:val="24"/>
        </w:rPr>
        <w:t>T</w:t>
      </w:r>
      <w:r w:rsidRPr="001B5635">
        <w:rPr>
          <w:rFonts w:ascii="Cambria" w:eastAsia="Times New Roman" w:hAnsi="Cambria" w:cs="Verdana"/>
          <w:sz w:val="24"/>
          <w:szCs w:val="24"/>
        </w:rPr>
        <w:t>he constitutional provision creating the Board and the Trust Fund provides that the Fund may be invested in any type of investment vehicle suited for state retirement systems. Both the Board and the state retirement systems are governed by the "prudent investor" standard.</w:t>
      </w: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br w:type="page"/>
      </w:r>
    </w:p>
    <w:p w:rsidR="001B5635" w:rsidRPr="001B5635" w:rsidRDefault="001B5635" w:rsidP="001B5635">
      <w:pPr>
        <w:numPr>
          <w:ilvl w:val="1"/>
          <w:numId w:val="5"/>
        </w:numPr>
        <w:spacing w:after="0" w:line="240" w:lineRule="auto"/>
        <w:contextualSpacing/>
        <w:rPr>
          <w:rFonts w:ascii="Cambria" w:eastAsia="Times New Roman" w:hAnsi="Cambria" w:cs="Verdana"/>
          <w:b/>
          <w:bCs/>
          <w:sz w:val="24"/>
          <w:szCs w:val="24"/>
        </w:rPr>
      </w:pPr>
      <w:r w:rsidRPr="001B5635">
        <w:rPr>
          <w:rFonts w:ascii="Cambria" w:eastAsia="Times New Roman" w:hAnsi="Cambria" w:cs="Verdana"/>
          <w:b/>
          <w:bCs/>
          <w:sz w:val="24"/>
          <w:szCs w:val="24"/>
        </w:rPr>
        <w:lastRenderedPageBreak/>
        <w:t>Description of Services</w:t>
      </w:r>
    </w:p>
    <w:p w:rsidR="001B5635" w:rsidRPr="001B5635" w:rsidRDefault="001B5635" w:rsidP="001B5635">
      <w:pPr>
        <w:spacing w:after="0" w:line="240" w:lineRule="auto"/>
        <w:ind w:left="720"/>
        <w:contextualSpacing/>
        <w:rPr>
          <w:rFonts w:ascii="Cambria" w:eastAsia="Times New Roman" w:hAnsi="Cambria" w:cs="Verdana"/>
          <w:b/>
          <w:bCs/>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A. Purpose</w:t>
      </w: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The purpose of this Request for Proposal (RFP) is to solicit </w:t>
      </w:r>
      <w:r w:rsidR="0004778C">
        <w:rPr>
          <w:rFonts w:ascii="Cambria" w:eastAsia="Times New Roman" w:hAnsi="Cambria" w:cs="Verdana"/>
          <w:sz w:val="24"/>
          <w:szCs w:val="24"/>
        </w:rPr>
        <w:t>information and interest</w:t>
      </w:r>
      <w:r w:rsidRPr="001B5635">
        <w:rPr>
          <w:rFonts w:ascii="Cambria" w:eastAsia="Times New Roman" w:hAnsi="Cambria" w:cs="Verdana"/>
          <w:sz w:val="24"/>
          <w:szCs w:val="24"/>
        </w:rPr>
        <w:t xml:space="preserve"> from qualified firms to render investment management services to the Fund. The desired investment management service is the management of </w:t>
      </w:r>
      <w:r w:rsidR="006B0E88">
        <w:rPr>
          <w:rFonts w:ascii="Cambria" w:eastAsia="Times New Roman" w:hAnsi="Cambria" w:cs="Verdana"/>
          <w:sz w:val="24"/>
          <w:szCs w:val="24"/>
        </w:rPr>
        <w:t xml:space="preserve">a </w:t>
      </w:r>
      <w:r w:rsidR="00AB5BF8">
        <w:rPr>
          <w:rFonts w:ascii="Cambria" w:eastAsia="Times New Roman" w:hAnsi="Cambria" w:cs="Verdana"/>
          <w:sz w:val="24"/>
          <w:szCs w:val="24"/>
        </w:rPr>
        <w:t>private, open-end real estate debt</w:t>
      </w:r>
      <w:r w:rsidR="00F437F5">
        <w:rPr>
          <w:rFonts w:ascii="Cambria" w:eastAsia="Times New Roman" w:hAnsi="Cambria" w:cs="Verdana"/>
          <w:sz w:val="24"/>
          <w:szCs w:val="24"/>
        </w:rPr>
        <w:t xml:space="preserve"> fund</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B. Scope of Work</w:t>
      </w: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1. The selected manager</w:t>
      </w:r>
      <w:r w:rsidR="00996E6A">
        <w:rPr>
          <w:rFonts w:ascii="Cambria" w:eastAsia="Times New Roman" w:hAnsi="Cambria" w:cs="Verdana"/>
          <w:sz w:val="24"/>
          <w:szCs w:val="24"/>
        </w:rPr>
        <w:t>(s)</w:t>
      </w:r>
      <w:r w:rsidRPr="001B5635">
        <w:rPr>
          <w:rFonts w:ascii="Cambria" w:eastAsia="Times New Roman" w:hAnsi="Cambria" w:cs="Verdana"/>
          <w:sz w:val="24"/>
          <w:szCs w:val="24"/>
        </w:rPr>
        <w:t xml:space="preserve"> will </w:t>
      </w:r>
      <w:r w:rsidR="00A54C1B">
        <w:rPr>
          <w:rFonts w:ascii="Cambria" w:eastAsia="Times New Roman" w:hAnsi="Cambria" w:cs="Verdana"/>
          <w:sz w:val="24"/>
          <w:szCs w:val="24"/>
        </w:rPr>
        <w:t>manage</w:t>
      </w:r>
      <w:r w:rsidR="007A4A9F">
        <w:rPr>
          <w:rFonts w:ascii="Cambria" w:eastAsia="Times New Roman" w:hAnsi="Cambria" w:cs="Verdana"/>
          <w:sz w:val="24"/>
          <w:szCs w:val="24"/>
        </w:rPr>
        <w:t xml:space="preserve"> an </w:t>
      </w:r>
      <w:r w:rsidRPr="001B5635">
        <w:rPr>
          <w:rFonts w:ascii="Cambria" w:eastAsia="Times New Roman" w:hAnsi="Cambria" w:cs="Verdana"/>
          <w:sz w:val="24"/>
          <w:szCs w:val="24"/>
        </w:rPr>
        <w:t>a</w:t>
      </w:r>
      <w:r w:rsidR="006B0E88">
        <w:rPr>
          <w:rFonts w:ascii="Cambria" w:eastAsia="Times New Roman" w:hAnsi="Cambria" w:cs="Verdana"/>
          <w:sz w:val="24"/>
          <w:szCs w:val="24"/>
        </w:rPr>
        <w:t>llocat</w:t>
      </w:r>
      <w:r w:rsidR="007A4A9F">
        <w:rPr>
          <w:rFonts w:ascii="Cambria" w:eastAsia="Times New Roman" w:hAnsi="Cambria" w:cs="Verdana"/>
          <w:sz w:val="24"/>
          <w:szCs w:val="24"/>
        </w:rPr>
        <w:t>ion</w:t>
      </w:r>
      <w:r w:rsidRPr="001B5635">
        <w:rPr>
          <w:rFonts w:ascii="Cambria" w:eastAsia="Times New Roman" w:hAnsi="Cambria" w:cs="Verdana"/>
          <w:sz w:val="24"/>
          <w:szCs w:val="24"/>
        </w:rPr>
        <w:t xml:space="preserve"> </w:t>
      </w:r>
      <w:r w:rsidR="007A4A9F">
        <w:rPr>
          <w:rFonts w:ascii="Cambria" w:eastAsia="Times New Roman" w:hAnsi="Cambria" w:cs="Verdana"/>
          <w:sz w:val="24"/>
          <w:szCs w:val="24"/>
        </w:rPr>
        <w:t>of</w:t>
      </w:r>
      <w:r w:rsidR="003E2D5E">
        <w:rPr>
          <w:rFonts w:ascii="Cambria" w:eastAsia="Times New Roman" w:hAnsi="Cambria" w:cs="Verdana"/>
          <w:sz w:val="24"/>
          <w:szCs w:val="24"/>
        </w:rPr>
        <w:t xml:space="preserve"> approximately $</w:t>
      </w:r>
      <w:r w:rsidR="00AB5BF8">
        <w:rPr>
          <w:rFonts w:ascii="Cambria" w:eastAsia="Times New Roman" w:hAnsi="Cambria" w:cs="Verdana"/>
          <w:sz w:val="24"/>
          <w:szCs w:val="24"/>
        </w:rPr>
        <w:t>30-35</w:t>
      </w:r>
      <w:r w:rsidR="004C614B">
        <w:rPr>
          <w:rFonts w:ascii="Cambria" w:eastAsia="Times New Roman" w:hAnsi="Cambria" w:cs="Verdana"/>
          <w:sz w:val="24"/>
          <w:szCs w:val="24"/>
        </w:rPr>
        <w:t xml:space="preserve"> million</w:t>
      </w:r>
      <w:r w:rsidRPr="001B5635">
        <w:rPr>
          <w:rFonts w:ascii="Cambria" w:eastAsia="Times New Roman" w:hAnsi="Cambria" w:cs="Verdana"/>
          <w:sz w:val="24"/>
          <w:szCs w:val="24"/>
        </w:rPr>
        <w:t xml:space="preserve">. The benchmark will be jointly agreed to by the manager and the fund.  </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2. A representative staff member of the selected manager may be asked to attend a meeting of the Board </w:t>
      </w:r>
      <w:r w:rsidR="007A4A9F">
        <w:rPr>
          <w:rFonts w:ascii="Cambria" w:eastAsia="Times New Roman" w:hAnsi="Cambria" w:cs="Verdana"/>
          <w:sz w:val="24"/>
          <w:szCs w:val="24"/>
        </w:rPr>
        <w:t>periodically</w:t>
      </w:r>
      <w:r w:rsidRPr="001B5635">
        <w:rPr>
          <w:rFonts w:ascii="Cambria" w:eastAsia="Times New Roman" w:hAnsi="Cambria" w:cs="Verdana"/>
          <w:sz w:val="24"/>
          <w:szCs w:val="24"/>
        </w:rPr>
        <w:t xml:space="preserve"> to present required or r</w:t>
      </w:r>
      <w:r w:rsidR="007A4A9F">
        <w:rPr>
          <w:rFonts w:ascii="Cambria" w:eastAsia="Times New Roman" w:hAnsi="Cambria" w:cs="Verdana"/>
          <w:sz w:val="24"/>
          <w:szCs w:val="24"/>
        </w:rPr>
        <w:t>elevant reports and information</w:t>
      </w:r>
      <w:r w:rsidRPr="001B5635">
        <w:rPr>
          <w:rFonts w:ascii="Cambria" w:eastAsia="Times New Roman" w:hAnsi="Cambria" w:cs="Verdana"/>
          <w:sz w:val="24"/>
          <w:szCs w:val="24"/>
        </w:rPr>
        <w:t xml:space="preserve">. The manager should be prepared to meet with the Board </w:t>
      </w:r>
      <w:r w:rsidR="007A4A9F">
        <w:rPr>
          <w:rFonts w:ascii="Cambria" w:eastAsia="Times New Roman" w:hAnsi="Cambria" w:cs="Verdana"/>
          <w:sz w:val="24"/>
          <w:szCs w:val="24"/>
        </w:rPr>
        <w:t xml:space="preserve">and NEPC </w:t>
      </w:r>
      <w:r w:rsidRPr="001B5635">
        <w:rPr>
          <w:rFonts w:ascii="Cambria" w:eastAsia="Times New Roman" w:hAnsi="Cambria" w:cs="Verdana"/>
          <w:sz w:val="24"/>
          <w:szCs w:val="24"/>
        </w:rPr>
        <w:t>at other times as required.</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t>1.4 Minimum Qualifications</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Respondents to the RFP must meet all of the following minimum qualifications and requirements to be given further consideration. FAILURE TO SATISFY </w:t>
      </w:r>
      <w:smartTag w:uri="urn:schemas-microsoft-com:office:smarttags" w:element="stockticker">
        <w:r w:rsidRPr="001B5635">
          <w:rPr>
            <w:rFonts w:ascii="Cambria" w:eastAsia="Times New Roman" w:hAnsi="Cambria" w:cs="Verdana"/>
            <w:sz w:val="24"/>
            <w:szCs w:val="24"/>
          </w:rPr>
          <w:t>ALL</w:t>
        </w:r>
      </w:smartTag>
      <w:r w:rsidRPr="001B5635">
        <w:rPr>
          <w:rFonts w:ascii="Cambria" w:eastAsia="Times New Roman" w:hAnsi="Cambria" w:cs="Verdana"/>
          <w:sz w:val="24"/>
          <w:szCs w:val="24"/>
        </w:rPr>
        <w:t xml:space="preserve"> OF THE</w:t>
      </w: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FOLLOWING WILL RESULT IN THE REJECTION OF A </w:t>
      </w:r>
      <w:r w:rsidR="0004778C">
        <w:rPr>
          <w:rFonts w:ascii="Cambria" w:eastAsia="Times New Roman" w:hAnsi="Cambria" w:cs="Verdana"/>
          <w:sz w:val="24"/>
          <w:szCs w:val="24"/>
        </w:rPr>
        <w:t>MANAGER</w:t>
      </w:r>
      <w:r w:rsidRPr="001B5635">
        <w:rPr>
          <w:rFonts w:ascii="Cambria" w:eastAsia="Times New Roman" w:hAnsi="Cambria" w:cs="Verdana"/>
          <w:sz w:val="24"/>
          <w:szCs w:val="24"/>
        </w:rPr>
        <w:t>.</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bookmarkStart w:id="0" w:name="_Hlk27039502"/>
      <w:r w:rsidRPr="001B5635">
        <w:rPr>
          <w:rFonts w:ascii="Cambria" w:eastAsia="Times New Roman" w:hAnsi="Cambria" w:cs="Verdana"/>
          <w:sz w:val="24"/>
          <w:szCs w:val="24"/>
        </w:rPr>
        <w:t>A. Manager must have specific</w:t>
      </w:r>
      <w:r w:rsidR="00511763">
        <w:rPr>
          <w:rFonts w:ascii="Cambria" w:eastAsia="Times New Roman" w:hAnsi="Cambria" w:cs="Verdana"/>
          <w:sz w:val="24"/>
          <w:szCs w:val="24"/>
        </w:rPr>
        <w:t xml:space="preserve"> expertise in </w:t>
      </w:r>
      <w:r w:rsidR="00AB5BF8">
        <w:rPr>
          <w:rFonts w:ascii="Cambria" w:eastAsia="Times New Roman" w:hAnsi="Cambria" w:cs="Verdana"/>
          <w:sz w:val="24"/>
          <w:szCs w:val="24"/>
        </w:rPr>
        <w:t>Real Estate Debt</w:t>
      </w:r>
      <w:r w:rsidRPr="001B5635">
        <w:rPr>
          <w:rFonts w:ascii="Cambria" w:eastAsia="Times New Roman" w:hAnsi="Cambria" w:cs="Verdana"/>
          <w:sz w:val="24"/>
          <w:szCs w:val="24"/>
        </w:rPr>
        <w:t>.</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B. Minimum assets under management in t</w:t>
      </w:r>
      <w:r w:rsidR="003E2D5E">
        <w:rPr>
          <w:rFonts w:ascii="Cambria" w:eastAsia="Times New Roman" w:hAnsi="Cambria" w:cs="Verdana"/>
          <w:sz w:val="24"/>
          <w:szCs w:val="24"/>
        </w:rPr>
        <w:t>he s</w:t>
      </w:r>
      <w:r w:rsidR="00E3286A">
        <w:rPr>
          <w:rFonts w:ascii="Cambria" w:eastAsia="Times New Roman" w:hAnsi="Cambria" w:cs="Verdana"/>
          <w:sz w:val="24"/>
          <w:szCs w:val="24"/>
        </w:rPr>
        <w:t>trategy</w:t>
      </w:r>
      <w:r w:rsidR="003E2D5E">
        <w:rPr>
          <w:rFonts w:ascii="Cambria" w:eastAsia="Times New Roman" w:hAnsi="Cambria" w:cs="Verdana"/>
          <w:sz w:val="24"/>
          <w:szCs w:val="24"/>
        </w:rPr>
        <w:t xml:space="preserve"> proposed of at least $</w:t>
      </w:r>
      <w:r w:rsidR="000E1556">
        <w:rPr>
          <w:rFonts w:ascii="Cambria" w:eastAsia="Times New Roman" w:hAnsi="Cambria" w:cs="Verdana"/>
          <w:sz w:val="24"/>
          <w:szCs w:val="24"/>
        </w:rPr>
        <w:t>50</w:t>
      </w:r>
      <w:r w:rsidR="00511763">
        <w:rPr>
          <w:rFonts w:ascii="Cambria" w:eastAsia="Times New Roman" w:hAnsi="Cambria" w:cs="Verdana"/>
          <w:sz w:val="24"/>
          <w:szCs w:val="24"/>
        </w:rPr>
        <w:t>0</w:t>
      </w:r>
      <w:r w:rsidRPr="001B5635">
        <w:rPr>
          <w:rFonts w:ascii="Cambria" w:eastAsia="Times New Roman" w:hAnsi="Cambria" w:cs="Verdana"/>
          <w:sz w:val="24"/>
          <w:szCs w:val="24"/>
        </w:rPr>
        <w:t xml:space="preserve"> </w:t>
      </w:r>
      <w:r w:rsidR="00511763">
        <w:rPr>
          <w:rFonts w:ascii="Cambria" w:eastAsia="Times New Roman" w:hAnsi="Cambria" w:cs="Verdana"/>
          <w:sz w:val="24"/>
          <w:szCs w:val="24"/>
        </w:rPr>
        <w:t>m</w:t>
      </w:r>
      <w:r w:rsidRPr="001B5635">
        <w:rPr>
          <w:rFonts w:ascii="Cambria" w:eastAsia="Times New Roman" w:hAnsi="Cambria" w:cs="Verdana"/>
          <w:sz w:val="24"/>
          <w:szCs w:val="24"/>
        </w:rPr>
        <w:t>illion.</w:t>
      </w:r>
    </w:p>
    <w:p w:rsidR="001B5635" w:rsidRDefault="001B5635" w:rsidP="001B5635">
      <w:pPr>
        <w:spacing w:after="0" w:line="240" w:lineRule="auto"/>
        <w:rPr>
          <w:rFonts w:ascii="Cambria" w:eastAsia="Times New Roman" w:hAnsi="Cambria" w:cs="Verdana"/>
          <w:sz w:val="24"/>
          <w:szCs w:val="24"/>
        </w:rPr>
      </w:pPr>
    </w:p>
    <w:p w:rsidR="001B5635" w:rsidRDefault="00511763"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C</w:t>
      </w:r>
      <w:r w:rsidR="001B5635" w:rsidRPr="001B5635">
        <w:rPr>
          <w:rFonts w:ascii="Cambria" w:eastAsia="Times New Roman" w:hAnsi="Cambria" w:cs="Verdana"/>
          <w:sz w:val="24"/>
          <w:szCs w:val="24"/>
        </w:rPr>
        <w:t>. Utilization by at least 2 US Tax-exempt public funds at the firm level.</w:t>
      </w:r>
    </w:p>
    <w:p w:rsidR="00A54C1B" w:rsidRDefault="00A54C1B" w:rsidP="001B5635">
      <w:pPr>
        <w:spacing w:after="0" w:line="240" w:lineRule="auto"/>
        <w:rPr>
          <w:rFonts w:ascii="Cambria" w:eastAsia="Times New Roman" w:hAnsi="Cambria" w:cs="Verdana"/>
          <w:sz w:val="24"/>
          <w:szCs w:val="24"/>
        </w:rPr>
      </w:pPr>
    </w:p>
    <w:p w:rsidR="00A54C1B" w:rsidRDefault="00511763"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D</w:t>
      </w:r>
      <w:r w:rsidR="003E2D5E">
        <w:rPr>
          <w:rFonts w:ascii="Cambria" w:eastAsia="Times New Roman" w:hAnsi="Cambria" w:cs="Verdana"/>
          <w:sz w:val="24"/>
          <w:szCs w:val="24"/>
        </w:rPr>
        <w:t xml:space="preserve">. Minimum </w:t>
      </w:r>
      <w:r w:rsidR="00314038">
        <w:rPr>
          <w:rFonts w:ascii="Cambria" w:eastAsia="Times New Roman" w:hAnsi="Cambria" w:cs="Verdana"/>
          <w:sz w:val="24"/>
          <w:szCs w:val="24"/>
        </w:rPr>
        <w:t>of at least one prior fund raised</w:t>
      </w:r>
      <w:r w:rsidR="00034AE1">
        <w:rPr>
          <w:rFonts w:ascii="Cambria" w:eastAsia="Times New Roman" w:hAnsi="Cambria" w:cs="Verdana"/>
          <w:sz w:val="24"/>
          <w:szCs w:val="24"/>
        </w:rPr>
        <w:t>.</w:t>
      </w:r>
    </w:p>
    <w:p w:rsidR="008A732A" w:rsidRDefault="008A732A" w:rsidP="001B5635">
      <w:pPr>
        <w:spacing w:after="0" w:line="240" w:lineRule="auto"/>
        <w:rPr>
          <w:rFonts w:ascii="Cambria" w:eastAsia="Times New Roman" w:hAnsi="Cambria" w:cs="Verdana"/>
          <w:sz w:val="24"/>
          <w:szCs w:val="24"/>
        </w:rPr>
      </w:pPr>
    </w:p>
    <w:p w:rsidR="008A732A" w:rsidRPr="001B5635" w:rsidRDefault="008A732A"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E. Strategy must be accepting capital u</w:t>
      </w:r>
      <w:r w:rsidR="000E1556">
        <w:rPr>
          <w:rFonts w:ascii="Cambria" w:eastAsia="Times New Roman" w:hAnsi="Cambria" w:cs="Verdana"/>
          <w:sz w:val="24"/>
          <w:szCs w:val="24"/>
        </w:rPr>
        <w:t>ntil at least September 30, 20</w:t>
      </w:r>
      <w:r w:rsidR="00314038">
        <w:rPr>
          <w:rFonts w:ascii="Cambria" w:eastAsia="Times New Roman" w:hAnsi="Cambria" w:cs="Verdana"/>
          <w:sz w:val="24"/>
          <w:szCs w:val="24"/>
        </w:rPr>
        <w:t>20</w:t>
      </w:r>
      <w:r>
        <w:rPr>
          <w:rFonts w:ascii="Cambria" w:eastAsia="Times New Roman" w:hAnsi="Cambria" w:cs="Verdana"/>
          <w:sz w:val="24"/>
          <w:szCs w:val="24"/>
        </w:rPr>
        <w:t>.</w:t>
      </w:r>
    </w:p>
    <w:bookmarkEnd w:id="0"/>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t>Section Two</w:t>
      </w: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t>THE PROCUREMENT PROCESS</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t>2.1 Explanation of Events</w:t>
      </w:r>
    </w:p>
    <w:p w:rsidR="001B5635" w:rsidRPr="001B5635" w:rsidRDefault="001B5635" w:rsidP="001B5635">
      <w:pPr>
        <w:spacing w:after="0" w:line="240" w:lineRule="auto"/>
        <w:rPr>
          <w:rFonts w:ascii="Cambria" w:eastAsia="Times New Roman" w:hAnsi="Cambria" w:cs="Verdana"/>
          <w:b/>
          <w:bCs/>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A. Release of the RFP: The RFP will be released on </w:t>
      </w:r>
      <w:r w:rsidR="00886516">
        <w:rPr>
          <w:rFonts w:ascii="Cambria" w:eastAsia="Times New Roman" w:hAnsi="Cambria" w:cs="Verdana"/>
          <w:b/>
          <w:sz w:val="24"/>
          <w:szCs w:val="24"/>
        </w:rPr>
        <w:t>January</w:t>
      </w:r>
      <w:r w:rsidR="000F3E14">
        <w:rPr>
          <w:rFonts w:ascii="Cambria" w:eastAsia="Times New Roman" w:hAnsi="Cambria" w:cs="Verdana"/>
          <w:b/>
          <w:sz w:val="24"/>
          <w:szCs w:val="24"/>
        </w:rPr>
        <w:t xml:space="preserve"> </w:t>
      </w:r>
      <w:r w:rsidR="006E3C12">
        <w:rPr>
          <w:rFonts w:ascii="Cambria" w:eastAsia="Times New Roman" w:hAnsi="Cambria" w:cs="Verdana"/>
          <w:b/>
          <w:sz w:val="24"/>
          <w:szCs w:val="24"/>
        </w:rPr>
        <w:t>10</w:t>
      </w:r>
      <w:r w:rsidR="000F3E14">
        <w:rPr>
          <w:rFonts w:ascii="Cambria" w:eastAsia="Times New Roman" w:hAnsi="Cambria" w:cs="Verdana"/>
          <w:b/>
          <w:sz w:val="24"/>
          <w:szCs w:val="24"/>
        </w:rPr>
        <w:t>, 20</w:t>
      </w:r>
      <w:r w:rsidR="00886516">
        <w:rPr>
          <w:rFonts w:ascii="Cambria" w:eastAsia="Times New Roman" w:hAnsi="Cambria" w:cs="Verdana"/>
          <w:b/>
          <w:sz w:val="24"/>
          <w:szCs w:val="24"/>
        </w:rPr>
        <w:t>20</w:t>
      </w:r>
      <w:r w:rsidRPr="001B5635">
        <w:rPr>
          <w:rFonts w:ascii="Cambria" w:eastAsia="Times New Roman" w:hAnsi="Cambria" w:cs="Verdana"/>
          <w:sz w:val="24"/>
          <w:szCs w:val="24"/>
        </w:rPr>
        <w:t xml:space="preserve">. Submission will consist of </w:t>
      </w:r>
      <w:r w:rsidR="002672AE">
        <w:rPr>
          <w:rFonts w:ascii="Cambria" w:eastAsia="Times New Roman" w:hAnsi="Cambria" w:cs="Verdana"/>
          <w:sz w:val="24"/>
          <w:szCs w:val="24"/>
        </w:rPr>
        <w:t xml:space="preserve">completing the </w:t>
      </w:r>
      <w:r w:rsidR="00323B18">
        <w:rPr>
          <w:rFonts w:ascii="Cambria" w:eastAsia="Times New Roman" w:hAnsi="Cambria" w:cs="Verdana"/>
          <w:sz w:val="24"/>
          <w:szCs w:val="24"/>
        </w:rPr>
        <w:t>documents</w:t>
      </w:r>
      <w:bookmarkStart w:id="1" w:name="_GoBack"/>
      <w:bookmarkEnd w:id="1"/>
      <w:r w:rsidR="002672AE">
        <w:rPr>
          <w:rFonts w:ascii="Cambria" w:eastAsia="Times New Roman" w:hAnsi="Cambria" w:cs="Verdana"/>
          <w:sz w:val="24"/>
          <w:szCs w:val="24"/>
        </w:rPr>
        <w:t xml:space="preserve"> listed under this search on the NEPC website</w:t>
      </w:r>
      <w:r w:rsidRPr="001B5635">
        <w:rPr>
          <w:rFonts w:ascii="Cambria" w:eastAsia="Times New Roman" w:hAnsi="Cambria" w:cs="Verdana"/>
          <w:sz w:val="24"/>
          <w:szCs w:val="24"/>
        </w:rPr>
        <w:t>.</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B. Deadline to submit written questions: Managers may submit questions in writing as to the intent or clarity of this RFP by 4:30 p.m. </w:t>
      </w:r>
      <w:r w:rsidR="007A4A9F">
        <w:rPr>
          <w:rFonts w:ascii="Cambria" w:eastAsia="Times New Roman" w:hAnsi="Cambria" w:cs="Verdana"/>
          <w:sz w:val="24"/>
          <w:szCs w:val="24"/>
        </w:rPr>
        <w:t>Pacific</w:t>
      </w:r>
      <w:r w:rsidRPr="001B5635">
        <w:rPr>
          <w:rFonts w:ascii="Cambria" w:eastAsia="Times New Roman" w:hAnsi="Cambria" w:cs="Verdana"/>
          <w:sz w:val="24"/>
          <w:szCs w:val="24"/>
        </w:rPr>
        <w:t xml:space="preserve"> Time </w:t>
      </w:r>
      <w:r w:rsidR="007A4A9F">
        <w:rPr>
          <w:rFonts w:ascii="Cambria" w:eastAsia="Times New Roman" w:hAnsi="Cambria" w:cs="Verdana"/>
          <w:sz w:val="24"/>
          <w:szCs w:val="24"/>
        </w:rPr>
        <w:t xml:space="preserve">on </w:t>
      </w:r>
      <w:r w:rsidR="00886516">
        <w:rPr>
          <w:rFonts w:ascii="Cambria" w:eastAsia="Times New Roman" w:hAnsi="Cambria" w:cs="Verdana"/>
          <w:b/>
          <w:sz w:val="24"/>
          <w:szCs w:val="24"/>
        </w:rPr>
        <w:t>January</w:t>
      </w:r>
      <w:r w:rsidR="00462F44">
        <w:rPr>
          <w:rFonts w:ascii="Cambria" w:eastAsia="Times New Roman" w:hAnsi="Cambria" w:cs="Verdana"/>
          <w:b/>
          <w:sz w:val="24"/>
          <w:szCs w:val="24"/>
        </w:rPr>
        <w:t xml:space="preserve"> </w:t>
      </w:r>
      <w:r w:rsidR="00972140">
        <w:rPr>
          <w:rFonts w:ascii="Cambria" w:eastAsia="Times New Roman" w:hAnsi="Cambria" w:cs="Verdana"/>
          <w:b/>
          <w:sz w:val="24"/>
          <w:szCs w:val="24"/>
        </w:rPr>
        <w:t>1</w:t>
      </w:r>
      <w:r w:rsidR="00462F44">
        <w:rPr>
          <w:rFonts w:ascii="Cambria" w:eastAsia="Times New Roman" w:hAnsi="Cambria" w:cs="Verdana"/>
          <w:b/>
          <w:sz w:val="24"/>
          <w:szCs w:val="24"/>
        </w:rPr>
        <w:t>7</w:t>
      </w:r>
      <w:r w:rsidRPr="001B5635">
        <w:rPr>
          <w:rFonts w:ascii="Cambria" w:eastAsia="Times New Roman" w:hAnsi="Cambria" w:cs="Verdana"/>
          <w:b/>
          <w:bCs/>
          <w:sz w:val="24"/>
          <w:szCs w:val="24"/>
        </w:rPr>
        <w:t>, 20</w:t>
      </w:r>
      <w:r w:rsidR="00886516">
        <w:rPr>
          <w:rFonts w:ascii="Cambria" w:eastAsia="Times New Roman" w:hAnsi="Cambria" w:cs="Verdana"/>
          <w:b/>
          <w:bCs/>
          <w:sz w:val="24"/>
          <w:szCs w:val="24"/>
        </w:rPr>
        <w:t>20</w:t>
      </w:r>
      <w:r w:rsidRPr="001B5635">
        <w:rPr>
          <w:rFonts w:ascii="Cambria" w:eastAsia="Times New Roman" w:hAnsi="Cambria" w:cs="Verdana"/>
          <w:b/>
          <w:bCs/>
          <w:sz w:val="24"/>
          <w:szCs w:val="24"/>
        </w:rPr>
        <w:t xml:space="preserve">. </w:t>
      </w:r>
      <w:r w:rsidRPr="001B5635">
        <w:rPr>
          <w:rFonts w:ascii="Cambria" w:eastAsia="Times New Roman" w:hAnsi="Cambria" w:cs="Verdana"/>
          <w:sz w:val="24"/>
          <w:szCs w:val="24"/>
        </w:rPr>
        <w:t xml:space="preserve">Managers must address all written questions to Mr. Anthony Ferrara E-mail address aferrara@nepc.com. Managers must clearly label their questions so that it can be determined which RFP the manager is addressing. Inquiries not submitted in writing in accordance with these requirements will not be considered. </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BOARD MEMBERS OR STAFF MEMBERS OF THE STATE TREASURER WILL</w:t>
      </w: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ACCEPT NO TELEPHONE INQUIRIES OR OTHER NON-WRITTEN INQUIRIES FROM PROSPECTIVE MANAGERS. </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Telephone calls to verify receipt of written questions only are allowed to (650) 364-7000. Please ask for Anthony Ferrara.</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7A4A9F"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C</w:t>
      </w:r>
      <w:r w:rsidR="001B5635" w:rsidRPr="001B5635">
        <w:rPr>
          <w:rFonts w:ascii="Cambria" w:eastAsia="Times New Roman" w:hAnsi="Cambria" w:cs="Verdana"/>
          <w:sz w:val="24"/>
          <w:szCs w:val="24"/>
        </w:rPr>
        <w:t xml:space="preserve">. Response to written questions: Written responses to all managers' written questions will be e-mailed by </w:t>
      </w:r>
      <w:r w:rsidR="00886516">
        <w:rPr>
          <w:rFonts w:ascii="Cambria" w:eastAsia="Times New Roman" w:hAnsi="Cambria" w:cs="Verdana"/>
          <w:b/>
          <w:bCs/>
          <w:sz w:val="24"/>
          <w:szCs w:val="24"/>
        </w:rPr>
        <w:t>January</w:t>
      </w:r>
      <w:r w:rsidR="00B44A3B">
        <w:rPr>
          <w:rFonts w:ascii="Cambria" w:eastAsia="Times New Roman" w:hAnsi="Cambria" w:cs="Verdana"/>
          <w:b/>
          <w:bCs/>
          <w:sz w:val="24"/>
          <w:szCs w:val="24"/>
        </w:rPr>
        <w:t xml:space="preserve"> </w:t>
      </w:r>
      <w:r w:rsidR="00972140">
        <w:rPr>
          <w:rFonts w:ascii="Cambria" w:eastAsia="Times New Roman" w:hAnsi="Cambria" w:cs="Verdana"/>
          <w:b/>
          <w:bCs/>
          <w:sz w:val="24"/>
          <w:szCs w:val="24"/>
        </w:rPr>
        <w:t>2</w:t>
      </w:r>
      <w:r w:rsidR="00886516">
        <w:rPr>
          <w:rFonts w:ascii="Cambria" w:eastAsia="Times New Roman" w:hAnsi="Cambria" w:cs="Verdana"/>
          <w:b/>
          <w:bCs/>
          <w:sz w:val="24"/>
          <w:szCs w:val="24"/>
        </w:rPr>
        <w:t>4</w:t>
      </w:r>
      <w:r w:rsidR="001B5635" w:rsidRPr="001B5635">
        <w:rPr>
          <w:rFonts w:ascii="Cambria" w:eastAsia="Times New Roman" w:hAnsi="Cambria" w:cs="Verdana"/>
          <w:b/>
          <w:bCs/>
          <w:sz w:val="24"/>
          <w:szCs w:val="24"/>
        </w:rPr>
        <w:t xml:space="preserve">, </w:t>
      </w:r>
      <w:r w:rsidR="00972140">
        <w:rPr>
          <w:rFonts w:ascii="Cambria" w:eastAsia="Times New Roman" w:hAnsi="Cambria" w:cs="Verdana"/>
          <w:b/>
          <w:bCs/>
          <w:sz w:val="24"/>
          <w:szCs w:val="24"/>
        </w:rPr>
        <w:t>20</w:t>
      </w:r>
      <w:r w:rsidR="00886516">
        <w:rPr>
          <w:rFonts w:ascii="Cambria" w:eastAsia="Times New Roman" w:hAnsi="Cambria" w:cs="Verdana"/>
          <w:b/>
          <w:bCs/>
          <w:sz w:val="24"/>
          <w:szCs w:val="24"/>
        </w:rPr>
        <w:t>20</w:t>
      </w:r>
      <w:r w:rsidR="001B5635" w:rsidRPr="001B5635">
        <w:rPr>
          <w:rFonts w:ascii="Cambria" w:eastAsia="Times New Roman" w:hAnsi="Cambria" w:cs="Verdana"/>
          <w:sz w:val="24"/>
          <w:szCs w:val="24"/>
        </w:rPr>
        <w:t>.</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DF657F"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D</w:t>
      </w:r>
      <w:r w:rsidR="001B5635" w:rsidRPr="001B5635">
        <w:rPr>
          <w:rFonts w:ascii="Cambria" w:eastAsia="Times New Roman" w:hAnsi="Cambria" w:cs="Verdana"/>
          <w:sz w:val="24"/>
          <w:szCs w:val="24"/>
        </w:rPr>
        <w:t>. Costs of preparation: All costs of preparation and presentation associated with your response to this RFP will be the responsibility of the manager.</w:t>
      </w:r>
      <w:r w:rsidR="007A4A9F">
        <w:rPr>
          <w:rFonts w:ascii="Cambria" w:eastAsia="Times New Roman" w:hAnsi="Cambria" w:cs="Verdana"/>
          <w:sz w:val="24"/>
          <w:szCs w:val="24"/>
        </w:rPr>
        <w:t xml:space="preserve"> </w:t>
      </w:r>
      <w:r w:rsidR="001B5635" w:rsidRPr="001B5635">
        <w:rPr>
          <w:rFonts w:ascii="Cambria" w:eastAsia="Times New Roman" w:hAnsi="Cambria" w:cs="Verdana"/>
          <w:sz w:val="24"/>
          <w:szCs w:val="24"/>
        </w:rPr>
        <w:t>Managers may be asked to make a presentation before the Board if selected as a finalist. The Board will reimburse none of the costs associated with this presentation.</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DF657F"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E</w:t>
      </w:r>
      <w:r w:rsidR="001B5635" w:rsidRPr="001B5635">
        <w:rPr>
          <w:rFonts w:ascii="Cambria" w:eastAsia="Times New Roman" w:hAnsi="Cambria" w:cs="Verdana"/>
          <w:sz w:val="24"/>
          <w:szCs w:val="24"/>
        </w:rPr>
        <w:t>. Applicable procurement law: The selection of investment managers for the Board is specifically exempt from the Oklahoma Central Purchasing Act. Pursuant to 62 Oklahoma Statutes Section 2306, the Board must select investment managers through a competitive process using a solicitation of proposals pursuant to its contracting policy. A copy of the contracting policy will be furnished upon request.</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DF657F"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F</w:t>
      </w:r>
      <w:r w:rsidR="001B5635" w:rsidRPr="001B5635">
        <w:rPr>
          <w:rFonts w:ascii="Cambria" w:eastAsia="Times New Roman" w:hAnsi="Cambria" w:cs="Verdana"/>
          <w:sz w:val="24"/>
          <w:szCs w:val="24"/>
        </w:rPr>
        <w:t>. Submission of proposals: Each manager shal</w:t>
      </w:r>
      <w:r>
        <w:rPr>
          <w:rFonts w:ascii="Cambria" w:eastAsia="Times New Roman" w:hAnsi="Cambria" w:cs="Verdana"/>
          <w:sz w:val="24"/>
          <w:szCs w:val="24"/>
        </w:rPr>
        <w:t xml:space="preserve">l submit </w:t>
      </w:r>
      <w:r w:rsidR="00033FEF">
        <w:rPr>
          <w:rFonts w:ascii="Cambria" w:eastAsia="Times New Roman" w:hAnsi="Cambria" w:cs="Verdana"/>
          <w:sz w:val="24"/>
          <w:szCs w:val="24"/>
        </w:rPr>
        <w:t xml:space="preserve">the completed </w:t>
      </w:r>
      <w:r w:rsidR="00323B18">
        <w:rPr>
          <w:rFonts w:ascii="Cambria" w:eastAsia="Times New Roman" w:hAnsi="Cambria" w:cs="Verdana"/>
          <w:sz w:val="24"/>
          <w:szCs w:val="24"/>
        </w:rPr>
        <w:t>documents</w:t>
      </w:r>
      <w:r w:rsidR="00033FEF">
        <w:rPr>
          <w:rFonts w:ascii="Cambria" w:eastAsia="Times New Roman" w:hAnsi="Cambria" w:cs="Verdana"/>
          <w:sz w:val="24"/>
          <w:szCs w:val="24"/>
        </w:rPr>
        <w:t xml:space="preserve"> with</w:t>
      </w:r>
      <w:r w:rsidR="001B5635" w:rsidRPr="001B5635">
        <w:rPr>
          <w:rFonts w:ascii="Cambria" w:eastAsia="Times New Roman" w:hAnsi="Cambria" w:cs="Verdana"/>
          <w:sz w:val="24"/>
          <w:szCs w:val="24"/>
        </w:rPr>
        <w:t xml:space="preserve"> </w:t>
      </w:r>
      <w:r w:rsidR="00033FEF">
        <w:rPr>
          <w:rFonts w:ascii="Cambria" w:eastAsia="Times New Roman" w:hAnsi="Cambria" w:cs="Verdana"/>
          <w:sz w:val="24"/>
          <w:szCs w:val="24"/>
        </w:rPr>
        <w:t>t</w:t>
      </w:r>
      <w:r w:rsidR="001B5635" w:rsidRPr="001B5635">
        <w:rPr>
          <w:rFonts w:ascii="Cambria" w:eastAsia="Times New Roman" w:hAnsi="Cambria" w:cs="Verdana"/>
          <w:sz w:val="24"/>
          <w:szCs w:val="24"/>
        </w:rPr>
        <w:t>he final submission</w:t>
      </w:r>
      <w:r w:rsidR="00033FEF">
        <w:rPr>
          <w:rFonts w:ascii="Cambria" w:eastAsia="Times New Roman" w:hAnsi="Cambria" w:cs="Verdana"/>
          <w:sz w:val="24"/>
          <w:szCs w:val="24"/>
        </w:rPr>
        <w:t xml:space="preserve"> </w:t>
      </w:r>
      <w:r w:rsidR="001B5635" w:rsidRPr="001B5635">
        <w:rPr>
          <w:rFonts w:ascii="Cambria" w:eastAsia="Times New Roman" w:hAnsi="Cambria" w:cs="Verdana"/>
          <w:sz w:val="24"/>
          <w:szCs w:val="24"/>
        </w:rPr>
        <w:t>be</w:t>
      </w:r>
      <w:r w:rsidR="00033FEF">
        <w:rPr>
          <w:rFonts w:ascii="Cambria" w:eastAsia="Times New Roman" w:hAnsi="Cambria" w:cs="Verdana"/>
          <w:sz w:val="24"/>
          <w:szCs w:val="24"/>
        </w:rPr>
        <w:t>ing</w:t>
      </w:r>
      <w:r w:rsidR="001B5635" w:rsidRPr="001B5635">
        <w:rPr>
          <w:rFonts w:ascii="Cambria" w:eastAsia="Times New Roman" w:hAnsi="Cambria" w:cs="Verdana"/>
          <w:sz w:val="24"/>
          <w:szCs w:val="24"/>
        </w:rPr>
        <w:t xml:space="preserve"> received by 4:30 pm </w:t>
      </w:r>
      <w:r w:rsidR="007A4A9F">
        <w:rPr>
          <w:rFonts w:ascii="Cambria" w:eastAsia="Times New Roman" w:hAnsi="Cambria" w:cs="Verdana"/>
          <w:sz w:val="24"/>
          <w:szCs w:val="24"/>
        </w:rPr>
        <w:t>Pacific Time</w:t>
      </w:r>
      <w:r w:rsidR="001B5635" w:rsidRPr="001B5635">
        <w:rPr>
          <w:rFonts w:ascii="Cambria" w:eastAsia="Times New Roman" w:hAnsi="Cambria" w:cs="Verdana"/>
          <w:sz w:val="24"/>
          <w:szCs w:val="24"/>
        </w:rPr>
        <w:t>,</w:t>
      </w:r>
      <w:r w:rsidR="00727939">
        <w:rPr>
          <w:rFonts w:ascii="Cambria" w:eastAsia="Times New Roman" w:hAnsi="Cambria" w:cs="Verdana"/>
          <w:b/>
          <w:sz w:val="24"/>
          <w:szCs w:val="24"/>
        </w:rPr>
        <w:t xml:space="preserve"> </w:t>
      </w:r>
      <w:r w:rsidR="00886516">
        <w:rPr>
          <w:rFonts w:ascii="Cambria" w:eastAsia="Times New Roman" w:hAnsi="Cambria" w:cs="Verdana"/>
          <w:b/>
          <w:sz w:val="24"/>
          <w:szCs w:val="24"/>
        </w:rPr>
        <w:t>February 5</w:t>
      </w:r>
      <w:r w:rsidR="004C614B">
        <w:rPr>
          <w:rFonts w:ascii="Cambria" w:eastAsia="Times New Roman" w:hAnsi="Cambria" w:cs="Verdana"/>
          <w:b/>
          <w:sz w:val="24"/>
          <w:szCs w:val="24"/>
        </w:rPr>
        <w:t xml:space="preserve">, </w:t>
      </w:r>
      <w:r w:rsidR="00972140">
        <w:rPr>
          <w:rFonts w:ascii="Cambria" w:eastAsia="Times New Roman" w:hAnsi="Cambria" w:cs="Verdana"/>
          <w:b/>
          <w:sz w:val="24"/>
          <w:szCs w:val="24"/>
        </w:rPr>
        <w:t>20</w:t>
      </w:r>
      <w:r w:rsidR="00886516">
        <w:rPr>
          <w:rFonts w:ascii="Cambria" w:eastAsia="Times New Roman" w:hAnsi="Cambria" w:cs="Verdana"/>
          <w:b/>
          <w:sz w:val="24"/>
          <w:szCs w:val="24"/>
        </w:rPr>
        <w:t>20</w:t>
      </w:r>
      <w:r w:rsidR="001B5635" w:rsidRPr="001B5635">
        <w:rPr>
          <w:rFonts w:ascii="Cambria" w:eastAsia="Times New Roman" w:hAnsi="Cambria" w:cs="Verdana"/>
          <w:sz w:val="24"/>
          <w:szCs w:val="24"/>
        </w:rPr>
        <w:t>.</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The electronic copy of </w:t>
      </w:r>
      <w:r w:rsidR="00033FEF">
        <w:rPr>
          <w:rFonts w:ascii="Cambria" w:eastAsia="Times New Roman" w:hAnsi="Cambria" w:cs="Verdana"/>
          <w:sz w:val="24"/>
          <w:szCs w:val="24"/>
        </w:rPr>
        <w:t>the submissions</w:t>
      </w:r>
      <w:r w:rsidRPr="001B5635">
        <w:rPr>
          <w:rFonts w:ascii="Cambria" w:eastAsia="Times New Roman" w:hAnsi="Cambria" w:cs="Verdana"/>
          <w:sz w:val="24"/>
          <w:szCs w:val="24"/>
        </w:rPr>
        <w:t xml:space="preserve"> shall be delivered to:</w:t>
      </w:r>
    </w:p>
    <w:p w:rsidR="001B5635" w:rsidRDefault="001B5635" w:rsidP="000C1046">
      <w:pPr>
        <w:pStyle w:val="NoSpacing"/>
        <w:jc w:val="both"/>
        <w:rPr>
          <w:rFonts w:asciiTheme="majorHAnsi" w:hAnsiTheme="majorHAnsi"/>
          <w:sz w:val="24"/>
        </w:rPr>
      </w:pPr>
    </w:p>
    <w:p w:rsidR="001B5635" w:rsidRPr="001B5635" w:rsidRDefault="00323B18" w:rsidP="001B5635">
      <w:pPr>
        <w:spacing w:after="0" w:line="240" w:lineRule="auto"/>
        <w:rPr>
          <w:rFonts w:ascii="Cambria" w:eastAsia="Times New Roman" w:hAnsi="Cambria" w:cs="Verdana"/>
          <w:sz w:val="24"/>
          <w:szCs w:val="24"/>
        </w:rPr>
      </w:pPr>
      <w:hyperlink r:id="rId9" w:history="1">
        <w:r w:rsidR="001B5635" w:rsidRPr="001B5635">
          <w:rPr>
            <w:rFonts w:ascii="Cambria" w:eastAsia="Times New Roman" w:hAnsi="Cambria" w:cs="Verdana"/>
            <w:color w:val="0000FF"/>
            <w:sz w:val="24"/>
            <w:szCs w:val="24"/>
            <w:u w:val="single"/>
          </w:rPr>
          <w:t>aferrara@nepc.com</w:t>
        </w:r>
      </w:hyperlink>
      <w:r w:rsidR="001B5635" w:rsidRPr="001B5635">
        <w:rPr>
          <w:rFonts w:ascii="Cambria" w:eastAsia="Times New Roman" w:hAnsi="Cambria" w:cs="Verdana"/>
          <w:sz w:val="24"/>
          <w:szCs w:val="24"/>
        </w:rPr>
        <w:t xml:space="preserve"> </w:t>
      </w:r>
    </w:p>
    <w:p w:rsidR="001B5635" w:rsidRDefault="00323B18" w:rsidP="001B5635">
      <w:pPr>
        <w:spacing w:after="0" w:line="240" w:lineRule="auto"/>
        <w:rPr>
          <w:rFonts w:ascii="Cambria" w:eastAsia="Times New Roman" w:hAnsi="Cambria" w:cs="Verdana"/>
          <w:sz w:val="24"/>
          <w:szCs w:val="24"/>
        </w:rPr>
      </w:pPr>
      <w:hyperlink r:id="rId10" w:history="1">
        <w:r w:rsidR="00E62200" w:rsidRPr="00E045DF">
          <w:rPr>
            <w:rStyle w:val="Hyperlink"/>
            <w:rFonts w:ascii="Cambria" w:eastAsia="Times New Roman" w:hAnsi="Cambria" w:cs="Verdana"/>
            <w:sz w:val="24"/>
            <w:szCs w:val="24"/>
          </w:rPr>
          <w:t>lisa.murray@treasurer.ok.gov</w:t>
        </w:r>
      </w:hyperlink>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NO FAX TRANSMISSIONS OF THE RESPONSES TO THE FUND WILL BE ALLOWED. NO EXCEPTIONS TO THE SUBMISSION DEADLINE WILL BE ALLOWED.</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DF657F"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G</w:t>
      </w:r>
      <w:r w:rsidR="001B5635" w:rsidRPr="001B5635">
        <w:rPr>
          <w:rFonts w:ascii="Cambria" w:eastAsia="Times New Roman" w:hAnsi="Cambria" w:cs="Verdana"/>
          <w:sz w:val="24"/>
          <w:szCs w:val="24"/>
        </w:rPr>
        <w:t xml:space="preserve">. Evaluation of the </w:t>
      </w:r>
      <w:r>
        <w:rPr>
          <w:rFonts w:ascii="Cambria" w:eastAsia="Times New Roman" w:hAnsi="Cambria" w:cs="Verdana"/>
          <w:sz w:val="24"/>
          <w:szCs w:val="24"/>
        </w:rPr>
        <w:t>Participating Managers</w:t>
      </w:r>
      <w:r w:rsidR="001B5635" w:rsidRPr="001B5635">
        <w:rPr>
          <w:rFonts w:ascii="Cambria" w:eastAsia="Times New Roman" w:hAnsi="Cambria" w:cs="Verdana"/>
          <w:sz w:val="24"/>
          <w:szCs w:val="24"/>
        </w:rPr>
        <w:t xml:space="preserve">: The evaluation of </w:t>
      </w:r>
      <w:r>
        <w:rPr>
          <w:rFonts w:ascii="Cambria" w:eastAsia="Times New Roman" w:hAnsi="Cambria" w:cs="Verdana"/>
          <w:sz w:val="24"/>
          <w:szCs w:val="24"/>
        </w:rPr>
        <w:t>managers</w:t>
      </w:r>
      <w:r w:rsidR="001B5635" w:rsidRPr="001B5635">
        <w:rPr>
          <w:rFonts w:ascii="Cambria" w:eastAsia="Times New Roman" w:hAnsi="Cambria" w:cs="Verdana"/>
          <w:sz w:val="24"/>
          <w:szCs w:val="24"/>
        </w:rPr>
        <w:t xml:space="preserve"> will be performed by NEPC, and staff members of the State Treasurer's Office. This process will take place between </w:t>
      </w:r>
      <w:r w:rsidR="00886516">
        <w:rPr>
          <w:rFonts w:ascii="Cambria" w:eastAsia="Times New Roman" w:hAnsi="Cambria" w:cs="Verdana"/>
          <w:b/>
          <w:sz w:val="24"/>
          <w:szCs w:val="24"/>
        </w:rPr>
        <w:t>February 6</w:t>
      </w:r>
      <w:r w:rsidR="001B5635" w:rsidRPr="001B5635">
        <w:rPr>
          <w:rFonts w:ascii="Cambria" w:eastAsia="Times New Roman" w:hAnsi="Cambria" w:cs="Verdana"/>
          <w:b/>
          <w:bCs/>
          <w:sz w:val="24"/>
          <w:szCs w:val="24"/>
        </w:rPr>
        <w:t>,</w:t>
      </w:r>
      <w:r w:rsidR="00886516">
        <w:rPr>
          <w:rFonts w:ascii="Cambria" w:eastAsia="Times New Roman" w:hAnsi="Cambria" w:cs="Verdana"/>
          <w:b/>
          <w:bCs/>
          <w:sz w:val="24"/>
          <w:szCs w:val="24"/>
        </w:rPr>
        <w:t xml:space="preserve"> 2020</w:t>
      </w:r>
      <w:r w:rsidR="001B5635" w:rsidRPr="001B5635">
        <w:rPr>
          <w:rFonts w:ascii="Cambria" w:eastAsia="Times New Roman" w:hAnsi="Cambria" w:cs="Verdana"/>
          <w:b/>
          <w:bCs/>
          <w:sz w:val="24"/>
          <w:szCs w:val="24"/>
        </w:rPr>
        <w:t xml:space="preserve"> and </w:t>
      </w:r>
      <w:r w:rsidR="002672AE">
        <w:rPr>
          <w:rFonts w:ascii="Cambria" w:eastAsia="Times New Roman" w:hAnsi="Cambria" w:cs="Verdana"/>
          <w:b/>
          <w:bCs/>
          <w:sz w:val="24"/>
          <w:szCs w:val="24"/>
        </w:rPr>
        <w:t>Ma</w:t>
      </w:r>
      <w:r w:rsidR="00886516">
        <w:rPr>
          <w:rFonts w:ascii="Cambria" w:eastAsia="Times New Roman" w:hAnsi="Cambria" w:cs="Verdana"/>
          <w:b/>
          <w:bCs/>
          <w:sz w:val="24"/>
          <w:szCs w:val="24"/>
        </w:rPr>
        <w:t>rch 2</w:t>
      </w:r>
      <w:r w:rsidR="001B5635" w:rsidRPr="001B5635">
        <w:rPr>
          <w:rFonts w:ascii="Cambria" w:eastAsia="Times New Roman" w:hAnsi="Cambria" w:cs="Verdana"/>
          <w:b/>
          <w:bCs/>
          <w:sz w:val="24"/>
          <w:szCs w:val="24"/>
        </w:rPr>
        <w:t xml:space="preserve">, </w:t>
      </w:r>
      <w:r w:rsidR="00972140">
        <w:rPr>
          <w:rFonts w:ascii="Cambria" w:eastAsia="Times New Roman" w:hAnsi="Cambria" w:cs="Verdana"/>
          <w:b/>
          <w:bCs/>
          <w:sz w:val="24"/>
          <w:szCs w:val="24"/>
        </w:rPr>
        <w:t>20</w:t>
      </w:r>
      <w:r w:rsidR="00886516">
        <w:rPr>
          <w:rFonts w:ascii="Cambria" w:eastAsia="Times New Roman" w:hAnsi="Cambria" w:cs="Verdana"/>
          <w:b/>
          <w:bCs/>
          <w:sz w:val="24"/>
          <w:szCs w:val="24"/>
        </w:rPr>
        <w:t>20</w:t>
      </w:r>
      <w:r w:rsidR="001B5635" w:rsidRPr="001B5635">
        <w:rPr>
          <w:rFonts w:ascii="Cambria" w:eastAsia="Times New Roman" w:hAnsi="Cambria" w:cs="Verdana"/>
          <w:sz w:val="24"/>
          <w:szCs w:val="24"/>
        </w:rPr>
        <w:t>. During this time, NEPC or staff of the State Treasurer may initiate discussions with managers who submit proposals, but proposals may be accepted without such discussions. Managers shall not initiate such discussions</w:t>
      </w:r>
      <w:r w:rsidR="00972140">
        <w:rPr>
          <w:rFonts w:ascii="Cambria" w:eastAsia="Times New Roman" w:hAnsi="Cambria" w:cs="Verdana"/>
          <w:sz w:val="24"/>
          <w:szCs w:val="24"/>
        </w:rPr>
        <w:t>.  Finalists will be notified by</w:t>
      </w:r>
      <w:r w:rsidR="001B5635" w:rsidRPr="001B5635">
        <w:rPr>
          <w:rFonts w:ascii="Cambria" w:eastAsia="Times New Roman" w:hAnsi="Cambria" w:cs="Verdana"/>
          <w:sz w:val="24"/>
          <w:szCs w:val="24"/>
        </w:rPr>
        <w:t xml:space="preserve"> </w:t>
      </w:r>
      <w:r w:rsidR="00886516">
        <w:rPr>
          <w:rFonts w:ascii="Cambria" w:eastAsia="Times New Roman" w:hAnsi="Cambria" w:cs="Verdana"/>
          <w:b/>
          <w:sz w:val="24"/>
          <w:szCs w:val="24"/>
        </w:rPr>
        <w:t>May</w:t>
      </w:r>
      <w:r w:rsidR="00972140">
        <w:rPr>
          <w:rFonts w:ascii="Cambria" w:eastAsia="Times New Roman" w:hAnsi="Cambria" w:cs="Verdana"/>
          <w:b/>
          <w:sz w:val="24"/>
          <w:szCs w:val="24"/>
        </w:rPr>
        <w:t xml:space="preserve"> 1</w:t>
      </w:r>
      <w:r w:rsidR="00886516">
        <w:rPr>
          <w:rFonts w:ascii="Cambria" w:eastAsia="Times New Roman" w:hAnsi="Cambria" w:cs="Verdana"/>
          <w:b/>
          <w:sz w:val="24"/>
          <w:szCs w:val="24"/>
        </w:rPr>
        <w:t>5</w:t>
      </w:r>
      <w:r w:rsidR="001B5635" w:rsidRPr="001B5635">
        <w:rPr>
          <w:rFonts w:ascii="Cambria" w:eastAsia="Times New Roman" w:hAnsi="Cambria" w:cs="Verdana"/>
          <w:b/>
          <w:sz w:val="24"/>
          <w:szCs w:val="24"/>
        </w:rPr>
        <w:t xml:space="preserve">, </w:t>
      </w:r>
      <w:r w:rsidR="00972140">
        <w:rPr>
          <w:rFonts w:ascii="Cambria" w:eastAsia="Times New Roman" w:hAnsi="Cambria" w:cs="Verdana"/>
          <w:b/>
          <w:sz w:val="24"/>
          <w:szCs w:val="24"/>
        </w:rPr>
        <w:t>20</w:t>
      </w:r>
      <w:r w:rsidR="00886516">
        <w:rPr>
          <w:rFonts w:ascii="Cambria" w:eastAsia="Times New Roman" w:hAnsi="Cambria" w:cs="Verdana"/>
          <w:b/>
          <w:sz w:val="24"/>
          <w:szCs w:val="24"/>
        </w:rPr>
        <w:t>20</w:t>
      </w:r>
      <w:r w:rsidR="001B5635" w:rsidRPr="001B5635">
        <w:rPr>
          <w:rFonts w:ascii="Cambria" w:eastAsia="Times New Roman" w:hAnsi="Cambria" w:cs="Verdana"/>
          <w:sz w:val="24"/>
          <w:szCs w:val="24"/>
        </w:rPr>
        <w:t>.</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DF657F"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H</w:t>
      </w:r>
      <w:r w:rsidR="001B5635" w:rsidRPr="001B5635">
        <w:rPr>
          <w:rFonts w:ascii="Cambria" w:eastAsia="Times New Roman" w:hAnsi="Cambria" w:cs="Verdana"/>
          <w:sz w:val="24"/>
          <w:szCs w:val="24"/>
        </w:rPr>
        <w:t xml:space="preserve">. Finalists Interviews: The Board, NEPC and staff of the State Treasurer will be conducting oral interviews of the selected finalists at their discretion on </w:t>
      </w:r>
      <w:r w:rsidR="00972140">
        <w:rPr>
          <w:rFonts w:ascii="Cambria" w:eastAsia="Times New Roman" w:hAnsi="Cambria" w:cs="Verdana"/>
          <w:b/>
          <w:sz w:val="24"/>
          <w:szCs w:val="24"/>
        </w:rPr>
        <w:t xml:space="preserve">June </w:t>
      </w:r>
      <w:r w:rsidR="00886516">
        <w:rPr>
          <w:rFonts w:ascii="Cambria" w:eastAsia="Times New Roman" w:hAnsi="Cambria" w:cs="Verdana"/>
          <w:b/>
          <w:sz w:val="24"/>
          <w:szCs w:val="24"/>
        </w:rPr>
        <w:t>16</w:t>
      </w:r>
      <w:r w:rsidR="001B5635" w:rsidRPr="001B5635">
        <w:rPr>
          <w:rFonts w:ascii="Cambria" w:eastAsia="Times New Roman" w:hAnsi="Cambria" w:cs="Verdana"/>
          <w:b/>
          <w:sz w:val="24"/>
          <w:szCs w:val="24"/>
        </w:rPr>
        <w:t xml:space="preserve">, </w:t>
      </w:r>
      <w:r w:rsidR="00972140">
        <w:rPr>
          <w:rFonts w:ascii="Cambria" w:eastAsia="Times New Roman" w:hAnsi="Cambria" w:cs="Verdana"/>
          <w:b/>
          <w:sz w:val="24"/>
          <w:szCs w:val="24"/>
        </w:rPr>
        <w:t>20</w:t>
      </w:r>
      <w:r w:rsidR="00886516">
        <w:rPr>
          <w:rFonts w:ascii="Cambria" w:eastAsia="Times New Roman" w:hAnsi="Cambria" w:cs="Verdana"/>
          <w:b/>
          <w:sz w:val="24"/>
          <w:szCs w:val="24"/>
        </w:rPr>
        <w:t>20</w:t>
      </w:r>
      <w:r w:rsidR="001B5635" w:rsidRPr="001B5635">
        <w:rPr>
          <w:rFonts w:ascii="Cambria" w:eastAsia="Times New Roman" w:hAnsi="Cambria" w:cs="Verdana"/>
          <w:b/>
          <w:bCs/>
          <w:sz w:val="24"/>
          <w:szCs w:val="24"/>
        </w:rPr>
        <w:t xml:space="preserve">. </w:t>
      </w:r>
      <w:r w:rsidR="001B5635" w:rsidRPr="001B5635">
        <w:rPr>
          <w:rFonts w:ascii="Cambria" w:eastAsia="Times New Roman" w:hAnsi="Cambria" w:cs="Verdana"/>
          <w:sz w:val="24"/>
          <w:szCs w:val="24"/>
        </w:rPr>
        <w:t xml:space="preserve">Firms selected for final interviews will be contacted directly. </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DF657F"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I</w:t>
      </w:r>
      <w:r w:rsidR="001B5635" w:rsidRPr="001B5635">
        <w:rPr>
          <w:rFonts w:ascii="Cambria" w:eastAsia="Times New Roman" w:hAnsi="Cambria" w:cs="Verdana"/>
          <w:sz w:val="24"/>
          <w:szCs w:val="24"/>
        </w:rPr>
        <w:t>. Announcement of Selected Manager</w:t>
      </w:r>
      <w:r>
        <w:rPr>
          <w:rFonts w:ascii="Cambria" w:eastAsia="Times New Roman" w:hAnsi="Cambria" w:cs="Verdana"/>
          <w:sz w:val="24"/>
          <w:szCs w:val="24"/>
        </w:rPr>
        <w:t>s</w:t>
      </w:r>
      <w:r w:rsidR="001B5635" w:rsidRPr="001B5635">
        <w:rPr>
          <w:rFonts w:ascii="Cambria" w:eastAsia="Times New Roman" w:hAnsi="Cambria" w:cs="Verdana"/>
          <w:sz w:val="24"/>
          <w:szCs w:val="24"/>
        </w:rPr>
        <w:t>: The Board is expected to make the final decision and announcement regarding selection of the awarded proposal as soon as possible thereafter.</w:t>
      </w:r>
    </w:p>
    <w:p w:rsidR="00C124FB" w:rsidRPr="00C124FB" w:rsidRDefault="00C124FB" w:rsidP="00886516">
      <w:pPr>
        <w:pStyle w:val="NoSpacing"/>
        <w:tabs>
          <w:tab w:val="left" w:pos="630"/>
        </w:tabs>
        <w:rPr>
          <w:rFonts w:ascii="Cambria" w:hAnsi="Cambria"/>
          <w:sz w:val="24"/>
        </w:rPr>
      </w:pPr>
    </w:p>
    <w:p w:rsidR="00697629" w:rsidRPr="00033FEF" w:rsidRDefault="00C124FB" w:rsidP="00033FEF">
      <w:pPr>
        <w:pStyle w:val="NoSpacing"/>
        <w:rPr>
          <w:rFonts w:ascii="Cambria" w:hAnsi="Cambria"/>
          <w:sz w:val="24"/>
        </w:rPr>
      </w:pPr>
      <w:r w:rsidRPr="00C124FB">
        <w:rPr>
          <w:rFonts w:ascii="Cambria" w:hAnsi="Cambria"/>
          <w:sz w:val="24"/>
        </w:rPr>
        <w:t>Respondents should use additional comment fields provided to make qualifying notes as applicable. All responses should be direct and clear.</w:t>
      </w:r>
    </w:p>
    <w:p w:rsidR="00697629" w:rsidRDefault="00697629"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t>2.</w:t>
      </w:r>
      <w:r w:rsidR="00033FEF">
        <w:rPr>
          <w:rFonts w:ascii="Cambria" w:eastAsia="Times New Roman" w:hAnsi="Cambria" w:cs="Verdana"/>
          <w:b/>
          <w:bCs/>
          <w:sz w:val="24"/>
          <w:szCs w:val="24"/>
        </w:rPr>
        <w:t>2</w:t>
      </w:r>
      <w:r w:rsidRPr="001B5635">
        <w:rPr>
          <w:rFonts w:ascii="Cambria" w:eastAsia="Times New Roman" w:hAnsi="Cambria" w:cs="Verdana"/>
          <w:b/>
          <w:bCs/>
          <w:sz w:val="24"/>
          <w:szCs w:val="24"/>
        </w:rPr>
        <w:t xml:space="preserve"> Proposal Evaluation Process</w:t>
      </w:r>
    </w:p>
    <w:p w:rsidR="001B5635" w:rsidRPr="001B5635" w:rsidRDefault="001B5635" w:rsidP="001B5635">
      <w:pPr>
        <w:spacing w:after="0" w:line="240" w:lineRule="auto"/>
        <w:rPr>
          <w:rFonts w:ascii="Cambria" w:eastAsia="Times New Roman" w:hAnsi="Cambria" w:cs="Verdana"/>
          <w:b/>
          <w:bCs/>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A. Evaluation Summary - Staff members of the State Treasurer and NEPC advisor personnel will evaluate the </w:t>
      </w:r>
      <w:r w:rsidR="00697629">
        <w:rPr>
          <w:rFonts w:ascii="Cambria" w:eastAsia="Times New Roman" w:hAnsi="Cambria" w:cs="Verdana"/>
          <w:sz w:val="24"/>
          <w:szCs w:val="24"/>
        </w:rPr>
        <w:t>managers</w:t>
      </w:r>
      <w:r w:rsidRPr="001B5635">
        <w:rPr>
          <w:rFonts w:ascii="Cambria" w:eastAsia="Times New Roman" w:hAnsi="Cambria" w:cs="Verdana"/>
          <w:sz w:val="24"/>
          <w:szCs w:val="24"/>
        </w:rPr>
        <w:t>. The evaluation will determine which proposal is most advantageous to the Fund, taking into consideration the evaluation factors set forth below. The following process will be followed:</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1. All </w:t>
      </w:r>
      <w:r w:rsidR="00697629">
        <w:rPr>
          <w:rFonts w:ascii="Cambria" w:eastAsia="Times New Roman" w:hAnsi="Cambria" w:cs="Verdana"/>
          <w:sz w:val="24"/>
          <w:szCs w:val="24"/>
        </w:rPr>
        <w:t>managers</w:t>
      </w:r>
      <w:r w:rsidRPr="001B5635">
        <w:rPr>
          <w:rFonts w:ascii="Cambria" w:eastAsia="Times New Roman" w:hAnsi="Cambria" w:cs="Verdana"/>
          <w:sz w:val="24"/>
          <w:szCs w:val="24"/>
        </w:rPr>
        <w:t xml:space="preserve"> will be reviewed for compliance with the minimum mandatory requirements as specified in this RFP. Proposals that are not found to be in compliance will be rejected.</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2. Proposals not rejected will then be evaluated on the</w:t>
      </w:r>
      <w:r w:rsidR="00950419">
        <w:rPr>
          <w:rFonts w:ascii="Cambria" w:eastAsia="Times New Roman" w:hAnsi="Cambria" w:cs="Verdana"/>
          <w:sz w:val="24"/>
          <w:szCs w:val="24"/>
        </w:rPr>
        <w:t xml:space="preserve"> factors listed in </w:t>
      </w:r>
      <w:r w:rsidR="00E048CB">
        <w:rPr>
          <w:rFonts w:ascii="Cambria" w:eastAsia="Times New Roman" w:hAnsi="Cambria" w:cs="Verdana"/>
          <w:sz w:val="24"/>
          <w:szCs w:val="24"/>
        </w:rPr>
        <w:t>point #5</w:t>
      </w:r>
      <w:r w:rsidRPr="001B5635">
        <w:rPr>
          <w:rFonts w:ascii="Cambria" w:eastAsia="Times New Roman" w:hAnsi="Cambria" w:cs="Verdana"/>
          <w:sz w:val="24"/>
          <w:szCs w:val="24"/>
        </w:rPr>
        <w:t xml:space="preserve"> below. The finalist managers(s) will be the one(s) deemed to be the most advantageous to the Fund, except that a serious deficiency in any single criteria may be grounds for rejection.</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3. NEPC and/or staff of the State Treasurer will have the option to contact the manager(s) for clarification of any portion of any proposal. Sources other than the information supplied by the manager may also be used to verify that compliance with requirements of the RFP has been achieved.</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4. Finalist manager(s) will make presentations before the Board. The Board will select the successful manager(s) on the basis of this presentation, the information presented in the response to the RFP, and evaluations by NEPC and staff of the State Treasurer.</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5. Evaluation Points Allocation - The award of the contract shall be made taking into consideration the following weighted evaluation factors. The maximum score will be 1000 points. Please note, however, that a serious deficiency in any one criterion may be grounds for rejection, and that the listing of cost as an evaluation factor does not require the Board to select the manager who submits the lowest cost proposal:</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numPr>
          <w:ilvl w:val="0"/>
          <w:numId w:val="6"/>
        </w:numPr>
        <w:spacing w:after="0" w:line="240" w:lineRule="auto"/>
        <w:contextualSpacing/>
        <w:rPr>
          <w:rFonts w:ascii="Cambria" w:eastAsia="Times New Roman" w:hAnsi="Cambria" w:cs="Verdana"/>
          <w:sz w:val="24"/>
          <w:szCs w:val="24"/>
        </w:rPr>
      </w:pPr>
      <w:bookmarkStart w:id="2" w:name="_Hlk27039779"/>
      <w:r w:rsidRPr="001B5635">
        <w:rPr>
          <w:rFonts w:ascii="Cambria" w:eastAsia="Times New Roman" w:hAnsi="Cambria" w:cs="Verdana"/>
          <w:sz w:val="24"/>
          <w:szCs w:val="24"/>
        </w:rPr>
        <w:t>Investment Expertise - 50% (500 points):</w:t>
      </w:r>
    </w:p>
    <w:p w:rsidR="001B5635" w:rsidRPr="001B5635" w:rsidRDefault="001B5635" w:rsidP="001B5635">
      <w:pPr>
        <w:spacing w:after="0" w:line="240" w:lineRule="auto"/>
        <w:ind w:left="720"/>
        <w:contextualSpacing/>
        <w:rPr>
          <w:rFonts w:ascii="Cambria" w:eastAsia="Times New Roman" w:hAnsi="Cambria" w:cs="Verdana"/>
          <w:sz w:val="24"/>
          <w:szCs w:val="24"/>
        </w:rPr>
      </w:pP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a. Proven record of a clearly defined philosophy incorporating strong discipline, innovation and consistency of investment process;</w:t>
      </w: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 xml:space="preserve">b. Historical performance of </w:t>
      </w:r>
      <w:r w:rsidR="00E3286A">
        <w:rPr>
          <w:rFonts w:ascii="Cambria" w:eastAsia="Times New Roman" w:hAnsi="Cambria" w:cs="Verdana"/>
          <w:sz w:val="24"/>
          <w:szCs w:val="24"/>
        </w:rPr>
        <w:t>f</w:t>
      </w:r>
      <w:r w:rsidRPr="001B5635">
        <w:rPr>
          <w:rFonts w:ascii="Cambria" w:eastAsia="Times New Roman" w:hAnsi="Cambria" w:cs="Verdana"/>
          <w:sz w:val="24"/>
          <w:szCs w:val="24"/>
        </w:rPr>
        <w:t>unds managed;</w:t>
      </w:r>
    </w:p>
    <w:p w:rsidR="00E3286A" w:rsidRDefault="001B5635" w:rsidP="00E3286A">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c. Research capabilities;</w:t>
      </w:r>
    </w:p>
    <w:p w:rsidR="001B5635" w:rsidRPr="001B5635" w:rsidRDefault="00E3286A" w:rsidP="00E3286A">
      <w:pPr>
        <w:spacing w:after="0" w:line="240" w:lineRule="auto"/>
        <w:ind w:left="720"/>
        <w:rPr>
          <w:rFonts w:ascii="Cambria" w:eastAsia="Times New Roman" w:hAnsi="Cambria" w:cs="Verdana"/>
          <w:sz w:val="24"/>
          <w:szCs w:val="24"/>
        </w:rPr>
      </w:pPr>
      <w:r>
        <w:rPr>
          <w:rFonts w:ascii="Cambria" w:eastAsia="Times New Roman" w:hAnsi="Cambria" w:cs="Verdana"/>
          <w:sz w:val="24"/>
          <w:szCs w:val="24"/>
        </w:rPr>
        <w:t>d</w:t>
      </w:r>
      <w:r w:rsidR="001B5635" w:rsidRPr="001B5635">
        <w:rPr>
          <w:rFonts w:ascii="Cambria" w:eastAsia="Times New Roman" w:hAnsi="Cambria" w:cs="Verdana"/>
          <w:sz w:val="24"/>
          <w:szCs w:val="24"/>
        </w:rPr>
        <w:t>. An investment style that best fits the desired portfolio structure.</w:t>
      </w:r>
    </w:p>
    <w:p w:rsidR="001B5635" w:rsidRPr="001B5635" w:rsidRDefault="001B5635" w:rsidP="001B5635">
      <w:pPr>
        <w:spacing w:after="0" w:line="240" w:lineRule="auto"/>
        <w:ind w:left="1440"/>
        <w:rPr>
          <w:rFonts w:ascii="Cambria" w:eastAsia="Times New Roman" w:hAnsi="Cambria" w:cs="Verdana"/>
          <w:sz w:val="24"/>
          <w:szCs w:val="24"/>
        </w:rPr>
      </w:pPr>
    </w:p>
    <w:p w:rsidR="001B5635" w:rsidRPr="001B5635" w:rsidRDefault="001B5635" w:rsidP="001B5635">
      <w:pPr>
        <w:numPr>
          <w:ilvl w:val="0"/>
          <w:numId w:val="6"/>
        </w:numPr>
        <w:spacing w:after="0" w:line="240" w:lineRule="auto"/>
        <w:contextualSpacing/>
        <w:rPr>
          <w:rFonts w:ascii="Cambria" w:eastAsia="Times New Roman" w:hAnsi="Cambria" w:cs="Verdana"/>
          <w:sz w:val="24"/>
          <w:szCs w:val="24"/>
        </w:rPr>
      </w:pPr>
      <w:r w:rsidRPr="001B5635">
        <w:rPr>
          <w:rFonts w:ascii="Cambria" w:eastAsia="Times New Roman" w:hAnsi="Cambria" w:cs="Verdana"/>
          <w:sz w:val="24"/>
          <w:szCs w:val="24"/>
        </w:rPr>
        <w:t>Personnel - 30% (300 points):</w:t>
      </w:r>
    </w:p>
    <w:p w:rsidR="001B5635" w:rsidRPr="001B5635" w:rsidRDefault="001B5635" w:rsidP="001B5635">
      <w:pPr>
        <w:spacing w:after="0" w:line="240" w:lineRule="auto"/>
        <w:ind w:left="720"/>
        <w:contextualSpacing/>
        <w:rPr>
          <w:rFonts w:ascii="Cambria" w:eastAsia="Times New Roman" w:hAnsi="Cambria" w:cs="Verdana"/>
          <w:sz w:val="24"/>
          <w:szCs w:val="24"/>
        </w:rPr>
      </w:pP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a. Consistency of the management and investment team;</w:t>
      </w: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b. Investment qualifications of key personnel assigned to the Fund account;</w:t>
      </w: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c. Experience with the management of public funds and results of reference checks; and</w:t>
      </w: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lastRenderedPageBreak/>
        <w:t>d. Ability to communicate at both the professional and lay levels.</w:t>
      </w:r>
    </w:p>
    <w:p w:rsidR="001B5635" w:rsidRPr="001B5635" w:rsidRDefault="001B5635" w:rsidP="001B5635">
      <w:pPr>
        <w:spacing w:after="0" w:line="240" w:lineRule="auto"/>
        <w:ind w:left="720"/>
        <w:rPr>
          <w:rFonts w:ascii="Cambria" w:eastAsia="Times New Roman" w:hAnsi="Cambria" w:cs="Verdana"/>
          <w:sz w:val="24"/>
          <w:szCs w:val="24"/>
        </w:rPr>
      </w:pPr>
    </w:p>
    <w:p w:rsidR="001B5635" w:rsidRPr="001B5635" w:rsidRDefault="001B5635" w:rsidP="001B5635">
      <w:pPr>
        <w:numPr>
          <w:ilvl w:val="0"/>
          <w:numId w:val="6"/>
        </w:numPr>
        <w:spacing w:after="0" w:line="240" w:lineRule="auto"/>
        <w:contextualSpacing/>
        <w:rPr>
          <w:rFonts w:ascii="Cambria" w:eastAsia="Times New Roman" w:hAnsi="Cambria" w:cs="Verdana"/>
          <w:sz w:val="24"/>
          <w:szCs w:val="24"/>
        </w:rPr>
      </w:pPr>
      <w:r w:rsidRPr="001B5635">
        <w:rPr>
          <w:rFonts w:ascii="Cambria" w:eastAsia="Times New Roman" w:hAnsi="Cambria" w:cs="Verdana"/>
          <w:sz w:val="24"/>
          <w:szCs w:val="24"/>
        </w:rPr>
        <w:t>Administration - 10% (100 points):</w:t>
      </w:r>
    </w:p>
    <w:p w:rsidR="001B5635" w:rsidRPr="001B5635" w:rsidRDefault="001B5635" w:rsidP="001B5635">
      <w:pPr>
        <w:spacing w:after="0" w:line="240" w:lineRule="auto"/>
        <w:ind w:left="720"/>
        <w:contextualSpacing/>
        <w:rPr>
          <w:rFonts w:ascii="Cambria" w:eastAsia="Times New Roman" w:hAnsi="Cambria" w:cs="Verdana"/>
          <w:sz w:val="24"/>
          <w:szCs w:val="24"/>
        </w:rPr>
      </w:pP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a. Strength of portfolio administration, trading, accounting, and other administrative capabilities;</w:t>
      </w: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b. Ability to monitor, reconcile, and analyze performance on a quarterly basis; and</w:t>
      </w: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c. Reporting/presentation procedures and capabilities.</w:t>
      </w:r>
    </w:p>
    <w:p w:rsidR="001B5635" w:rsidRPr="001B5635" w:rsidRDefault="001B5635" w:rsidP="001B5635">
      <w:pPr>
        <w:spacing w:after="0" w:line="240" w:lineRule="auto"/>
        <w:ind w:left="720"/>
        <w:rPr>
          <w:rFonts w:ascii="Cambria" w:eastAsia="Times New Roman" w:hAnsi="Cambria" w:cs="Verdana"/>
          <w:sz w:val="24"/>
          <w:szCs w:val="24"/>
        </w:rPr>
      </w:pPr>
    </w:p>
    <w:p w:rsidR="001B5635" w:rsidRPr="001B5635" w:rsidRDefault="001B5635" w:rsidP="001B5635">
      <w:pPr>
        <w:numPr>
          <w:ilvl w:val="0"/>
          <w:numId w:val="6"/>
        </w:numPr>
        <w:spacing w:after="0" w:line="240" w:lineRule="auto"/>
        <w:contextualSpacing/>
        <w:rPr>
          <w:rFonts w:ascii="Cambria" w:eastAsia="Times New Roman" w:hAnsi="Cambria" w:cs="Verdana"/>
          <w:sz w:val="24"/>
          <w:szCs w:val="24"/>
        </w:rPr>
      </w:pPr>
      <w:r w:rsidRPr="001B5635">
        <w:rPr>
          <w:rFonts w:ascii="Cambria" w:eastAsia="Times New Roman" w:hAnsi="Cambria" w:cs="Verdana"/>
          <w:sz w:val="24"/>
          <w:szCs w:val="24"/>
        </w:rPr>
        <w:t>Cost – 10% (100 points):</w:t>
      </w:r>
    </w:p>
    <w:p w:rsidR="001B5635" w:rsidRPr="001B5635" w:rsidRDefault="001B5635" w:rsidP="001B5635">
      <w:pPr>
        <w:spacing w:after="0" w:line="240" w:lineRule="auto"/>
        <w:ind w:left="720"/>
        <w:contextualSpacing/>
        <w:rPr>
          <w:rFonts w:ascii="Cambria" w:eastAsia="Times New Roman" w:hAnsi="Cambria" w:cs="Verdana"/>
          <w:sz w:val="24"/>
          <w:szCs w:val="24"/>
        </w:rPr>
      </w:pPr>
    </w:p>
    <w:p w:rsidR="00AA78C9" w:rsidRDefault="001B5635" w:rsidP="00033FEF">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Cost must be quoted in basis points. The cost score will be adjusted for any best and final offers that are received. Only the finalists will be allowe</w:t>
      </w:r>
      <w:r w:rsidR="002B191E">
        <w:rPr>
          <w:rFonts w:ascii="Cambria" w:eastAsia="Times New Roman" w:hAnsi="Cambria" w:cs="Verdana"/>
          <w:sz w:val="24"/>
          <w:szCs w:val="24"/>
        </w:rPr>
        <w:t>d to make best and final offers.</w:t>
      </w:r>
      <w:bookmarkEnd w:id="2"/>
    </w:p>
    <w:p w:rsidR="00033FEF" w:rsidRPr="001B5635" w:rsidRDefault="00033FEF" w:rsidP="00033FEF">
      <w:pPr>
        <w:spacing w:after="0" w:line="240" w:lineRule="auto"/>
        <w:ind w:left="720"/>
        <w:rPr>
          <w:rFonts w:ascii="Cambria" w:eastAsia="Times New Roman" w:hAnsi="Cambria" w:cs="Verdana"/>
          <w:sz w:val="24"/>
          <w:szCs w:val="24"/>
        </w:rPr>
      </w:pPr>
    </w:p>
    <w:p w:rsidR="001B5635" w:rsidRPr="00033FEF" w:rsidRDefault="00272E79" w:rsidP="00033FEF">
      <w:pPr>
        <w:pStyle w:val="NoSpacing"/>
        <w:jc w:val="center"/>
        <w:rPr>
          <w:rFonts w:asciiTheme="majorHAnsi" w:hAnsiTheme="majorHAnsi"/>
          <w:b/>
          <w:sz w:val="28"/>
          <w:szCs w:val="28"/>
        </w:rPr>
      </w:pPr>
      <w:r w:rsidRPr="00272E79">
        <w:rPr>
          <w:rFonts w:asciiTheme="majorHAnsi" w:hAnsiTheme="majorHAnsi"/>
          <w:b/>
          <w:sz w:val="28"/>
          <w:szCs w:val="28"/>
        </w:rPr>
        <w:t>Appendix A</w:t>
      </w:r>
    </w:p>
    <w:p w:rsidR="001B5635" w:rsidRPr="001B5635" w:rsidRDefault="001B5635" w:rsidP="001B5635">
      <w:pPr>
        <w:pBdr>
          <w:top w:val="single" w:sz="6" w:space="0" w:color="FFFFFF"/>
          <w:left w:val="single" w:sz="6" w:space="0" w:color="FFFFFF"/>
          <w:bottom w:val="single" w:sz="6" w:space="0" w:color="FFFFFF"/>
          <w:right w:val="single" w:sz="6" w:space="0" w:color="FFFFFF"/>
        </w:pBdr>
        <w:shd w:val="solid" w:color="FFFFFF" w:fill="FFFFFF"/>
        <w:spacing w:after="240" w:line="240" w:lineRule="auto"/>
        <w:jc w:val="center"/>
        <w:rPr>
          <w:rFonts w:ascii="Cambria" w:eastAsia="Times New Roman" w:hAnsi="Cambria" w:cs="Verdana"/>
          <w:sz w:val="24"/>
          <w:szCs w:val="24"/>
        </w:rPr>
      </w:pPr>
      <w:r w:rsidRPr="001B5635">
        <w:rPr>
          <w:rFonts w:ascii="Cambria" w:eastAsia="Times New Roman" w:hAnsi="Cambria" w:cs="Verdana"/>
          <w:b/>
          <w:bCs/>
          <w:sz w:val="24"/>
          <w:szCs w:val="24"/>
        </w:rPr>
        <w:t>Oklahoma Tobacco Settlement Endowment Trust Fund</w:t>
      </w:r>
    </w:p>
    <w:p w:rsidR="001B5635" w:rsidRPr="00033FEF" w:rsidRDefault="001B5635" w:rsidP="00033FEF">
      <w:pPr>
        <w:pBdr>
          <w:top w:val="single" w:sz="6" w:space="0" w:color="FFFFFF"/>
          <w:left w:val="single" w:sz="6" w:space="0" w:color="FFFFFF"/>
          <w:bottom w:val="single" w:sz="6" w:space="0" w:color="FFFFFF"/>
          <w:right w:val="single" w:sz="6" w:space="0" w:color="FFFFFF"/>
        </w:pBdr>
        <w:shd w:val="solid" w:color="FFFFFF" w:fill="FFFFFF"/>
        <w:spacing w:after="240" w:line="240" w:lineRule="auto"/>
        <w:jc w:val="center"/>
        <w:rPr>
          <w:rFonts w:ascii="Cambria" w:eastAsia="Times New Roman" w:hAnsi="Cambria" w:cs="Verdana"/>
          <w:iCs/>
          <w:sz w:val="24"/>
          <w:szCs w:val="24"/>
          <w:u w:val="single"/>
        </w:rPr>
      </w:pPr>
      <w:r w:rsidRPr="001B5635">
        <w:rPr>
          <w:rFonts w:ascii="Cambria" w:eastAsia="Times New Roman" w:hAnsi="Cambria" w:cs="Verdana"/>
          <w:iCs/>
          <w:sz w:val="24"/>
          <w:szCs w:val="24"/>
          <w:u w:val="single"/>
        </w:rPr>
        <w:t>PLACEMENT AGENT POLICY</w:t>
      </w:r>
    </w:p>
    <w:p w:rsidR="001B5635" w:rsidRPr="00033FEF" w:rsidRDefault="001B5635" w:rsidP="00033FEF">
      <w:pPr>
        <w:keepNext/>
        <w:widowControl w:val="0"/>
        <w:tabs>
          <w:tab w:val="left" w:pos="-720"/>
          <w:tab w:val="left" w:pos="720"/>
          <w:tab w:val="left" w:pos="2160"/>
          <w:tab w:val="left" w:pos="2880"/>
          <w:tab w:val="left" w:pos="3600"/>
          <w:tab w:val="left" w:pos="4320"/>
          <w:tab w:val="left" w:pos="5040"/>
          <w:tab w:val="left" w:pos="5760"/>
          <w:tab w:val="left" w:pos="6480"/>
          <w:tab w:val="left" w:pos="7200"/>
        </w:tabs>
        <w:autoSpaceDE w:val="0"/>
        <w:autoSpaceDN w:val="0"/>
        <w:adjustRightInd w:val="0"/>
        <w:spacing w:after="240" w:line="240" w:lineRule="auto"/>
        <w:ind w:left="720" w:hanging="720"/>
        <w:outlineLvl w:val="0"/>
        <w:rPr>
          <w:rFonts w:ascii="Cambria" w:eastAsia="Times New Roman" w:hAnsi="Cambria" w:cs="Times New Roman"/>
          <w:b/>
          <w:bCs/>
          <w:sz w:val="24"/>
          <w:szCs w:val="24"/>
          <w:lang w:val="x-none" w:eastAsia="x-none"/>
        </w:rPr>
      </w:pPr>
      <w:r w:rsidRPr="001B5635">
        <w:rPr>
          <w:rFonts w:ascii="Cambria" w:eastAsia="Times New Roman" w:hAnsi="Cambria" w:cs="Times New Roman"/>
          <w:b/>
          <w:bCs/>
          <w:sz w:val="24"/>
          <w:szCs w:val="24"/>
          <w:lang w:val="x-none" w:eastAsia="x-none"/>
        </w:rPr>
        <w:t xml:space="preserve">I. </w:t>
      </w:r>
      <w:r w:rsidRPr="001B5635">
        <w:rPr>
          <w:rFonts w:ascii="Cambria" w:eastAsia="Times New Roman" w:hAnsi="Cambria" w:cs="Times New Roman"/>
          <w:b/>
          <w:bCs/>
          <w:sz w:val="24"/>
          <w:szCs w:val="24"/>
          <w:lang w:val="x-none" w:eastAsia="x-none"/>
        </w:rPr>
        <w:tab/>
        <w:t>PURPOSE</w:t>
      </w:r>
    </w:p>
    <w:p w:rsidR="001B5635" w:rsidRPr="001B5635" w:rsidRDefault="001B5635" w:rsidP="001B5635">
      <w:pPr>
        <w:pBdr>
          <w:top w:val="single" w:sz="6" w:space="0" w:color="FFFFFF"/>
          <w:left w:val="single" w:sz="6" w:space="0" w:color="FFFFFF"/>
          <w:bottom w:val="single" w:sz="6" w:space="0" w:color="FFFFFF"/>
          <w:right w:val="single" w:sz="6" w:space="0" w:color="FFFFFF"/>
        </w:pBdr>
        <w:shd w:val="solid" w:color="FFFFFF" w:fill="FFFFFF"/>
        <w:spacing w:after="240" w:line="240" w:lineRule="auto"/>
        <w:ind w:left="720"/>
        <w:jc w:val="both"/>
        <w:rPr>
          <w:rFonts w:ascii="Cambria" w:eastAsia="Times New Roman" w:hAnsi="Cambria" w:cs="Verdana"/>
          <w:sz w:val="24"/>
          <w:szCs w:val="24"/>
        </w:rPr>
      </w:pPr>
      <w:r w:rsidRPr="001B5635">
        <w:rPr>
          <w:rFonts w:ascii="Cambria" w:eastAsia="Times New Roman" w:hAnsi="Cambria" w:cs="Verdana"/>
          <w:sz w:val="24"/>
          <w:szCs w:val="24"/>
        </w:rPr>
        <w:t xml:space="preserve">The following language describes the circumstances under which the </w:t>
      </w:r>
      <w:r w:rsidRPr="001B5635">
        <w:rPr>
          <w:rFonts w:ascii="Cambria" w:eastAsia="Times New Roman" w:hAnsi="Cambria" w:cs="Verdana"/>
          <w:bCs/>
          <w:sz w:val="24"/>
          <w:szCs w:val="24"/>
        </w:rPr>
        <w:t>Oklahoma Tobacco Settlement Endowment Trust Fund</w:t>
      </w:r>
      <w:r w:rsidRPr="001B5635">
        <w:rPr>
          <w:rFonts w:ascii="Cambria" w:eastAsia="Times New Roman" w:hAnsi="Cambria" w:cs="Verdana"/>
          <w:sz w:val="24"/>
          <w:szCs w:val="24"/>
        </w:rPr>
        <w:t xml:space="preserve"> (“the Fund”) shall require the disclosure of payments to Placement Agents in connection with the Fund’s investments with external investment managers. External investment managers is a broad term which includes investment managers, general partners, and sponsors of hedge funds, private equity funds, real estate funds and other closed-end investment vehicles. The adoption of this policy requires broad, timely and updated disclosure of all Placement Agent relationships, compensation and fees. In the event the external investment manager utilizes a fund of funds approach, Placement Agent disclosure will only be required at the fund level, not of each underlying fund.</w:t>
      </w:r>
    </w:p>
    <w:p w:rsidR="001B5635" w:rsidRPr="001B5635" w:rsidRDefault="001B5635" w:rsidP="001B5635">
      <w:pPr>
        <w:spacing w:after="0" w:line="240" w:lineRule="auto"/>
        <w:ind w:left="720"/>
        <w:jc w:val="both"/>
        <w:rPr>
          <w:rFonts w:ascii="Cambria" w:eastAsia="Times New Roman" w:hAnsi="Cambria" w:cs="Verdana"/>
          <w:sz w:val="24"/>
          <w:szCs w:val="24"/>
        </w:rPr>
      </w:pPr>
      <w:r w:rsidRPr="001B5635">
        <w:rPr>
          <w:rFonts w:ascii="Cambria" w:eastAsia="Times New Roman" w:hAnsi="Cambria" w:cs="Verdana"/>
          <w:sz w:val="24"/>
          <w:szCs w:val="24"/>
        </w:rPr>
        <w:t>This Policy is to be applied to all agreements with external investment managers after the date this addendum is approved. It will also apply to existing external investment managers if, after approval, agreements are amended to extend the length of the agreement, renegotiate fees, increase the commitment of funds or change the agreement in a substantial way. In the event such amendments to the original agreement are made, the disclosure provisions of this Policy will apply to the amendment and not to the original agreement.</w:t>
      </w:r>
    </w:p>
    <w:p w:rsidR="001B5635" w:rsidRPr="001B5635" w:rsidRDefault="001B5635" w:rsidP="001B5635">
      <w:pPr>
        <w:spacing w:after="0" w:line="240" w:lineRule="auto"/>
        <w:jc w:val="both"/>
        <w:rPr>
          <w:rFonts w:ascii="Cambria" w:eastAsia="Times New Roman" w:hAnsi="Cambria" w:cs="Verdana"/>
          <w:sz w:val="24"/>
          <w:szCs w:val="24"/>
        </w:rPr>
      </w:pPr>
    </w:p>
    <w:p w:rsidR="001B5635" w:rsidRPr="001B5635" w:rsidRDefault="001B5635" w:rsidP="001B5635">
      <w:pPr>
        <w:spacing w:after="0" w:line="240" w:lineRule="auto"/>
        <w:jc w:val="both"/>
        <w:rPr>
          <w:rFonts w:ascii="Cambria" w:eastAsia="Times New Roman" w:hAnsi="Cambria" w:cs="Verdana"/>
          <w:b/>
          <w:sz w:val="24"/>
          <w:szCs w:val="24"/>
        </w:rPr>
      </w:pPr>
      <w:r w:rsidRPr="001B5635">
        <w:rPr>
          <w:rFonts w:ascii="Cambria" w:eastAsia="Times New Roman" w:hAnsi="Cambria" w:cs="Verdana"/>
          <w:b/>
          <w:sz w:val="24"/>
          <w:szCs w:val="24"/>
        </w:rPr>
        <w:t>II.</w:t>
      </w:r>
      <w:r w:rsidRPr="001B5635">
        <w:rPr>
          <w:rFonts w:ascii="Cambria" w:eastAsia="Times New Roman" w:hAnsi="Cambria" w:cs="Verdana"/>
          <w:b/>
          <w:sz w:val="24"/>
          <w:szCs w:val="24"/>
        </w:rPr>
        <w:tab/>
        <w:t>GOALS</w:t>
      </w:r>
    </w:p>
    <w:p w:rsidR="001B5635" w:rsidRPr="001B5635" w:rsidRDefault="001B5635" w:rsidP="001B563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Cambria" w:eastAsia="Times New Roman" w:hAnsi="Cambria" w:cs="Verdana"/>
          <w:sz w:val="24"/>
          <w:szCs w:val="24"/>
          <w:u w:val="single"/>
        </w:rPr>
      </w:pPr>
    </w:p>
    <w:p w:rsidR="001B5635" w:rsidRPr="001B5635" w:rsidRDefault="001B5635" w:rsidP="001B563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outlineLvl w:val="0"/>
        <w:rPr>
          <w:rFonts w:ascii="Cambria" w:eastAsia="Times New Roman" w:hAnsi="Cambria" w:cs="Verdana"/>
          <w:sz w:val="24"/>
          <w:szCs w:val="24"/>
        </w:rPr>
      </w:pPr>
      <w:r w:rsidRPr="001B5635">
        <w:rPr>
          <w:rFonts w:ascii="Cambria" w:eastAsia="Times New Roman" w:hAnsi="Cambria" w:cs="Verdana"/>
          <w:sz w:val="24"/>
          <w:szCs w:val="24"/>
        </w:rPr>
        <w:t>Disclosure of all Placement Agent relationships, compensation and fees is intended to provide:</w:t>
      </w:r>
    </w:p>
    <w:p w:rsidR="001B5635" w:rsidRPr="001B5635" w:rsidRDefault="001B5635" w:rsidP="001B563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Cambria" w:eastAsia="Times New Roman" w:hAnsi="Cambria" w:cs="Verdana"/>
          <w:sz w:val="24"/>
          <w:szCs w:val="24"/>
        </w:rPr>
      </w:pPr>
    </w:p>
    <w:p w:rsidR="001B5635" w:rsidRPr="001B5635" w:rsidRDefault="001B5635" w:rsidP="001B5635">
      <w:pPr>
        <w:numPr>
          <w:ilvl w:val="0"/>
          <w:numId w:val="15"/>
        </w:numPr>
        <w:tabs>
          <w:tab w:val="clear" w:pos="360"/>
          <w:tab w:val="left" w:pos="-720"/>
          <w:tab w:val="left" w:pos="1"/>
          <w:tab w:val="left" w:pos="720"/>
          <w:tab w:val="left" w:pos="1440"/>
          <w:tab w:val="num" w:pos="1502"/>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502"/>
        <w:jc w:val="both"/>
        <w:outlineLvl w:val="0"/>
        <w:rPr>
          <w:rFonts w:ascii="Cambria" w:eastAsia="Times New Roman" w:hAnsi="Cambria" w:cs="Verdana"/>
          <w:sz w:val="24"/>
          <w:szCs w:val="24"/>
        </w:rPr>
      </w:pPr>
      <w:r w:rsidRPr="001B5635">
        <w:rPr>
          <w:rFonts w:ascii="Cambria" w:eastAsia="Times New Roman" w:hAnsi="Cambria" w:cs="Verdana"/>
          <w:sz w:val="24"/>
          <w:szCs w:val="24"/>
        </w:rPr>
        <w:t xml:space="preserve">Transparency and confidence in the Fund’s investment decision-making without concerns of impropriety. </w:t>
      </w:r>
    </w:p>
    <w:p w:rsidR="001B5635" w:rsidRPr="001B5635" w:rsidRDefault="001B5635" w:rsidP="001B563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42"/>
        <w:jc w:val="both"/>
        <w:outlineLvl w:val="0"/>
        <w:rPr>
          <w:rFonts w:ascii="Cambria" w:eastAsia="Times New Roman" w:hAnsi="Cambria" w:cs="Verdana"/>
          <w:sz w:val="24"/>
          <w:szCs w:val="24"/>
        </w:rPr>
      </w:pPr>
      <w:r w:rsidRPr="001B5635">
        <w:rPr>
          <w:rFonts w:ascii="Cambria" w:eastAsia="Times New Roman" w:hAnsi="Cambria" w:cs="Verdana"/>
          <w:sz w:val="24"/>
          <w:szCs w:val="24"/>
        </w:rPr>
        <w:t xml:space="preserve"> </w:t>
      </w:r>
    </w:p>
    <w:p w:rsidR="001B5635" w:rsidRPr="001B5635" w:rsidRDefault="001B5635" w:rsidP="001B5635">
      <w:pPr>
        <w:numPr>
          <w:ilvl w:val="0"/>
          <w:numId w:val="15"/>
        </w:numPr>
        <w:tabs>
          <w:tab w:val="clear" w:pos="360"/>
          <w:tab w:val="left" w:pos="-720"/>
          <w:tab w:val="left" w:pos="1"/>
          <w:tab w:val="left" w:pos="720"/>
          <w:tab w:val="left" w:pos="1440"/>
          <w:tab w:val="num" w:pos="1502"/>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502"/>
        <w:jc w:val="both"/>
        <w:outlineLvl w:val="0"/>
        <w:rPr>
          <w:rFonts w:ascii="Cambria" w:eastAsia="Times New Roman" w:hAnsi="Cambria" w:cs="Verdana"/>
          <w:sz w:val="24"/>
          <w:szCs w:val="24"/>
        </w:rPr>
      </w:pPr>
      <w:r w:rsidRPr="001B5635">
        <w:rPr>
          <w:rFonts w:ascii="Cambria" w:eastAsia="Times New Roman" w:hAnsi="Cambria" w:cs="Verdana"/>
          <w:sz w:val="24"/>
          <w:szCs w:val="24"/>
        </w:rPr>
        <w:lastRenderedPageBreak/>
        <w:t xml:space="preserve">Supplemental information to the Fund’s Board members, Staff and Consultants when evaluating investment opportunities. </w:t>
      </w:r>
    </w:p>
    <w:p w:rsidR="001B5635" w:rsidRPr="001B5635" w:rsidRDefault="001B5635" w:rsidP="001B563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Cambria" w:eastAsia="Times New Roman" w:hAnsi="Cambria" w:cs="Verdana"/>
          <w:sz w:val="24"/>
          <w:szCs w:val="24"/>
        </w:rPr>
      </w:pPr>
    </w:p>
    <w:p w:rsidR="001B5635" w:rsidRDefault="001B5635" w:rsidP="001B5635">
      <w:pPr>
        <w:numPr>
          <w:ilvl w:val="0"/>
          <w:numId w:val="15"/>
        </w:numPr>
        <w:tabs>
          <w:tab w:val="clear" w:pos="360"/>
          <w:tab w:val="left" w:pos="-720"/>
          <w:tab w:val="left" w:pos="1"/>
          <w:tab w:val="left" w:pos="720"/>
          <w:tab w:val="left" w:pos="1440"/>
          <w:tab w:val="num" w:pos="1502"/>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502"/>
        <w:jc w:val="both"/>
        <w:outlineLvl w:val="0"/>
        <w:rPr>
          <w:rFonts w:ascii="Cambria" w:eastAsia="Times New Roman" w:hAnsi="Cambria" w:cs="Verdana"/>
          <w:sz w:val="24"/>
          <w:szCs w:val="24"/>
        </w:rPr>
      </w:pPr>
      <w:r w:rsidRPr="001B5635">
        <w:rPr>
          <w:rFonts w:ascii="Cambria" w:eastAsia="Times New Roman" w:hAnsi="Cambria" w:cs="Verdana"/>
          <w:sz w:val="24"/>
          <w:szCs w:val="24"/>
        </w:rPr>
        <w:t>Investment decisions that are consistent with the Statement of Investment Policy.</w:t>
      </w:r>
    </w:p>
    <w:p w:rsidR="001B5635" w:rsidRPr="001B5635" w:rsidRDefault="001B5635" w:rsidP="001B563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Cambria" w:eastAsia="Times New Roman" w:hAnsi="Cambria" w:cs="Verdana"/>
          <w:sz w:val="24"/>
          <w:szCs w:val="24"/>
        </w:rPr>
      </w:pPr>
    </w:p>
    <w:p w:rsidR="001B5635" w:rsidRPr="001B5635" w:rsidRDefault="001B5635" w:rsidP="001B563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Cambria" w:eastAsia="Times New Roman" w:hAnsi="Cambria" w:cs="Verdana"/>
          <w:b/>
          <w:sz w:val="24"/>
          <w:szCs w:val="24"/>
        </w:rPr>
      </w:pPr>
      <w:r w:rsidRPr="001B5635">
        <w:rPr>
          <w:rFonts w:ascii="Cambria" w:eastAsia="Times New Roman" w:hAnsi="Cambria" w:cs="Verdana"/>
          <w:b/>
          <w:sz w:val="24"/>
          <w:szCs w:val="24"/>
        </w:rPr>
        <w:t>III.</w:t>
      </w:r>
      <w:r w:rsidRPr="001B5635">
        <w:rPr>
          <w:rFonts w:ascii="Cambria" w:eastAsia="Times New Roman" w:hAnsi="Cambria" w:cs="Verdana"/>
          <w:b/>
          <w:sz w:val="24"/>
          <w:szCs w:val="24"/>
        </w:rPr>
        <w:tab/>
        <w:t>RESPONSIBILITIES</w:t>
      </w:r>
      <w:r w:rsidRPr="001B5635">
        <w:rPr>
          <w:rFonts w:ascii="Cambria" w:eastAsia="Times New Roman" w:hAnsi="Cambria" w:cs="Verdana"/>
          <w:b/>
          <w:sz w:val="24"/>
          <w:szCs w:val="24"/>
        </w:rPr>
        <w:tab/>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mbria" w:eastAsia="Times New Roman" w:hAnsi="Cambria" w:cs="Verdana"/>
          <w:b/>
          <w:sz w:val="24"/>
          <w:szCs w:val="24"/>
        </w:rPr>
      </w:pPr>
    </w:p>
    <w:p w:rsidR="001B5635" w:rsidRPr="001B5635" w:rsidRDefault="001B5635" w:rsidP="001B5635">
      <w:pPr>
        <w:numPr>
          <w:ilvl w:val="0"/>
          <w:numId w:val="1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Each of the Fund’s external investment managers are responsible for:</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Cambria" w:eastAsia="Times New Roman" w:hAnsi="Cambria" w:cs="Verdana"/>
          <w:sz w:val="24"/>
          <w:szCs w:val="24"/>
        </w:rPr>
      </w:pPr>
      <w:r w:rsidRPr="001B5635">
        <w:rPr>
          <w:rFonts w:ascii="Cambria" w:eastAsia="Times New Roman" w:hAnsi="Cambria" w:cs="Verdana"/>
          <w:sz w:val="24"/>
          <w:szCs w:val="24"/>
        </w:rPr>
        <w:tab/>
      </w:r>
    </w:p>
    <w:p w:rsidR="001B5635" w:rsidRPr="001B5635" w:rsidRDefault="001B5635" w:rsidP="001B5635">
      <w:pPr>
        <w:numPr>
          <w:ilvl w:val="1"/>
          <w:numId w:val="16"/>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Providing the following information (subsequently referred to as the “Placement Agent Information Disclosure”) to the Fund’s Staff and its Consultant at the time investment discussions are initiated:</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 xml:space="preserve">A statement disclosing whether the external investment manager’s principals, employees, agents or affiliates has compensated or agreed to compensate, directly or indirectly, any person or entity to act as a Placement Agent in connection with investments being considered or  those that have already been made by the Fund (in the event there is a change to the existing agreement). </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700" w:hanging="360"/>
        <w:jc w:val="both"/>
        <w:rPr>
          <w:rFonts w:ascii="Cambria" w:eastAsia="Times New Roman" w:hAnsi="Cambria" w:cs="Verdana"/>
          <w:sz w:val="24"/>
          <w:szCs w:val="24"/>
        </w:rPr>
      </w:pPr>
      <w:r w:rsidRPr="001B5635">
        <w:rPr>
          <w:rFonts w:ascii="Cambria" w:eastAsia="Times New Roman" w:hAnsi="Cambria" w:cs="Verdana"/>
          <w:sz w:val="24"/>
          <w:szCs w:val="24"/>
        </w:rPr>
        <w:t>b. A resume for each officer, partner or principal of the Placement Agent detailing the individual’s education, professional designations, regulatory licenses, and investment experience. If any of these individuals is a current Board member, Staff member or employed by the Consultant, or this is applicable to any of these individual’s immediate family members, this will be specifically noted.</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rPr>
          <w:rFonts w:ascii="Cambria" w:eastAsia="Times New Roman" w:hAnsi="Cambria" w:cs="Verdana"/>
          <w:sz w:val="24"/>
          <w:szCs w:val="24"/>
        </w:rPr>
      </w:pPr>
    </w:p>
    <w:p w:rsidR="001B5635" w:rsidRPr="001B5635" w:rsidRDefault="001B5635" w:rsidP="001B5635">
      <w:pPr>
        <w:numPr>
          <w:ilvl w:val="0"/>
          <w:numId w:val="18"/>
        </w:numPr>
        <w:tabs>
          <w:tab w:val="left" w:pos="1"/>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 xml:space="preserve">A description of any and all compensation of any kind provided or agreed to be provided to a Placement Agent, including the value, timing, and nature of the compensation. </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340"/>
        <w:jc w:val="both"/>
        <w:rPr>
          <w:rFonts w:ascii="Cambria" w:eastAsia="Times New Roman" w:hAnsi="Cambria" w:cs="Verdana"/>
          <w:sz w:val="24"/>
          <w:szCs w:val="24"/>
        </w:rPr>
      </w:pPr>
    </w:p>
    <w:p w:rsidR="001B5635" w:rsidRPr="001B5635" w:rsidRDefault="001B5635" w:rsidP="001B5635">
      <w:pPr>
        <w:numPr>
          <w:ilvl w:val="0"/>
          <w:numId w:val="18"/>
        </w:numPr>
        <w:tabs>
          <w:tab w:val="left" w:pos="1"/>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 xml:space="preserve">A description of the services to be performed or that are currently being performed by the Placement Agent and a statement as to whether the Placement Agent is utilized with all prospective clients or a subset of prospective clients. </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8"/>
        </w:numPr>
        <w:tabs>
          <w:tab w:val="left" w:pos="1"/>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Copies of any and all agreements between the external investment manager and the Placement Agent.</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8"/>
        </w:numPr>
        <w:tabs>
          <w:tab w:val="left" w:pos="1"/>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The names of any Fund Board members, Staff or Consultants who suggested the retention of a Placement Agent.</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8"/>
        </w:numPr>
        <w:tabs>
          <w:tab w:val="left" w:pos="1"/>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A statement that the Placement Agent (or any of its affiliates, if applicable) is registered with the Securities and Exchange Commission or the Financial Industry Regulatory Association and the details of such registration.</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8"/>
        </w:numPr>
        <w:tabs>
          <w:tab w:val="left" w:pos="1"/>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A statement whether the Placement Agent, or any of its affiliates, is registered as a lobbyist with any state or national government.</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mbria" w:eastAsia="Times New Roman" w:hAnsi="Cambria" w:cs="Verdana"/>
          <w:sz w:val="24"/>
          <w:szCs w:val="24"/>
        </w:rPr>
      </w:pPr>
    </w:p>
    <w:p w:rsidR="001B5635" w:rsidRPr="001B5635" w:rsidRDefault="001B5635" w:rsidP="001B5635">
      <w:pPr>
        <w:numPr>
          <w:ilvl w:val="1"/>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Providing updates of any changes to any of the information included in the Placement Agent Information Disclosure within 14 calendar days of the date that the external investment manager knew or should have known of a change in the information originally provided.</w:t>
      </w:r>
    </w:p>
    <w:p w:rsidR="001B5635" w:rsidRPr="001B5635" w:rsidRDefault="001B5635" w:rsidP="001B5635">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mbria" w:eastAsia="Times New Roman" w:hAnsi="Cambria" w:cs="Verdana"/>
          <w:sz w:val="24"/>
          <w:szCs w:val="24"/>
        </w:rPr>
      </w:pPr>
    </w:p>
    <w:p w:rsidR="001B5635" w:rsidRPr="001B5635" w:rsidRDefault="001B5635" w:rsidP="001B5635">
      <w:pPr>
        <w:numPr>
          <w:ilvl w:val="1"/>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Representing and warranting the accuracy of the information included in the Placement Agent Information Disclosure in any final written agreement between the external investment manager and the Fund with a continuing obligation to update any changes in accordance with Appendix A of this Policy.</w:t>
      </w:r>
    </w:p>
    <w:p w:rsidR="001B5635" w:rsidRPr="001B5635" w:rsidRDefault="001B5635" w:rsidP="001B563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The Fund’s Staff is responsible for all of the following:</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Providing external investment managers with a copy of this Policy at the time that discussions are initiated with respect to a prospective investment or with respect to amendments to agreements with current investments.</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ab/>
      </w: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Confirming that the Placement Agent Information Disclosure has been received prior to the completion of any due diligence and before any recommendation is made regarding prospective investments or amendments to agreements with current investments.</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Declining the opportunity to retain or initiate an investment with an external investment manager if the Placement Agent Information Disclosure reveals that a Placement Agent was employed that is not registered with either the Securities and Exchange Commission or the Financial Industry Regulatory Association.</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Securing in the final written agreement between the Fund and the external investment manager the following remedies in the event it is discovered that the external investment manager knew or should have known about any material omission or inaccuracy in the Placement Agent Information Disclosure or any other violation of this Policy:</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20"/>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Whichever is greater, the reimbursement of any management or advisory fees for two years or an amount equal to the amounts paid or promised to be paid to the Placement Agent; and</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20"/>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 xml:space="preserve">The authority to terminate immediately the investment management contract or other agreement with the external investment manager without penalty, to withdraw without penalty from the limited partnership, limited liability company or other investment vehicle, or to cease making further capital contributions (and paying any fees on these </w:t>
      </w:r>
      <w:r w:rsidRPr="001B5635">
        <w:rPr>
          <w:rFonts w:ascii="Cambria" w:eastAsia="Times New Roman" w:hAnsi="Cambria" w:cs="Verdana"/>
          <w:sz w:val="24"/>
          <w:szCs w:val="24"/>
        </w:rPr>
        <w:lastRenderedPageBreak/>
        <w:t>uncalled commitments) to the limited partnership, limited liability company or other investment vehicle.</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 xml:space="preserve">Confirming that the final written agreement between the Fund and the external investment manager states that the external investment manager shall be solely responsible for, and the Fund shall not pay for (directly or indirectly), any fees, compensation or expenses for any Placement Agent used by the external investment manager. </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Prohibiting any external investment manager or Placement Agent from soliciting new investments from the Fund for a two year period after commitment of a material violation of this Policy.</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Providing a copy of the Placement Agent Information Disclosure to the Board whenever decisions to invest in external investment managers are up for approval or whenever decisions to amend current external investment manager agreements are up for approval.</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 xml:space="preserve">Compiling a quarterly report containing the names and amount of compensation agreed to be provided to each Placement Agent by each external investment manager as reported in the Placement Agent Information Disclosures, and providing the report to the Board. </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Reporting to the Board at least quarterly any material violations of this Policy.</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External investment managers shall comply with this Policy and cooperate with Staff in meeting their obligations under this Policy.</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Default="001B5635" w:rsidP="001B5635">
      <w:pPr>
        <w:numPr>
          <w:ilvl w:val="0"/>
          <w:numId w:val="1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Only the Board can provide exceptions to this Policy and any such exceptions granted shall be reported to the public within 45 days.</w:t>
      </w:r>
    </w:p>
    <w:p w:rsidR="00E265E5" w:rsidRDefault="00E265E5" w:rsidP="00E265E5">
      <w:pPr>
        <w:pStyle w:val="ListParagrap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sectPr w:rsidR="00E265E5" w:rsidSect="00A07E53">
      <w:footerReference w:type="default" r:id="rId11"/>
      <w:pgSz w:w="12240" w:h="15840" w:code="1"/>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2DF" w:rsidRDefault="001822DF" w:rsidP="001822DF">
      <w:pPr>
        <w:spacing w:after="0" w:line="240" w:lineRule="auto"/>
      </w:pPr>
      <w:r>
        <w:separator/>
      </w:r>
    </w:p>
  </w:endnote>
  <w:endnote w:type="continuationSeparator" w:id="0">
    <w:p w:rsidR="001822DF" w:rsidRDefault="001822DF" w:rsidP="0018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945739"/>
      <w:docPartObj>
        <w:docPartGallery w:val="Page Numbers (Bottom of Page)"/>
        <w:docPartUnique/>
      </w:docPartObj>
    </w:sdtPr>
    <w:sdtEndPr>
      <w:rPr>
        <w:noProof/>
      </w:rPr>
    </w:sdtEndPr>
    <w:sdtContent>
      <w:p w:rsidR="001822DF" w:rsidRDefault="001822DF">
        <w:pPr>
          <w:pStyle w:val="Footer"/>
          <w:jc w:val="right"/>
        </w:pPr>
        <w:r>
          <w:fldChar w:fldCharType="begin"/>
        </w:r>
        <w:r>
          <w:instrText xml:space="preserve"> PAGE   \* MERGEFORMAT </w:instrText>
        </w:r>
        <w:r>
          <w:fldChar w:fldCharType="separate"/>
        </w:r>
        <w:r w:rsidR="00E048CB">
          <w:rPr>
            <w:noProof/>
          </w:rPr>
          <w:t>1</w:t>
        </w:r>
        <w:r>
          <w:rPr>
            <w:noProof/>
          </w:rPr>
          <w:fldChar w:fldCharType="end"/>
        </w:r>
      </w:p>
    </w:sdtContent>
  </w:sdt>
  <w:p w:rsidR="001822DF" w:rsidRDefault="00182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2DF" w:rsidRDefault="001822DF" w:rsidP="001822DF">
      <w:pPr>
        <w:spacing w:after="0" w:line="240" w:lineRule="auto"/>
      </w:pPr>
      <w:r>
        <w:separator/>
      </w:r>
    </w:p>
  </w:footnote>
  <w:footnote w:type="continuationSeparator" w:id="0">
    <w:p w:rsidR="001822DF" w:rsidRDefault="001822DF" w:rsidP="0018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4716"/>
    <w:multiLevelType w:val="hybridMultilevel"/>
    <w:tmpl w:val="7B7A6D84"/>
    <w:lvl w:ilvl="0" w:tplc="80A25344">
      <w:start w:val="1"/>
      <w:numFmt w:val="decimal"/>
      <w:lvlText w:val="%1."/>
      <w:lvlJc w:val="left"/>
      <w:pPr>
        <w:tabs>
          <w:tab w:val="num" w:pos="720"/>
        </w:tabs>
        <w:ind w:left="720" w:hanging="720"/>
      </w:pPr>
      <w:rPr>
        <w:rFonts w:hint="default"/>
      </w:rPr>
    </w:lvl>
    <w:lvl w:ilvl="1" w:tplc="D8EEBD68">
      <w:start w:val="1"/>
      <w:numFmt w:val="upperLetter"/>
      <w:lvlText w:val="%2."/>
      <w:lvlJc w:val="left"/>
      <w:pPr>
        <w:tabs>
          <w:tab w:val="num" w:pos="1440"/>
        </w:tabs>
        <w:ind w:left="1440" w:hanging="720"/>
      </w:pPr>
      <w:rPr>
        <w:rFonts w:hint="default"/>
      </w:rPr>
    </w:lvl>
    <w:lvl w:ilvl="2" w:tplc="95AEA06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67737"/>
    <w:multiLevelType w:val="hybridMultilevel"/>
    <w:tmpl w:val="A39C42FA"/>
    <w:lvl w:ilvl="0" w:tplc="B3BA923C">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1903C6"/>
    <w:multiLevelType w:val="hybridMultilevel"/>
    <w:tmpl w:val="BBA2E11C"/>
    <w:lvl w:ilvl="0" w:tplc="58DA3EBE">
      <w:start w:val="3"/>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B71B98"/>
    <w:multiLevelType w:val="hybridMultilevel"/>
    <w:tmpl w:val="A8AC4288"/>
    <w:lvl w:ilvl="0" w:tplc="EBCA5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6C41E2"/>
    <w:multiLevelType w:val="hybridMultilevel"/>
    <w:tmpl w:val="2BD63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C65E3"/>
    <w:multiLevelType w:val="hybridMultilevel"/>
    <w:tmpl w:val="1264EEF0"/>
    <w:lvl w:ilvl="0" w:tplc="D8EEBD6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62963"/>
    <w:multiLevelType w:val="hybridMultilevel"/>
    <w:tmpl w:val="E0081BBA"/>
    <w:lvl w:ilvl="0" w:tplc="0EC05B9A">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8008B3"/>
    <w:multiLevelType w:val="hybridMultilevel"/>
    <w:tmpl w:val="35C892AA"/>
    <w:lvl w:ilvl="0" w:tplc="FDD8FF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222"/>
        </w:tabs>
        <w:ind w:left="2222" w:hanging="360"/>
      </w:pPr>
    </w:lvl>
    <w:lvl w:ilvl="2" w:tplc="0409001B" w:tentative="1">
      <w:start w:val="1"/>
      <w:numFmt w:val="lowerRoman"/>
      <w:lvlText w:val="%3."/>
      <w:lvlJc w:val="right"/>
      <w:pPr>
        <w:tabs>
          <w:tab w:val="num" w:pos="2942"/>
        </w:tabs>
        <w:ind w:left="2942" w:hanging="180"/>
      </w:pPr>
    </w:lvl>
    <w:lvl w:ilvl="3" w:tplc="0409000F" w:tentative="1">
      <w:start w:val="1"/>
      <w:numFmt w:val="decimal"/>
      <w:lvlText w:val="%4."/>
      <w:lvlJc w:val="left"/>
      <w:pPr>
        <w:tabs>
          <w:tab w:val="num" w:pos="3662"/>
        </w:tabs>
        <w:ind w:left="3662" w:hanging="360"/>
      </w:pPr>
    </w:lvl>
    <w:lvl w:ilvl="4" w:tplc="04090019" w:tentative="1">
      <w:start w:val="1"/>
      <w:numFmt w:val="lowerLetter"/>
      <w:lvlText w:val="%5."/>
      <w:lvlJc w:val="left"/>
      <w:pPr>
        <w:tabs>
          <w:tab w:val="num" w:pos="4382"/>
        </w:tabs>
        <w:ind w:left="4382" w:hanging="360"/>
      </w:pPr>
    </w:lvl>
    <w:lvl w:ilvl="5" w:tplc="0409001B" w:tentative="1">
      <w:start w:val="1"/>
      <w:numFmt w:val="lowerRoman"/>
      <w:lvlText w:val="%6."/>
      <w:lvlJc w:val="right"/>
      <w:pPr>
        <w:tabs>
          <w:tab w:val="num" w:pos="5102"/>
        </w:tabs>
        <w:ind w:left="5102" w:hanging="180"/>
      </w:pPr>
    </w:lvl>
    <w:lvl w:ilvl="6" w:tplc="0409000F" w:tentative="1">
      <w:start w:val="1"/>
      <w:numFmt w:val="decimal"/>
      <w:lvlText w:val="%7."/>
      <w:lvlJc w:val="left"/>
      <w:pPr>
        <w:tabs>
          <w:tab w:val="num" w:pos="5822"/>
        </w:tabs>
        <w:ind w:left="5822" w:hanging="360"/>
      </w:pPr>
    </w:lvl>
    <w:lvl w:ilvl="7" w:tplc="04090019" w:tentative="1">
      <w:start w:val="1"/>
      <w:numFmt w:val="lowerLetter"/>
      <w:lvlText w:val="%8."/>
      <w:lvlJc w:val="left"/>
      <w:pPr>
        <w:tabs>
          <w:tab w:val="num" w:pos="6542"/>
        </w:tabs>
        <w:ind w:left="6542" w:hanging="360"/>
      </w:pPr>
    </w:lvl>
    <w:lvl w:ilvl="8" w:tplc="0409001B" w:tentative="1">
      <w:start w:val="1"/>
      <w:numFmt w:val="lowerRoman"/>
      <w:lvlText w:val="%9."/>
      <w:lvlJc w:val="right"/>
      <w:pPr>
        <w:tabs>
          <w:tab w:val="num" w:pos="7262"/>
        </w:tabs>
        <w:ind w:left="7262" w:hanging="180"/>
      </w:pPr>
    </w:lvl>
  </w:abstractNum>
  <w:abstractNum w:abstractNumId="8" w15:restartNumberingAfterBreak="0">
    <w:nsid w:val="37643FAE"/>
    <w:multiLevelType w:val="hybridMultilevel"/>
    <w:tmpl w:val="7E7CF4FA"/>
    <w:lvl w:ilvl="0" w:tplc="D8EEBD6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3C1EAE"/>
    <w:multiLevelType w:val="hybridMultilevel"/>
    <w:tmpl w:val="852A25B0"/>
    <w:lvl w:ilvl="0" w:tplc="951A86C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E80364"/>
    <w:multiLevelType w:val="hybridMultilevel"/>
    <w:tmpl w:val="29B6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A2155"/>
    <w:multiLevelType w:val="hybridMultilevel"/>
    <w:tmpl w:val="B2DE6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F78D1"/>
    <w:multiLevelType w:val="hybridMultilevel"/>
    <w:tmpl w:val="40AC8402"/>
    <w:lvl w:ilvl="0" w:tplc="80A25344">
      <w:start w:val="1"/>
      <w:numFmt w:val="decimal"/>
      <w:lvlText w:val="%1."/>
      <w:lvlJc w:val="left"/>
      <w:pPr>
        <w:tabs>
          <w:tab w:val="num" w:pos="720"/>
        </w:tabs>
        <w:ind w:left="720" w:hanging="720"/>
      </w:pPr>
      <w:rPr>
        <w:rFonts w:hint="default"/>
      </w:rPr>
    </w:lvl>
    <w:lvl w:ilvl="1" w:tplc="CB087D96">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565CE4"/>
    <w:multiLevelType w:val="multilevel"/>
    <w:tmpl w:val="B994EC8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6386178"/>
    <w:multiLevelType w:val="hybridMultilevel"/>
    <w:tmpl w:val="EA52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D232B"/>
    <w:multiLevelType w:val="hybridMultilevel"/>
    <w:tmpl w:val="E896577E"/>
    <w:lvl w:ilvl="0" w:tplc="80A2534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CB3BA4"/>
    <w:multiLevelType w:val="hybridMultilevel"/>
    <w:tmpl w:val="A1FA9236"/>
    <w:lvl w:ilvl="0" w:tplc="25A0E61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C335FF"/>
    <w:multiLevelType w:val="hybridMultilevel"/>
    <w:tmpl w:val="B30A08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141A91"/>
    <w:multiLevelType w:val="hybridMultilevel"/>
    <w:tmpl w:val="C6205514"/>
    <w:lvl w:ilvl="0" w:tplc="80A2534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0C467E"/>
    <w:multiLevelType w:val="hybridMultilevel"/>
    <w:tmpl w:val="295C359A"/>
    <w:lvl w:ilvl="0" w:tplc="066E16D8">
      <w:start w:val="1"/>
      <w:numFmt w:val="upperLetter"/>
      <w:lvlText w:val="%1."/>
      <w:lvlJc w:val="left"/>
      <w:pPr>
        <w:tabs>
          <w:tab w:val="num" w:pos="1080"/>
        </w:tabs>
        <w:ind w:left="1080" w:hanging="360"/>
      </w:pPr>
      <w:rPr>
        <w:rFonts w:hint="default"/>
      </w:rPr>
    </w:lvl>
    <w:lvl w:ilvl="1" w:tplc="951A86CA">
      <w:start w:val="1"/>
      <w:numFmt w:val="decimal"/>
      <w:lvlText w:val="%2."/>
      <w:lvlJc w:val="left"/>
      <w:pPr>
        <w:tabs>
          <w:tab w:val="num" w:pos="1800"/>
        </w:tabs>
        <w:ind w:left="1800" w:hanging="360"/>
      </w:pPr>
      <w:rPr>
        <w:rFonts w:hint="default"/>
      </w:rPr>
    </w:lvl>
    <w:lvl w:ilvl="2" w:tplc="D832807A">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C1C0E35"/>
    <w:multiLevelType w:val="hybridMultilevel"/>
    <w:tmpl w:val="63229428"/>
    <w:lvl w:ilvl="0" w:tplc="80A2534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C02810"/>
    <w:multiLevelType w:val="hybridMultilevel"/>
    <w:tmpl w:val="530A4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3"/>
  </w:num>
  <w:num w:numId="4">
    <w:abstractNumId w:val="17"/>
  </w:num>
  <w:num w:numId="5">
    <w:abstractNumId w:val="13"/>
  </w:num>
  <w:num w:numId="6">
    <w:abstractNumId w:val="4"/>
  </w:num>
  <w:num w:numId="7">
    <w:abstractNumId w:val="0"/>
  </w:num>
  <w:num w:numId="8">
    <w:abstractNumId w:val="20"/>
  </w:num>
  <w:num w:numId="9">
    <w:abstractNumId w:val="8"/>
  </w:num>
  <w:num w:numId="10">
    <w:abstractNumId w:val="5"/>
  </w:num>
  <w:num w:numId="11">
    <w:abstractNumId w:val="15"/>
  </w:num>
  <w:num w:numId="12">
    <w:abstractNumId w:val="18"/>
  </w:num>
  <w:num w:numId="13">
    <w:abstractNumId w:val="12"/>
  </w:num>
  <w:num w:numId="14">
    <w:abstractNumId w:val="16"/>
  </w:num>
  <w:num w:numId="15">
    <w:abstractNumId w:val="7"/>
  </w:num>
  <w:num w:numId="16">
    <w:abstractNumId w:val="19"/>
  </w:num>
  <w:num w:numId="17">
    <w:abstractNumId w:val="1"/>
  </w:num>
  <w:num w:numId="18">
    <w:abstractNumId w:val="2"/>
  </w:num>
  <w:num w:numId="19">
    <w:abstractNumId w:val="9"/>
  </w:num>
  <w:num w:numId="20">
    <w:abstractNumId w:val="6"/>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E2"/>
    <w:rsid w:val="00004CB5"/>
    <w:rsid w:val="00007CF9"/>
    <w:rsid w:val="00010A15"/>
    <w:rsid w:val="00014BF1"/>
    <w:rsid w:val="00017A08"/>
    <w:rsid w:val="00021595"/>
    <w:rsid w:val="00024AAA"/>
    <w:rsid w:val="00026A68"/>
    <w:rsid w:val="00032FEB"/>
    <w:rsid w:val="00033A76"/>
    <w:rsid w:val="00033FEF"/>
    <w:rsid w:val="00034AE1"/>
    <w:rsid w:val="00036F38"/>
    <w:rsid w:val="000406B9"/>
    <w:rsid w:val="00041EBA"/>
    <w:rsid w:val="0004571E"/>
    <w:rsid w:val="0004730C"/>
    <w:rsid w:val="0004778C"/>
    <w:rsid w:val="000505A9"/>
    <w:rsid w:val="00060729"/>
    <w:rsid w:val="00061F60"/>
    <w:rsid w:val="00074108"/>
    <w:rsid w:val="00084311"/>
    <w:rsid w:val="00086463"/>
    <w:rsid w:val="00093F21"/>
    <w:rsid w:val="00094D94"/>
    <w:rsid w:val="00095BA4"/>
    <w:rsid w:val="000A6AAE"/>
    <w:rsid w:val="000C0577"/>
    <w:rsid w:val="000C1046"/>
    <w:rsid w:val="000C1D41"/>
    <w:rsid w:val="000C2B12"/>
    <w:rsid w:val="000C2B4C"/>
    <w:rsid w:val="000C3356"/>
    <w:rsid w:val="000C34F8"/>
    <w:rsid w:val="000C4758"/>
    <w:rsid w:val="000C6945"/>
    <w:rsid w:val="000D061C"/>
    <w:rsid w:val="000D6B55"/>
    <w:rsid w:val="000E1556"/>
    <w:rsid w:val="000E1E86"/>
    <w:rsid w:val="000E339D"/>
    <w:rsid w:val="000F20A2"/>
    <w:rsid w:val="000F36BA"/>
    <w:rsid w:val="000F3E14"/>
    <w:rsid w:val="000F7CC8"/>
    <w:rsid w:val="00100249"/>
    <w:rsid w:val="001058F0"/>
    <w:rsid w:val="00106B67"/>
    <w:rsid w:val="00107CF5"/>
    <w:rsid w:val="00113885"/>
    <w:rsid w:val="00113AD0"/>
    <w:rsid w:val="00115514"/>
    <w:rsid w:val="00115B45"/>
    <w:rsid w:val="00116F97"/>
    <w:rsid w:val="001230F7"/>
    <w:rsid w:val="00123314"/>
    <w:rsid w:val="00123603"/>
    <w:rsid w:val="00131EDE"/>
    <w:rsid w:val="00132F2F"/>
    <w:rsid w:val="001359ED"/>
    <w:rsid w:val="0014084A"/>
    <w:rsid w:val="001422D3"/>
    <w:rsid w:val="001476BF"/>
    <w:rsid w:val="001578A5"/>
    <w:rsid w:val="00160AB3"/>
    <w:rsid w:val="0016112F"/>
    <w:rsid w:val="001647BC"/>
    <w:rsid w:val="00165D86"/>
    <w:rsid w:val="00166F1A"/>
    <w:rsid w:val="00175861"/>
    <w:rsid w:val="00175C8A"/>
    <w:rsid w:val="00175EBC"/>
    <w:rsid w:val="001822DF"/>
    <w:rsid w:val="001910BC"/>
    <w:rsid w:val="00192B7A"/>
    <w:rsid w:val="001A0F1E"/>
    <w:rsid w:val="001A15B4"/>
    <w:rsid w:val="001A1646"/>
    <w:rsid w:val="001A1E74"/>
    <w:rsid w:val="001A2ABF"/>
    <w:rsid w:val="001B4AF1"/>
    <w:rsid w:val="001B5635"/>
    <w:rsid w:val="001C48D2"/>
    <w:rsid w:val="001C5466"/>
    <w:rsid w:val="001C6B7E"/>
    <w:rsid w:val="001D15FC"/>
    <w:rsid w:val="001D1A95"/>
    <w:rsid w:val="001D1B56"/>
    <w:rsid w:val="001D5B36"/>
    <w:rsid w:val="001D6938"/>
    <w:rsid w:val="001E2BC1"/>
    <w:rsid w:val="001F527F"/>
    <w:rsid w:val="001F6111"/>
    <w:rsid w:val="001F6353"/>
    <w:rsid w:val="002002EF"/>
    <w:rsid w:val="00200D7D"/>
    <w:rsid w:val="0020169D"/>
    <w:rsid w:val="002068CE"/>
    <w:rsid w:val="002164F0"/>
    <w:rsid w:val="00221CC1"/>
    <w:rsid w:val="00222218"/>
    <w:rsid w:val="002246E4"/>
    <w:rsid w:val="00225FFA"/>
    <w:rsid w:val="002269F3"/>
    <w:rsid w:val="002274AB"/>
    <w:rsid w:val="00232FFB"/>
    <w:rsid w:val="002333C6"/>
    <w:rsid w:val="00233AC3"/>
    <w:rsid w:val="00235973"/>
    <w:rsid w:val="002425BC"/>
    <w:rsid w:val="0024468F"/>
    <w:rsid w:val="00247700"/>
    <w:rsid w:val="002518EA"/>
    <w:rsid w:val="002519A1"/>
    <w:rsid w:val="00255000"/>
    <w:rsid w:val="00262B53"/>
    <w:rsid w:val="002672AE"/>
    <w:rsid w:val="00271B32"/>
    <w:rsid w:val="00272E79"/>
    <w:rsid w:val="002753DF"/>
    <w:rsid w:val="002772EA"/>
    <w:rsid w:val="00280E58"/>
    <w:rsid w:val="00282CE8"/>
    <w:rsid w:val="002830F7"/>
    <w:rsid w:val="00285876"/>
    <w:rsid w:val="002864F2"/>
    <w:rsid w:val="00290B98"/>
    <w:rsid w:val="0029136A"/>
    <w:rsid w:val="00291D8E"/>
    <w:rsid w:val="00294514"/>
    <w:rsid w:val="002A581E"/>
    <w:rsid w:val="002A6A03"/>
    <w:rsid w:val="002B191E"/>
    <w:rsid w:val="002B2AC2"/>
    <w:rsid w:val="002B2D99"/>
    <w:rsid w:val="002B2EC6"/>
    <w:rsid w:val="002B49DC"/>
    <w:rsid w:val="002C2708"/>
    <w:rsid w:val="002E36CA"/>
    <w:rsid w:val="002E5424"/>
    <w:rsid w:val="002F0FD8"/>
    <w:rsid w:val="002F34D5"/>
    <w:rsid w:val="002F5AE1"/>
    <w:rsid w:val="002F7F0F"/>
    <w:rsid w:val="00305BD2"/>
    <w:rsid w:val="00314038"/>
    <w:rsid w:val="00323B18"/>
    <w:rsid w:val="00324EF8"/>
    <w:rsid w:val="00326AE0"/>
    <w:rsid w:val="00330DEA"/>
    <w:rsid w:val="00333909"/>
    <w:rsid w:val="00337274"/>
    <w:rsid w:val="00340E4B"/>
    <w:rsid w:val="00342A35"/>
    <w:rsid w:val="003441C3"/>
    <w:rsid w:val="003458FF"/>
    <w:rsid w:val="00350302"/>
    <w:rsid w:val="00352BF1"/>
    <w:rsid w:val="003530F3"/>
    <w:rsid w:val="0035519A"/>
    <w:rsid w:val="003551D0"/>
    <w:rsid w:val="00360636"/>
    <w:rsid w:val="00360BA6"/>
    <w:rsid w:val="00361080"/>
    <w:rsid w:val="00363BD5"/>
    <w:rsid w:val="00365CA3"/>
    <w:rsid w:val="00366A41"/>
    <w:rsid w:val="00367027"/>
    <w:rsid w:val="0037082E"/>
    <w:rsid w:val="00371470"/>
    <w:rsid w:val="003739D5"/>
    <w:rsid w:val="00375209"/>
    <w:rsid w:val="00376C48"/>
    <w:rsid w:val="00377527"/>
    <w:rsid w:val="003938F3"/>
    <w:rsid w:val="003939C1"/>
    <w:rsid w:val="003A3728"/>
    <w:rsid w:val="003A7EA2"/>
    <w:rsid w:val="003B08D1"/>
    <w:rsid w:val="003B7A2D"/>
    <w:rsid w:val="003C667D"/>
    <w:rsid w:val="003E1562"/>
    <w:rsid w:val="003E2D5E"/>
    <w:rsid w:val="003E2EFC"/>
    <w:rsid w:val="003E2FAD"/>
    <w:rsid w:val="003E5BF7"/>
    <w:rsid w:val="003E6257"/>
    <w:rsid w:val="003E6586"/>
    <w:rsid w:val="003F2167"/>
    <w:rsid w:val="003F2FD0"/>
    <w:rsid w:val="00403A2A"/>
    <w:rsid w:val="00403BD4"/>
    <w:rsid w:val="004060D3"/>
    <w:rsid w:val="00407549"/>
    <w:rsid w:val="00407C84"/>
    <w:rsid w:val="004122E9"/>
    <w:rsid w:val="004225F4"/>
    <w:rsid w:val="0042506C"/>
    <w:rsid w:val="0043229A"/>
    <w:rsid w:val="004338D7"/>
    <w:rsid w:val="00433C87"/>
    <w:rsid w:val="0043506C"/>
    <w:rsid w:val="004530AA"/>
    <w:rsid w:val="00454754"/>
    <w:rsid w:val="00462F44"/>
    <w:rsid w:val="00467A27"/>
    <w:rsid w:val="00470B6F"/>
    <w:rsid w:val="004735E8"/>
    <w:rsid w:val="0048005D"/>
    <w:rsid w:val="00480D89"/>
    <w:rsid w:val="004812D0"/>
    <w:rsid w:val="00482501"/>
    <w:rsid w:val="00482B3F"/>
    <w:rsid w:val="00483688"/>
    <w:rsid w:val="00485625"/>
    <w:rsid w:val="0048585C"/>
    <w:rsid w:val="00491E7C"/>
    <w:rsid w:val="004933E2"/>
    <w:rsid w:val="00497A7B"/>
    <w:rsid w:val="004A5873"/>
    <w:rsid w:val="004A6109"/>
    <w:rsid w:val="004A72E0"/>
    <w:rsid w:val="004A7AC8"/>
    <w:rsid w:val="004B272B"/>
    <w:rsid w:val="004B551B"/>
    <w:rsid w:val="004B6582"/>
    <w:rsid w:val="004B7CB1"/>
    <w:rsid w:val="004C209C"/>
    <w:rsid w:val="004C614B"/>
    <w:rsid w:val="004C75AD"/>
    <w:rsid w:val="004D45D5"/>
    <w:rsid w:val="004D7970"/>
    <w:rsid w:val="004E1CA0"/>
    <w:rsid w:val="004F438A"/>
    <w:rsid w:val="004F7B5D"/>
    <w:rsid w:val="00505149"/>
    <w:rsid w:val="0050590E"/>
    <w:rsid w:val="005101A3"/>
    <w:rsid w:val="00511763"/>
    <w:rsid w:val="00512ABD"/>
    <w:rsid w:val="00520A4D"/>
    <w:rsid w:val="0052595F"/>
    <w:rsid w:val="00525DB6"/>
    <w:rsid w:val="005263B8"/>
    <w:rsid w:val="00526647"/>
    <w:rsid w:val="00531D16"/>
    <w:rsid w:val="00533C1A"/>
    <w:rsid w:val="00541524"/>
    <w:rsid w:val="00543049"/>
    <w:rsid w:val="00543766"/>
    <w:rsid w:val="00553E2F"/>
    <w:rsid w:val="00556961"/>
    <w:rsid w:val="0056793F"/>
    <w:rsid w:val="00572798"/>
    <w:rsid w:val="00583FA6"/>
    <w:rsid w:val="00585D78"/>
    <w:rsid w:val="00586009"/>
    <w:rsid w:val="00590004"/>
    <w:rsid w:val="005B0081"/>
    <w:rsid w:val="005B517E"/>
    <w:rsid w:val="005B7532"/>
    <w:rsid w:val="005C398F"/>
    <w:rsid w:val="005C5A54"/>
    <w:rsid w:val="005D2DE4"/>
    <w:rsid w:val="005D6078"/>
    <w:rsid w:val="005D66E5"/>
    <w:rsid w:val="005D6729"/>
    <w:rsid w:val="005D7549"/>
    <w:rsid w:val="005E5094"/>
    <w:rsid w:val="005E68C1"/>
    <w:rsid w:val="005E6BCF"/>
    <w:rsid w:val="005F0173"/>
    <w:rsid w:val="005F3887"/>
    <w:rsid w:val="005F3E53"/>
    <w:rsid w:val="00603350"/>
    <w:rsid w:val="0062043A"/>
    <w:rsid w:val="00626740"/>
    <w:rsid w:val="00630ECD"/>
    <w:rsid w:val="00633BA1"/>
    <w:rsid w:val="00643E38"/>
    <w:rsid w:val="00646594"/>
    <w:rsid w:val="00651958"/>
    <w:rsid w:val="00651A78"/>
    <w:rsid w:val="006564BA"/>
    <w:rsid w:val="0066273B"/>
    <w:rsid w:val="00672EB1"/>
    <w:rsid w:val="006746C1"/>
    <w:rsid w:val="00675EF3"/>
    <w:rsid w:val="0068379E"/>
    <w:rsid w:val="00683E6B"/>
    <w:rsid w:val="00684FC9"/>
    <w:rsid w:val="00686BAA"/>
    <w:rsid w:val="00687E82"/>
    <w:rsid w:val="00691D2C"/>
    <w:rsid w:val="00694E78"/>
    <w:rsid w:val="00697629"/>
    <w:rsid w:val="006A3D71"/>
    <w:rsid w:val="006A622B"/>
    <w:rsid w:val="006A675F"/>
    <w:rsid w:val="006A6CB3"/>
    <w:rsid w:val="006B0E88"/>
    <w:rsid w:val="006B52EC"/>
    <w:rsid w:val="006B59C0"/>
    <w:rsid w:val="006C13DF"/>
    <w:rsid w:val="006D1CC5"/>
    <w:rsid w:val="006D2FD7"/>
    <w:rsid w:val="006D3271"/>
    <w:rsid w:val="006D56D2"/>
    <w:rsid w:val="006D6261"/>
    <w:rsid w:val="006D6768"/>
    <w:rsid w:val="006E2EB2"/>
    <w:rsid w:val="006E3C12"/>
    <w:rsid w:val="006E418C"/>
    <w:rsid w:val="006E5C5B"/>
    <w:rsid w:val="006F5F85"/>
    <w:rsid w:val="006F613A"/>
    <w:rsid w:val="006F7E99"/>
    <w:rsid w:val="007020AA"/>
    <w:rsid w:val="00703241"/>
    <w:rsid w:val="007072DF"/>
    <w:rsid w:val="007131E8"/>
    <w:rsid w:val="00713D76"/>
    <w:rsid w:val="00714133"/>
    <w:rsid w:val="00714E9E"/>
    <w:rsid w:val="00726E10"/>
    <w:rsid w:val="00727939"/>
    <w:rsid w:val="00737E7D"/>
    <w:rsid w:val="007459B5"/>
    <w:rsid w:val="007517D7"/>
    <w:rsid w:val="0075338F"/>
    <w:rsid w:val="007536FA"/>
    <w:rsid w:val="00753A67"/>
    <w:rsid w:val="0075476D"/>
    <w:rsid w:val="00755C1B"/>
    <w:rsid w:val="00757524"/>
    <w:rsid w:val="00770A69"/>
    <w:rsid w:val="00780141"/>
    <w:rsid w:val="0078122A"/>
    <w:rsid w:val="00783C15"/>
    <w:rsid w:val="007923DD"/>
    <w:rsid w:val="00794DEE"/>
    <w:rsid w:val="007A3340"/>
    <w:rsid w:val="007A4A9F"/>
    <w:rsid w:val="007A529A"/>
    <w:rsid w:val="007A559A"/>
    <w:rsid w:val="007A62B5"/>
    <w:rsid w:val="007A6B39"/>
    <w:rsid w:val="007A73EC"/>
    <w:rsid w:val="007A7563"/>
    <w:rsid w:val="007A7836"/>
    <w:rsid w:val="007B0159"/>
    <w:rsid w:val="007B0884"/>
    <w:rsid w:val="007B2A2D"/>
    <w:rsid w:val="007B4E98"/>
    <w:rsid w:val="007B76D1"/>
    <w:rsid w:val="007C1574"/>
    <w:rsid w:val="007C71C3"/>
    <w:rsid w:val="007D01B8"/>
    <w:rsid w:val="007E7F39"/>
    <w:rsid w:val="007F4CFE"/>
    <w:rsid w:val="007F7A99"/>
    <w:rsid w:val="007F7E19"/>
    <w:rsid w:val="00800FF6"/>
    <w:rsid w:val="0080477F"/>
    <w:rsid w:val="00804915"/>
    <w:rsid w:val="00807FD0"/>
    <w:rsid w:val="008112CF"/>
    <w:rsid w:val="00822006"/>
    <w:rsid w:val="008320F3"/>
    <w:rsid w:val="008325A4"/>
    <w:rsid w:val="008378C0"/>
    <w:rsid w:val="00840DD4"/>
    <w:rsid w:val="008501C3"/>
    <w:rsid w:val="00850CA0"/>
    <w:rsid w:val="0085709A"/>
    <w:rsid w:val="008647CC"/>
    <w:rsid w:val="0086585D"/>
    <w:rsid w:val="00866350"/>
    <w:rsid w:val="00866A1F"/>
    <w:rsid w:val="00867B2F"/>
    <w:rsid w:val="00870DAC"/>
    <w:rsid w:val="00871721"/>
    <w:rsid w:val="00871803"/>
    <w:rsid w:val="008725CE"/>
    <w:rsid w:val="0087488B"/>
    <w:rsid w:val="008775A9"/>
    <w:rsid w:val="008804BF"/>
    <w:rsid w:val="008833C1"/>
    <w:rsid w:val="00886516"/>
    <w:rsid w:val="00886C46"/>
    <w:rsid w:val="00887564"/>
    <w:rsid w:val="008909C7"/>
    <w:rsid w:val="00897226"/>
    <w:rsid w:val="008A0A8C"/>
    <w:rsid w:val="008A1CF4"/>
    <w:rsid w:val="008A2218"/>
    <w:rsid w:val="008A542C"/>
    <w:rsid w:val="008A54B2"/>
    <w:rsid w:val="008A6F1A"/>
    <w:rsid w:val="008A732A"/>
    <w:rsid w:val="008A7460"/>
    <w:rsid w:val="008B3C3D"/>
    <w:rsid w:val="008B5AB9"/>
    <w:rsid w:val="008B7F96"/>
    <w:rsid w:val="008C319F"/>
    <w:rsid w:val="008C5279"/>
    <w:rsid w:val="008D0FBB"/>
    <w:rsid w:val="008D1D4E"/>
    <w:rsid w:val="008E1264"/>
    <w:rsid w:val="008E12C7"/>
    <w:rsid w:val="008E6E45"/>
    <w:rsid w:val="008F3390"/>
    <w:rsid w:val="008F6BA6"/>
    <w:rsid w:val="008F6C69"/>
    <w:rsid w:val="009027AC"/>
    <w:rsid w:val="009028B9"/>
    <w:rsid w:val="00913EF0"/>
    <w:rsid w:val="00914495"/>
    <w:rsid w:val="00915522"/>
    <w:rsid w:val="00920BC6"/>
    <w:rsid w:val="00925485"/>
    <w:rsid w:val="00932012"/>
    <w:rsid w:val="00932C4F"/>
    <w:rsid w:val="00934580"/>
    <w:rsid w:val="00937200"/>
    <w:rsid w:val="009446F3"/>
    <w:rsid w:val="00945E75"/>
    <w:rsid w:val="00946ECA"/>
    <w:rsid w:val="00950419"/>
    <w:rsid w:val="009553B7"/>
    <w:rsid w:val="009572A4"/>
    <w:rsid w:val="009617E4"/>
    <w:rsid w:val="00962994"/>
    <w:rsid w:val="00965269"/>
    <w:rsid w:val="009657B3"/>
    <w:rsid w:val="009670C7"/>
    <w:rsid w:val="00970487"/>
    <w:rsid w:val="0097127C"/>
    <w:rsid w:val="00972140"/>
    <w:rsid w:val="00973D60"/>
    <w:rsid w:val="00974E8B"/>
    <w:rsid w:val="00975321"/>
    <w:rsid w:val="009800D6"/>
    <w:rsid w:val="009902E4"/>
    <w:rsid w:val="00996B08"/>
    <w:rsid w:val="00996E6A"/>
    <w:rsid w:val="009A09BD"/>
    <w:rsid w:val="009A0E70"/>
    <w:rsid w:val="009A6E50"/>
    <w:rsid w:val="009B2EA8"/>
    <w:rsid w:val="009B7637"/>
    <w:rsid w:val="009C46ED"/>
    <w:rsid w:val="009D36CC"/>
    <w:rsid w:val="009D3B96"/>
    <w:rsid w:val="009E3A66"/>
    <w:rsid w:val="009E4552"/>
    <w:rsid w:val="009F0E34"/>
    <w:rsid w:val="009F1752"/>
    <w:rsid w:val="009F1926"/>
    <w:rsid w:val="009F1FB7"/>
    <w:rsid w:val="009F3E0E"/>
    <w:rsid w:val="00A02814"/>
    <w:rsid w:val="00A07E53"/>
    <w:rsid w:val="00A10ABD"/>
    <w:rsid w:val="00A13333"/>
    <w:rsid w:val="00A27DA4"/>
    <w:rsid w:val="00A310A1"/>
    <w:rsid w:val="00A36EF3"/>
    <w:rsid w:val="00A40670"/>
    <w:rsid w:val="00A42F89"/>
    <w:rsid w:val="00A50BA7"/>
    <w:rsid w:val="00A51AB6"/>
    <w:rsid w:val="00A54C1B"/>
    <w:rsid w:val="00A55056"/>
    <w:rsid w:val="00A557E2"/>
    <w:rsid w:val="00A56EB1"/>
    <w:rsid w:val="00A77428"/>
    <w:rsid w:val="00A774E2"/>
    <w:rsid w:val="00A83887"/>
    <w:rsid w:val="00A86427"/>
    <w:rsid w:val="00A92C43"/>
    <w:rsid w:val="00A9484E"/>
    <w:rsid w:val="00A965B8"/>
    <w:rsid w:val="00A97C39"/>
    <w:rsid w:val="00AA16F3"/>
    <w:rsid w:val="00AA78C9"/>
    <w:rsid w:val="00AB0F4D"/>
    <w:rsid w:val="00AB5BD6"/>
    <w:rsid w:val="00AB5BF8"/>
    <w:rsid w:val="00AC758A"/>
    <w:rsid w:val="00AE6FE5"/>
    <w:rsid w:val="00AF1E93"/>
    <w:rsid w:val="00B02136"/>
    <w:rsid w:val="00B02E93"/>
    <w:rsid w:val="00B03527"/>
    <w:rsid w:val="00B03807"/>
    <w:rsid w:val="00B12C56"/>
    <w:rsid w:val="00B2490C"/>
    <w:rsid w:val="00B2584B"/>
    <w:rsid w:val="00B312D7"/>
    <w:rsid w:val="00B33EAB"/>
    <w:rsid w:val="00B34232"/>
    <w:rsid w:val="00B34E22"/>
    <w:rsid w:val="00B36402"/>
    <w:rsid w:val="00B37EA4"/>
    <w:rsid w:val="00B44A3B"/>
    <w:rsid w:val="00B45F12"/>
    <w:rsid w:val="00B47587"/>
    <w:rsid w:val="00B47A19"/>
    <w:rsid w:val="00B52AD6"/>
    <w:rsid w:val="00B53915"/>
    <w:rsid w:val="00B61FB9"/>
    <w:rsid w:val="00B71800"/>
    <w:rsid w:val="00B73F7E"/>
    <w:rsid w:val="00B755C5"/>
    <w:rsid w:val="00B75E03"/>
    <w:rsid w:val="00B77400"/>
    <w:rsid w:val="00B81B34"/>
    <w:rsid w:val="00B83BDE"/>
    <w:rsid w:val="00B8400A"/>
    <w:rsid w:val="00B907C1"/>
    <w:rsid w:val="00B925F0"/>
    <w:rsid w:val="00B96D81"/>
    <w:rsid w:val="00BA17F7"/>
    <w:rsid w:val="00BB1174"/>
    <w:rsid w:val="00BB2061"/>
    <w:rsid w:val="00BB29C8"/>
    <w:rsid w:val="00BB39D5"/>
    <w:rsid w:val="00BB4503"/>
    <w:rsid w:val="00BC07E8"/>
    <w:rsid w:val="00BC703C"/>
    <w:rsid w:val="00BC73B0"/>
    <w:rsid w:val="00BD7701"/>
    <w:rsid w:val="00BE0CC0"/>
    <w:rsid w:val="00BE5AA6"/>
    <w:rsid w:val="00BF17B3"/>
    <w:rsid w:val="00C05BBA"/>
    <w:rsid w:val="00C1037C"/>
    <w:rsid w:val="00C10ED5"/>
    <w:rsid w:val="00C124FB"/>
    <w:rsid w:val="00C12F00"/>
    <w:rsid w:val="00C14829"/>
    <w:rsid w:val="00C22B52"/>
    <w:rsid w:val="00C23148"/>
    <w:rsid w:val="00C25426"/>
    <w:rsid w:val="00C44C2C"/>
    <w:rsid w:val="00C47910"/>
    <w:rsid w:val="00C50EE0"/>
    <w:rsid w:val="00C53A25"/>
    <w:rsid w:val="00C61DE4"/>
    <w:rsid w:val="00C62781"/>
    <w:rsid w:val="00C635FE"/>
    <w:rsid w:val="00C66DCC"/>
    <w:rsid w:val="00C77560"/>
    <w:rsid w:val="00C826A0"/>
    <w:rsid w:val="00C82D1B"/>
    <w:rsid w:val="00C85AA9"/>
    <w:rsid w:val="00C87348"/>
    <w:rsid w:val="00C9447D"/>
    <w:rsid w:val="00C949BD"/>
    <w:rsid w:val="00C966B7"/>
    <w:rsid w:val="00CA5585"/>
    <w:rsid w:val="00CA7825"/>
    <w:rsid w:val="00CB2F23"/>
    <w:rsid w:val="00CB334D"/>
    <w:rsid w:val="00CB35F2"/>
    <w:rsid w:val="00CB4209"/>
    <w:rsid w:val="00CC0F0A"/>
    <w:rsid w:val="00CC1761"/>
    <w:rsid w:val="00CC4B24"/>
    <w:rsid w:val="00CC72A2"/>
    <w:rsid w:val="00CD1E21"/>
    <w:rsid w:val="00CD397F"/>
    <w:rsid w:val="00CD424C"/>
    <w:rsid w:val="00CD4D69"/>
    <w:rsid w:val="00CE0C21"/>
    <w:rsid w:val="00CE1293"/>
    <w:rsid w:val="00CE1C8A"/>
    <w:rsid w:val="00CE229F"/>
    <w:rsid w:val="00CF0E9F"/>
    <w:rsid w:val="00CF0F6E"/>
    <w:rsid w:val="00CF3795"/>
    <w:rsid w:val="00CF71E2"/>
    <w:rsid w:val="00D155A5"/>
    <w:rsid w:val="00D159F8"/>
    <w:rsid w:val="00D162A8"/>
    <w:rsid w:val="00D171B1"/>
    <w:rsid w:val="00D2115C"/>
    <w:rsid w:val="00D341DA"/>
    <w:rsid w:val="00D3632B"/>
    <w:rsid w:val="00D43165"/>
    <w:rsid w:val="00D46982"/>
    <w:rsid w:val="00D52A61"/>
    <w:rsid w:val="00D53719"/>
    <w:rsid w:val="00D57E28"/>
    <w:rsid w:val="00D66ACA"/>
    <w:rsid w:val="00D67491"/>
    <w:rsid w:val="00D734AA"/>
    <w:rsid w:val="00D75670"/>
    <w:rsid w:val="00D760D0"/>
    <w:rsid w:val="00D76BAE"/>
    <w:rsid w:val="00D82CFC"/>
    <w:rsid w:val="00D9043E"/>
    <w:rsid w:val="00D90C16"/>
    <w:rsid w:val="00D923FA"/>
    <w:rsid w:val="00DA04AB"/>
    <w:rsid w:val="00DA3568"/>
    <w:rsid w:val="00DA3EB2"/>
    <w:rsid w:val="00DA4962"/>
    <w:rsid w:val="00DA50C5"/>
    <w:rsid w:val="00DA6D61"/>
    <w:rsid w:val="00DB4DBE"/>
    <w:rsid w:val="00DB688B"/>
    <w:rsid w:val="00DB73FD"/>
    <w:rsid w:val="00DB7720"/>
    <w:rsid w:val="00DB7D48"/>
    <w:rsid w:val="00DC2515"/>
    <w:rsid w:val="00DC3627"/>
    <w:rsid w:val="00DD1BED"/>
    <w:rsid w:val="00DD3CE9"/>
    <w:rsid w:val="00DE3979"/>
    <w:rsid w:val="00DE4124"/>
    <w:rsid w:val="00DF06F4"/>
    <w:rsid w:val="00DF5BCE"/>
    <w:rsid w:val="00DF657F"/>
    <w:rsid w:val="00E00531"/>
    <w:rsid w:val="00E048CB"/>
    <w:rsid w:val="00E254F5"/>
    <w:rsid w:val="00E25FEA"/>
    <w:rsid w:val="00E262A7"/>
    <w:rsid w:val="00E265E5"/>
    <w:rsid w:val="00E30D8C"/>
    <w:rsid w:val="00E3286A"/>
    <w:rsid w:val="00E36845"/>
    <w:rsid w:val="00E439FC"/>
    <w:rsid w:val="00E44D78"/>
    <w:rsid w:val="00E458D7"/>
    <w:rsid w:val="00E47C09"/>
    <w:rsid w:val="00E559C2"/>
    <w:rsid w:val="00E569BA"/>
    <w:rsid w:val="00E56F1B"/>
    <w:rsid w:val="00E57301"/>
    <w:rsid w:val="00E57D38"/>
    <w:rsid w:val="00E60EC7"/>
    <w:rsid w:val="00E62200"/>
    <w:rsid w:val="00E663AC"/>
    <w:rsid w:val="00E737B7"/>
    <w:rsid w:val="00E748C4"/>
    <w:rsid w:val="00E765D2"/>
    <w:rsid w:val="00E87290"/>
    <w:rsid w:val="00E91C46"/>
    <w:rsid w:val="00E92D72"/>
    <w:rsid w:val="00E95FDC"/>
    <w:rsid w:val="00E96DFB"/>
    <w:rsid w:val="00EA7B38"/>
    <w:rsid w:val="00EB0810"/>
    <w:rsid w:val="00EB51E2"/>
    <w:rsid w:val="00EB7156"/>
    <w:rsid w:val="00EC36C6"/>
    <w:rsid w:val="00EC389B"/>
    <w:rsid w:val="00EC54A4"/>
    <w:rsid w:val="00EC7623"/>
    <w:rsid w:val="00EC7E64"/>
    <w:rsid w:val="00ED20E9"/>
    <w:rsid w:val="00ED25BE"/>
    <w:rsid w:val="00ED5026"/>
    <w:rsid w:val="00EE2F3F"/>
    <w:rsid w:val="00EE59DB"/>
    <w:rsid w:val="00EE76DE"/>
    <w:rsid w:val="00EF06E0"/>
    <w:rsid w:val="00EF12D9"/>
    <w:rsid w:val="00EF4A73"/>
    <w:rsid w:val="00EF5704"/>
    <w:rsid w:val="00EF5929"/>
    <w:rsid w:val="00F008F7"/>
    <w:rsid w:val="00F029CC"/>
    <w:rsid w:val="00F15237"/>
    <w:rsid w:val="00F30671"/>
    <w:rsid w:val="00F337F2"/>
    <w:rsid w:val="00F34181"/>
    <w:rsid w:val="00F3426E"/>
    <w:rsid w:val="00F34BF6"/>
    <w:rsid w:val="00F40944"/>
    <w:rsid w:val="00F40F9D"/>
    <w:rsid w:val="00F437F5"/>
    <w:rsid w:val="00F51114"/>
    <w:rsid w:val="00F537D8"/>
    <w:rsid w:val="00F54BE5"/>
    <w:rsid w:val="00F60617"/>
    <w:rsid w:val="00F61CA6"/>
    <w:rsid w:val="00F64968"/>
    <w:rsid w:val="00F662D0"/>
    <w:rsid w:val="00F768FC"/>
    <w:rsid w:val="00F814C4"/>
    <w:rsid w:val="00F834A8"/>
    <w:rsid w:val="00F84185"/>
    <w:rsid w:val="00F85A67"/>
    <w:rsid w:val="00F92946"/>
    <w:rsid w:val="00FA09FF"/>
    <w:rsid w:val="00FA15F6"/>
    <w:rsid w:val="00FA236A"/>
    <w:rsid w:val="00FA7CF6"/>
    <w:rsid w:val="00FB201B"/>
    <w:rsid w:val="00FB3B5A"/>
    <w:rsid w:val="00FB3F05"/>
    <w:rsid w:val="00FB7661"/>
    <w:rsid w:val="00FC1F28"/>
    <w:rsid w:val="00FC7F94"/>
    <w:rsid w:val="00FD00D6"/>
    <w:rsid w:val="00FD09B1"/>
    <w:rsid w:val="00FD5FCE"/>
    <w:rsid w:val="00FE053A"/>
    <w:rsid w:val="00FE5F49"/>
    <w:rsid w:val="00FF2550"/>
    <w:rsid w:val="00FF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E46237D"/>
  <w15:docId w15:val="{2195DC97-CA04-4EF2-9180-AF145EB9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F71E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F71E2"/>
    <w:rPr>
      <w:rFonts w:eastAsiaTheme="minorEastAsia"/>
      <w:lang w:eastAsia="ja-JP"/>
    </w:rPr>
  </w:style>
  <w:style w:type="paragraph" w:styleId="BalloonText">
    <w:name w:val="Balloon Text"/>
    <w:basedOn w:val="Normal"/>
    <w:link w:val="BalloonTextChar"/>
    <w:uiPriority w:val="99"/>
    <w:semiHidden/>
    <w:unhideWhenUsed/>
    <w:rsid w:val="00CF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1E2"/>
    <w:rPr>
      <w:rFonts w:ascii="Tahoma" w:hAnsi="Tahoma" w:cs="Tahoma"/>
      <w:sz w:val="16"/>
      <w:szCs w:val="16"/>
    </w:rPr>
  </w:style>
  <w:style w:type="character" w:styleId="Hyperlink">
    <w:name w:val="Hyperlink"/>
    <w:basedOn w:val="DefaultParagraphFont"/>
    <w:uiPriority w:val="99"/>
    <w:unhideWhenUsed/>
    <w:rsid w:val="001A0F1E"/>
    <w:rPr>
      <w:color w:val="0000FF" w:themeColor="hyperlink"/>
      <w:u w:val="single"/>
    </w:rPr>
  </w:style>
  <w:style w:type="table" w:styleId="TableGrid">
    <w:name w:val="Table Grid"/>
    <w:basedOn w:val="TableNormal"/>
    <w:uiPriority w:val="59"/>
    <w:rsid w:val="003E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3E2FA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FF25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FF255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FF2550"/>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FF2550"/>
    <w:rPr>
      <w:rFonts w:asciiTheme="majorHAnsi" w:eastAsiaTheme="majorEastAsia" w:hAnsiTheme="majorHAnsi" w:cstheme="majorBidi"/>
      <w:i/>
      <w:iCs/>
      <w:color w:val="4F81BD" w:themeColor="accent1"/>
      <w:spacing w:val="15"/>
      <w:sz w:val="24"/>
      <w:szCs w:val="24"/>
      <w:lang w:eastAsia="ja-JP"/>
    </w:rPr>
  </w:style>
  <w:style w:type="paragraph" w:styleId="ListParagraph">
    <w:name w:val="List Paragraph"/>
    <w:basedOn w:val="Normal"/>
    <w:uiPriority w:val="34"/>
    <w:qFormat/>
    <w:rsid w:val="00A51AB6"/>
    <w:pPr>
      <w:ind w:left="720"/>
      <w:contextualSpacing/>
    </w:pPr>
  </w:style>
  <w:style w:type="character" w:customStyle="1" w:styleId="PersonalReplyStyle">
    <w:name w:val="Personal Reply Style"/>
    <w:uiPriority w:val="99"/>
    <w:rsid w:val="001B5635"/>
    <w:rPr>
      <w:rFonts w:ascii="Arial" w:hAnsi="Arial" w:cs="Arial"/>
      <w:color w:val="auto"/>
      <w:sz w:val="20"/>
      <w:szCs w:val="20"/>
    </w:rPr>
  </w:style>
  <w:style w:type="paragraph" w:styleId="Header">
    <w:name w:val="header"/>
    <w:basedOn w:val="Normal"/>
    <w:link w:val="HeaderChar"/>
    <w:uiPriority w:val="99"/>
    <w:unhideWhenUsed/>
    <w:rsid w:val="00182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2DF"/>
  </w:style>
  <w:style w:type="paragraph" w:styleId="Footer">
    <w:name w:val="footer"/>
    <w:basedOn w:val="Normal"/>
    <w:link w:val="FooterChar"/>
    <w:uiPriority w:val="99"/>
    <w:unhideWhenUsed/>
    <w:rsid w:val="00182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7779">
      <w:bodyDiv w:val="1"/>
      <w:marLeft w:val="0"/>
      <w:marRight w:val="0"/>
      <w:marTop w:val="0"/>
      <w:marBottom w:val="0"/>
      <w:divBdr>
        <w:top w:val="none" w:sz="0" w:space="0" w:color="auto"/>
        <w:left w:val="none" w:sz="0" w:space="0" w:color="auto"/>
        <w:bottom w:val="none" w:sz="0" w:space="0" w:color="auto"/>
        <w:right w:val="none" w:sz="0" w:space="0" w:color="auto"/>
      </w:divBdr>
    </w:div>
    <w:div w:id="5344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isa.murray@treasurer.ok.gov" TargetMode="External"/><Relationship Id="rId4" Type="http://schemas.openxmlformats.org/officeDocument/2006/relationships/styles" Target="styles.xml"/><Relationship Id="rId9" Type="http://schemas.openxmlformats.org/officeDocument/2006/relationships/hyperlink" Target="mailto:aferrara@nep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Firefighters’ Retirement System of Louisiana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5AF544-BFB1-4F50-A3BB-00A886DE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2778</Words>
  <Characters>15201</Characters>
  <Application>Microsoft Office Word</Application>
  <DocSecurity>0</DocSecurity>
  <Lines>447</Lines>
  <Paragraphs>147</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Firefighters’ Retirement System of Louisiana</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Global Tactical Asset Allocation (GTAA)</dc:subject>
  <dc:creator>Kelli</dc:creator>
  <cp:lastModifiedBy>Ferrara, Anthony</cp:lastModifiedBy>
  <cp:revision>7</cp:revision>
  <cp:lastPrinted>2013-10-17T16:32:00Z</cp:lastPrinted>
  <dcterms:created xsi:type="dcterms:W3CDTF">2019-12-12T18:45:00Z</dcterms:created>
  <dcterms:modified xsi:type="dcterms:W3CDTF">2020-01-09T16:49:00Z</dcterms:modified>
</cp:coreProperties>
</file>