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526" w:rsidRPr="00123526" w:rsidRDefault="00123526" w:rsidP="00123526">
      <w:pPr>
        <w:tabs>
          <w:tab w:val="center" w:pos="4320"/>
          <w:tab w:val="right" w:pos="8640"/>
        </w:tabs>
        <w:rPr>
          <w:sz w:val="20"/>
        </w:rPr>
      </w:pPr>
      <w:r w:rsidRPr="00123526">
        <w:rPr>
          <w:sz w:val="20"/>
        </w:rPr>
        <w:t xml:space="preserve">The </w:t>
      </w:r>
      <w:r w:rsidR="00882F92">
        <w:rPr>
          <w:sz w:val="20"/>
        </w:rPr>
        <w:t>Belmont Contributory</w:t>
      </w:r>
      <w:r w:rsidRPr="00123526">
        <w:rPr>
          <w:sz w:val="20"/>
        </w:rPr>
        <w:t xml:space="preserve"> Retireme</w:t>
      </w:r>
      <w:r w:rsidRPr="00882F92">
        <w:rPr>
          <w:sz w:val="20"/>
        </w:rPr>
        <w:t>n</w:t>
      </w:r>
      <w:r w:rsidRPr="00123526">
        <w:rPr>
          <w:sz w:val="20"/>
        </w:rPr>
        <w:t>t System, a Massachusetts Retirement System, is soliciting proposals from investment management firm</w:t>
      </w:r>
      <w:r>
        <w:rPr>
          <w:sz w:val="20"/>
        </w:rPr>
        <w:t>(</w:t>
      </w:r>
      <w:r w:rsidRPr="00123526">
        <w:rPr>
          <w:sz w:val="20"/>
        </w:rPr>
        <w:t>s</w:t>
      </w:r>
      <w:r>
        <w:rPr>
          <w:sz w:val="20"/>
        </w:rPr>
        <w:t>)</w:t>
      </w:r>
      <w:r w:rsidRPr="00123526">
        <w:rPr>
          <w:sz w:val="20"/>
        </w:rPr>
        <w:t xml:space="preserve"> to manage </w:t>
      </w:r>
      <w:r w:rsidR="00D961D0">
        <w:rPr>
          <w:sz w:val="20"/>
        </w:rPr>
        <w:t xml:space="preserve">a </w:t>
      </w:r>
      <w:r w:rsidR="00590408">
        <w:rPr>
          <w:sz w:val="20"/>
        </w:rPr>
        <w:t>Core Fixed Income</w:t>
      </w:r>
      <w:r>
        <w:rPr>
          <w:sz w:val="20"/>
        </w:rPr>
        <w:t xml:space="preserve"> mandate</w:t>
      </w:r>
      <w:r w:rsidRPr="00123526">
        <w:rPr>
          <w:sz w:val="20"/>
        </w:rPr>
        <w:t xml:space="preserve"> for the $</w:t>
      </w:r>
      <w:r w:rsidR="00590408">
        <w:rPr>
          <w:sz w:val="20"/>
        </w:rPr>
        <w:t>104</w:t>
      </w:r>
      <w:r w:rsidRPr="00123526">
        <w:rPr>
          <w:sz w:val="20"/>
        </w:rPr>
        <w:t xml:space="preserve"> million, defined benefit pension fund. The System has a target investment/placement of up to $</w:t>
      </w:r>
      <w:r w:rsidR="00590408">
        <w:rPr>
          <w:sz w:val="20"/>
        </w:rPr>
        <w:t>10</w:t>
      </w:r>
      <w:r w:rsidRPr="00123526">
        <w:rPr>
          <w:sz w:val="20"/>
        </w:rPr>
        <w:t xml:space="preserve"> million</w:t>
      </w:r>
      <w:r>
        <w:rPr>
          <w:sz w:val="20"/>
        </w:rPr>
        <w:t xml:space="preserve"> </w:t>
      </w:r>
      <w:r w:rsidR="00961C73">
        <w:rPr>
          <w:sz w:val="20"/>
        </w:rPr>
        <w:t>with the new manager</w:t>
      </w:r>
      <w:r w:rsidRPr="00123526">
        <w:rPr>
          <w:sz w:val="20"/>
        </w:rPr>
        <w:t xml:space="preserve">(s). </w:t>
      </w:r>
    </w:p>
    <w:p w:rsidR="00123526" w:rsidRPr="00123526" w:rsidRDefault="00123526" w:rsidP="00123526">
      <w:pPr>
        <w:rPr>
          <w:sz w:val="20"/>
        </w:rPr>
      </w:pPr>
    </w:p>
    <w:p w:rsidR="00123526" w:rsidRPr="00123526" w:rsidRDefault="00123526" w:rsidP="00123526">
      <w:pPr>
        <w:rPr>
          <w:sz w:val="20"/>
        </w:rPr>
      </w:pPr>
      <w:r w:rsidRPr="00123526">
        <w:rPr>
          <w:color w:val="000000"/>
          <w:sz w:val="20"/>
        </w:rPr>
        <w:t>To obtain a copy of the RFP, please visit the website of NEPC, LLC at</w:t>
      </w:r>
      <w:r w:rsidRPr="00123526">
        <w:rPr>
          <w:b/>
          <w:bCs/>
          <w:color w:val="000000"/>
          <w:sz w:val="20"/>
        </w:rPr>
        <w:t xml:space="preserve"> </w:t>
      </w:r>
      <w:hyperlink r:id="rId10" w:history="1">
        <w:r w:rsidRPr="00123526">
          <w:rPr>
            <w:bCs/>
            <w:color w:val="0000FF"/>
            <w:sz w:val="20"/>
            <w:u w:val="single"/>
          </w:rPr>
          <w:t>www.nepc.com</w:t>
        </w:r>
      </w:hyperlink>
      <w:r w:rsidRPr="00123526">
        <w:rPr>
          <w:bCs/>
          <w:sz w:val="20"/>
        </w:rPr>
        <w:t>.</w:t>
      </w:r>
    </w:p>
    <w:p w:rsidR="00123526" w:rsidRPr="00123526" w:rsidRDefault="00123526" w:rsidP="00123526">
      <w:pPr>
        <w:rPr>
          <w:sz w:val="20"/>
        </w:rPr>
      </w:pPr>
    </w:p>
    <w:p w:rsidR="00123526" w:rsidRPr="00123526" w:rsidRDefault="00123526" w:rsidP="00123526">
      <w:pPr>
        <w:rPr>
          <w:sz w:val="20"/>
        </w:rPr>
      </w:pPr>
      <w:r w:rsidRPr="00123526">
        <w:rPr>
          <w:color w:val="000000"/>
          <w:sz w:val="20"/>
        </w:rPr>
        <w:t xml:space="preserve">Investment managers selected must have familiarity with and agree to comply with Massachusetts G.L. Chapter 32 and Chapter 176 of the Acts of 2011 and all applicable investment guidelines administered by PERAC, including the restriction on investing in tobacco-related companies.  </w:t>
      </w:r>
    </w:p>
    <w:p w:rsidR="00123526" w:rsidRPr="00123526" w:rsidRDefault="00123526" w:rsidP="00123526">
      <w:pPr>
        <w:rPr>
          <w:sz w:val="20"/>
        </w:rPr>
      </w:pPr>
    </w:p>
    <w:p w:rsidR="00123526" w:rsidRPr="00123526" w:rsidRDefault="00123526" w:rsidP="00123526">
      <w:pPr>
        <w:rPr>
          <w:color w:val="000000"/>
          <w:sz w:val="20"/>
        </w:rPr>
      </w:pPr>
      <w:r w:rsidRPr="00123526">
        <w:rPr>
          <w:color w:val="000000"/>
          <w:sz w:val="20"/>
        </w:rPr>
        <w:t xml:space="preserve">The Board reserves the right to reject any and all proposals at its discretion. </w:t>
      </w:r>
    </w:p>
    <w:p w:rsidR="00123526" w:rsidRPr="00961C73" w:rsidRDefault="00123526" w:rsidP="00123526">
      <w:pPr>
        <w:tabs>
          <w:tab w:val="left" w:pos="6480"/>
          <w:tab w:val="left" w:pos="7200"/>
        </w:tabs>
        <w:ind w:right="540"/>
        <w:jc w:val="both"/>
        <w:rPr>
          <w:color w:val="000000"/>
          <w:sz w:val="20"/>
        </w:rPr>
      </w:pPr>
    </w:p>
    <w:p w:rsidR="00123526" w:rsidRPr="00123526" w:rsidRDefault="00123526" w:rsidP="00123526">
      <w:pPr>
        <w:rPr>
          <w:color w:val="000000"/>
          <w:sz w:val="20"/>
        </w:rPr>
      </w:pPr>
      <w:r w:rsidRPr="00123526">
        <w:rPr>
          <w:color w:val="000000"/>
          <w:sz w:val="20"/>
        </w:rPr>
        <w:t>Proposals must be submitted not later than 4:00 PM (EDT) on</w:t>
      </w:r>
      <w:r w:rsidRPr="00961C73">
        <w:rPr>
          <w:color w:val="000000"/>
          <w:sz w:val="20"/>
        </w:rPr>
        <w:t xml:space="preserve"> </w:t>
      </w:r>
      <w:r w:rsidR="00590408">
        <w:rPr>
          <w:color w:val="000000"/>
          <w:sz w:val="20"/>
        </w:rPr>
        <w:t>June 7, 2018</w:t>
      </w:r>
      <w:r w:rsidRPr="00961C73">
        <w:rPr>
          <w:color w:val="000000"/>
          <w:sz w:val="20"/>
        </w:rPr>
        <w:t xml:space="preserve">. </w:t>
      </w:r>
    </w:p>
    <w:p w:rsidR="00A06E36" w:rsidRPr="00882F92" w:rsidRDefault="00A06E36" w:rsidP="00E91ED8">
      <w:pPr>
        <w:pStyle w:val="PlainText"/>
        <w:jc w:val="both"/>
        <w:rPr>
          <w:rFonts w:ascii="Verdana" w:eastAsia="MS Mincho" w:hAnsi="Verdana" w:cs="Arial"/>
          <w:b/>
        </w:rPr>
      </w:pPr>
      <w:bookmarkStart w:id="0" w:name="_GoBack"/>
      <w:bookmarkEnd w:id="0"/>
    </w:p>
    <w:sectPr w:rsidR="00A06E36" w:rsidRPr="00882F92" w:rsidSect="00CA28D4">
      <w:headerReference w:type="default" r:id="rId11"/>
      <w:headerReference w:type="first" r:id="rId12"/>
      <w:footerReference w:type="first" r:id="rId13"/>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DA" w:rsidRDefault="00B57CDA">
      <w:r>
        <w:separator/>
      </w:r>
    </w:p>
  </w:endnote>
  <w:endnote w:type="continuationSeparator" w:id="0">
    <w:p w:rsidR="00B57CDA" w:rsidRDefault="00B5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08" w:rsidRPr="00587521" w:rsidRDefault="002F2C08" w:rsidP="008F7134">
    <w:pPr>
      <w:pStyle w:val="Footer"/>
      <w:rPr>
        <w:smallCaps/>
        <w:color w:val="5D6165"/>
        <w:spacing w:val="10"/>
        <w:sz w:val="14"/>
        <w:szCs w:val="8"/>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54585C" w:rsidTr="0054585C">
      <w:tc>
        <w:tcPr>
          <w:tcW w:w="10548" w:type="dxa"/>
        </w:tcPr>
        <w:p w:rsidR="0054585C" w:rsidRPr="00B35121" w:rsidRDefault="0054585C" w:rsidP="00CD0180">
          <w:pPr>
            <w:pStyle w:val="Footer"/>
            <w:spacing w:line="360" w:lineRule="auto"/>
            <w:rPr>
              <w:smallCaps/>
              <w:color w:val="A0AC1B" w:themeColor="accent1"/>
              <w:spacing w:val="6"/>
              <w:sz w:val="17"/>
              <w:szCs w:val="16"/>
            </w:rPr>
          </w:pPr>
          <w:r>
            <w:rPr>
              <w:color w:val="A0AC1B" w:themeColor="accent1"/>
              <w:spacing w:val="6"/>
              <w:sz w:val="17"/>
              <w:szCs w:val="16"/>
            </w:rPr>
            <w:t>255 State</w:t>
          </w:r>
          <w:r w:rsidRPr="00B35121">
            <w:rPr>
              <w:color w:val="A0AC1B" w:themeColor="accent1"/>
              <w:spacing w:val="6"/>
              <w:sz w:val="17"/>
              <w:szCs w:val="16"/>
            </w:rPr>
            <w:t xml:space="preserve"> Street  |  </w:t>
          </w:r>
          <w:r>
            <w:rPr>
              <w:color w:val="A0AC1B" w:themeColor="accent1"/>
              <w:spacing w:val="6"/>
              <w:sz w:val="17"/>
              <w:szCs w:val="16"/>
            </w:rPr>
            <w:t>Boston,</w:t>
          </w:r>
          <w:r w:rsidRPr="00B35121">
            <w:rPr>
              <w:smallCaps/>
              <w:color w:val="A0AC1B" w:themeColor="accent1"/>
              <w:spacing w:val="6"/>
              <w:sz w:val="17"/>
              <w:szCs w:val="16"/>
            </w:rPr>
            <w:t xml:space="preserve"> MA  021</w:t>
          </w:r>
          <w:r>
            <w:rPr>
              <w:smallCaps/>
              <w:color w:val="A0AC1B" w:themeColor="accent1"/>
              <w:spacing w:val="6"/>
              <w:sz w:val="17"/>
              <w:szCs w:val="16"/>
            </w:rPr>
            <w:t>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54585C" w:rsidRPr="00303CF8" w:rsidRDefault="0054585C" w:rsidP="00CD0180">
          <w:pPr>
            <w:pStyle w:val="Footer"/>
            <w:tabs>
              <w:tab w:val="left" w:pos="720"/>
            </w:tabs>
            <w:spacing w:line="360" w:lineRule="auto"/>
            <w:rPr>
              <w:color w:val="002060"/>
              <w:spacing w:val="20"/>
              <w:sz w:val="15"/>
              <w:szCs w:val="15"/>
            </w:rPr>
          </w:pPr>
          <w:r>
            <w:rPr>
              <w:caps/>
              <w:color w:val="002060"/>
              <w:spacing w:val="20"/>
              <w:sz w:val="15"/>
              <w:szCs w:val="15"/>
            </w:rPr>
            <w:t>Boston | ATLANTA | charlotte | CHICAGO | Detroit | Las Vegas | portland | San Francisco</w:t>
          </w:r>
        </w:p>
      </w:tc>
    </w:tr>
  </w:tbl>
  <w:p w:rsidR="002F2C08" w:rsidRDefault="002F2C08" w:rsidP="00B847DE">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DA" w:rsidRDefault="00B57CDA">
      <w:r>
        <w:separator/>
      </w:r>
    </w:p>
  </w:footnote>
  <w:footnote w:type="continuationSeparator" w:id="0">
    <w:p w:rsidR="00B57CDA" w:rsidRDefault="00B5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C08" w:rsidRPr="00D21361" w:rsidRDefault="002F2C08">
    <w:pPr>
      <w:pStyle w:val="Header"/>
      <w:rPr>
        <w:sz w:val="20"/>
      </w:rPr>
    </w:pPr>
  </w:p>
  <w:p w:rsidR="002F2C08" w:rsidRDefault="002F2C08">
    <w:pPr>
      <w:pStyle w:val="Header"/>
      <w:rPr>
        <w:rFonts w:ascii="Times New Roman" w:hAnsi="Times New Roman"/>
        <w:sz w:val="20"/>
      </w:rPr>
    </w:pPr>
  </w:p>
  <w:p w:rsidR="002F2C08" w:rsidRDefault="002F2C08">
    <w:pPr>
      <w:pStyle w:val="Header"/>
      <w:rPr>
        <w:rFonts w:ascii="Times New Roman" w:hAnsi="Times New Roman"/>
        <w:sz w:val="20"/>
      </w:rPr>
    </w:pPr>
  </w:p>
  <w:p w:rsidR="002F2C08" w:rsidRDefault="002F2C08">
    <w:pPr>
      <w:pStyle w:val="Header"/>
      <w:rPr>
        <w:rFonts w:ascii="Times New Roman" w:hAnsi="Times New Roman"/>
        <w:sz w:val="20"/>
      </w:rPr>
    </w:pPr>
  </w:p>
  <w:p w:rsidR="002F2C08" w:rsidRDefault="002F2C08">
    <w:pPr>
      <w:pStyle w:val="Header"/>
      <w:rPr>
        <w:rFonts w:ascii="Times New Roman" w:hAnsi="Times New Roman"/>
        <w:sz w:val="20"/>
      </w:rPr>
    </w:pPr>
    <w:r>
      <w:rPr>
        <w:rFonts w:ascii="Times New Roman" w:hAnsi="Times New Roman"/>
        <w:noProof/>
        <w:sz w:val="20"/>
      </w:rPr>
      <w:drawing>
        <wp:anchor distT="0" distB="0" distL="114300" distR="114300" simplePos="0" relativeHeight="251661312" behindDoc="1" locked="1" layoutInCell="1" allowOverlap="1" wp14:anchorId="4447AD79" wp14:editId="0CD6CBCF">
          <wp:simplePos x="0" y="0"/>
          <wp:positionH relativeFrom="column">
            <wp:align>left</wp:align>
          </wp:positionH>
          <wp:positionV relativeFrom="page">
            <wp:posOffset>575945</wp:posOffset>
          </wp:positionV>
          <wp:extent cx="558165" cy="495300"/>
          <wp:effectExtent l="25400" t="0" r="635" b="0"/>
          <wp:wrapNone/>
          <wp:docPr id="6" name="Picture 6" descr="NEPCLogo-SecondPg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CLogo-SecondPgSM.jpg"/>
                  <pic:cNvPicPr/>
                </pic:nvPicPr>
                <pic:blipFill>
                  <a:blip r:embed="rId1"/>
                  <a:stretch>
                    <a:fillRect/>
                  </a:stretch>
                </pic:blipFill>
                <pic:spPr>
                  <a:xfrm>
                    <a:off x="0" y="0"/>
                    <a:ext cx="558165" cy="495300"/>
                  </a:xfrm>
                  <a:prstGeom prst="rect">
                    <a:avLst/>
                  </a:prstGeom>
                </pic:spPr>
              </pic:pic>
            </a:graphicData>
          </a:graphic>
        </wp:anchor>
      </w:drawing>
    </w:r>
  </w:p>
  <w:p w:rsidR="002F2C08" w:rsidRDefault="002F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8F" w:rsidRPr="001B268F" w:rsidRDefault="00882F92" w:rsidP="001B268F">
    <w:pPr>
      <w:jc w:val="center"/>
      <w:rPr>
        <w:b/>
        <w:sz w:val="28"/>
        <w:szCs w:val="32"/>
      </w:rPr>
    </w:pPr>
    <w:r>
      <w:rPr>
        <w:b/>
        <w:sz w:val="28"/>
        <w:szCs w:val="32"/>
      </w:rPr>
      <w:t>Belmont</w:t>
    </w:r>
    <w:r w:rsidR="001B268F" w:rsidRPr="001B268F">
      <w:rPr>
        <w:b/>
        <w:sz w:val="28"/>
        <w:szCs w:val="32"/>
      </w:rPr>
      <w:t xml:space="preserve"> Retirement Board</w:t>
    </w:r>
  </w:p>
  <w:p w:rsidR="001B268F" w:rsidRPr="001B268F" w:rsidRDefault="001B268F" w:rsidP="001B268F">
    <w:pPr>
      <w:jc w:val="center"/>
      <w:rPr>
        <w:b/>
        <w:sz w:val="28"/>
        <w:szCs w:val="32"/>
      </w:rPr>
    </w:pPr>
  </w:p>
  <w:p w:rsidR="001B268F" w:rsidRPr="001B268F" w:rsidRDefault="00390BB8" w:rsidP="001B268F">
    <w:pPr>
      <w:jc w:val="center"/>
      <w:rPr>
        <w:sz w:val="28"/>
        <w:szCs w:val="32"/>
      </w:rPr>
    </w:pPr>
    <w:r>
      <w:rPr>
        <w:sz w:val="28"/>
        <w:szCs w:val="32"/>
      </w:rPr>
      <w:t>Core Fixed Income</w:t>
    </w:r>
    <w:r w:rsidR="001B268F" w:rsidRPr="001B268F">
      <w:rPr>
        <w:sz w:val="28"/>
        <w:szCs w:val="32"/>
      </w:rPr>
      <w:t xml:space="preserve"> Manager Search</w:t>
    </w:r>
  </w:p>
  <w:p w:rsidR="002F2C08" w:rsidRDefault="002F2C08" w:rsidP="00905826">
    <w:pPr>
      <w:pStyle w:val="Header"/>
      <w:tabs>
        <w:tab w:val="left" w:pos="-270"/>
      </w:tabs>
      <w:ind w:left="-90"/>
    </w:pPr>
  </w:p>
  <w:p w:rsidR="002F2C08" w:rsidRDefault="002F2C08" w:rsidP="00905826">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F151B5"/>
    <w:multiLevelType w:val="hybridMultilevel"/>
    <w:tmpl w:val="B5EA5B1C"/>
    <w:lvl w:ilvl="0" w:tplc="7EE23D5E">
      <w:numFmt w:val="bullet"/>
      <w:lvlText w:val="•"/>
      <w:lvlJc w:val="left"/>
      <w:pPr>
        <w:ind w:left="1080" w:hanging="720"/>
      </w:pPr>
      <w:rPr>
        <w:rFonts w:ascii="Verdana" w:eastAsia="MS Mincho"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A2580"/>
    <w:multiLevelType w:val="hybridMultilevel"/>
    <w:tmpl w:val="C3B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A2FB7"/>
    <w:multiLevelType w:val="hybridMultilevel"/>
    <w:tmpl w:val="AF1AFB7A"/>
    <w:lvl w:ilvl="0" w:tplc="7EE23D5E">
      <w:numFmt w:val="bullet"/>
      <w:lvlText w:val="•"/>
      <w:lvlJc w:val="left"/>
      <w:pPr>
        <w:ind w:left="1080" w:hanging="720"/>
      </w:pPr>
      <w:rPr>
        <w:rFonts w:ascii="Verdana" w:eastAsia="MS Mincho"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6"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937696"/>
    <w:multiLevelType w:val="hybridMultilevel"/>
    <w:tmpl w:val="568C9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A8612A"/>
    <w:multiLevelType w:val="hybridMultilevel"/>
    <w:tmpl w:val="5D46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18"/>
  </w:num>
  <w:num w:numId="16">
    <w:abstractNumId w:val="13"/>
  </w:num>
  <w:num w:numId="17">
    <w:abstractNumId w:val="14"/>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F35BF3"/>
    <w:rsid w:val="00010C1D"/>
    <w:rsid w:val="00055B3C"/>
    <w:rsid w:val="00082294"/>
    <w:rsid w:val="0009604F"/>
    <w:rsid w:val="000A52EB"/>
    <w:rsid w:val="000B7FB0"/>
    <w:rsid w:val="000E414C"/>
    <w:rsid w:val="00123526"/>
    <w:rsid w:val="00125549"/>
    <w:rsid w:val="00182C66"/>
    <w:rsid w:val="00192C33"/>
    <w:rsid w:val="001B268F"/>
    <w:rsid w:val="001D166B"/>
    <w:rsid w:val="001F3644"/>
    <w:rsid w:val="002531BF"/>
    <w:rsid w:val="00263807"/>
    <w:rsid w:val="002854B3"/>
    <w:rsid w:val="002F2C08"/>
    <w:rsid w:val="00330E09"/>
    <w:rsid w:val="00342EB8"/>
    <w:rsid w:val="00382F90"/>
    <w:rsid w:val="00390BB8"/>
    <w:rsid w:val="00393851"/>
    <w:rsid w:val="00405CDB"/>
    <w:rsid w:val="004106CD"/>
    <w:rsid w:val="00412939"/>
    <w:rsid w:val="00413E78"/>
    <w:rsid w:val="00421E6D"/>
    <w:rsid w:val="00452C65"/>
    <w:rsid w:val="00463939"/>
    <w:rsid w:val="00525B94"/>
    <w:rsid w:val="005320C4"/>
    <w:rsid w:val="0054585C"/>
    <w:rsid w:val="00545DED"/>
    <w:rsid w:val="00587521"/>
    <w:rsid w:val="00590408"/>
    <w:rsid w:val="00593CD0"/>
    <w:rsid w:val="005B1C0B"/>
    <w:rsid w:val="005B27E8"/>
    <w:rsid w:val="005B672D"/>
    <w:rsid w:val="005C2BEE"/>
    <w:rsid w:val="005E6A6B"/>
    <w:rsid w:val="006056F3"/>
    <w:rsid w:val="00637C34"/>
    <w:rsid w:val="00652033"/>
    <w:rsid w:val="006D2C1B"/>
    <w:rsid w:val="006E056E"/>
    <w:rsid w:val="007703FC"/>
    <w:rsid w:val="00787C42"/>
    <w:rsid w:val="007A2D66"/>
    <w:rsid w:val="007D0298"/>
    <w:rsid w:val="007F4742"/>
    <w:rsid w:val="00882F92"/>
    <w:rsid w:val="0088791A"/>
    <w:rsid w:val="008A4E2C"/>
    <w:rsid w:val="008B094E"/>
    <w:rsid w:val="008B2926"/>
    <w:rsid w:val="008E069C"/>
    <w:rsid w:val="008F7134"/>
    <w:rsid w:val="00905826"/>
    <w:rsid w:val="0091294A"/>
    <w:rsid w:val="0092378B"/>
    <w:rsid w:val="0095473E"/>
    <w:rsid w:val="00961C73"/>
    <w:rsid w:val="009863ED"/>
    <w:rsid w:val="009A4446"/>
    <w:rsid w:val="009F5486"/>
    <w:rsid w:val="009F6BA4"/>
    <w:rsid w:val="00A06E36"/>
    <w:rsid w:val="00A40166"/>
    <w:rsid w:val="00A53EE8"/>
    <w:rsid w:val="00A806A7"/>
    <w:rsid w:val="00A96010"/>
    <w:rsid w:val="00B35121"/>
    <w:rsid w:val="00B57CDA"/>
    <w:rsid w:val="00B80E3C"/>
    <w:rsid w:val="00B847DE"/>
    <w:rsid w:val="00BA0724"/>
    <w:rsid w:val="00BF6002"/>
    <w:rsid w:val="00C06FF0"/>
    <w:rsid w:val="00C24F56"/>
    <w:rsid w:val="00C55CD7"/>
    <w:rsid w:val="00CA28D4"/>
    <w:rsid w:val="00CD0359"/>
    <w:rsid w:val="00D17CA5"/>
    <w:rsid w:val="00D21361"/>
    <w:rsid w:val="00D24C25"/>
    <w:rsid w:val="00D536CB"/>
    <w:rsid w:val="00D5606A"/>
    <w:rsid w:val="00D76736"/>
    <w:rsid w:val="00D84D3C"/>
    <w:rsid w:val="00D961D0"/>
    <w:rsid w:val="00DC7906"/>
    <w:rsid w:val="00DD0AAA"/>
    <w:rsid w:val="00DF6496"/>
    <w:rsid w:val="00E91ED8"/>
    <w:rsid w:val="00EA230D"/>
    <w:rsid w:val="00EA7577"/>
    <w:rsid w:val="00EB019C"/>
    <w:rsid w:val="00EB1A1E"/>
    <w:rsid w:val="00F35BF3"/>
    <w:rsid w:val="00F415D0"/>
    <w:rsid w:val="00F53470"/>
    <w:rsid w:val="00F54EB1"/>
    <w:rsid w:val="00F80C75"/>
    <w:rsid w:val="00F82271"/>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B2D908"/>
  <w15:docId w15:val="{8528E572-FD2B-484D-8571-CDA9E1BB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94A"/>
    <w:rPr>
      <w:rFonts w:ascii="Verdana" w:hAnsi="Verdana"/>
      <w:sz w:val="24"/>
      <w:szCs w:val="24"/>
    </w:rPr>
  </w:style>
  <w:style w:type="paragraph" w:styleId="Heading1">
    <w:name w:val="heading 1"/>
    <w:basedOn w:val="Normal"/>
    <w:next w:val="Normal"/>
    <w:link w:val="Heading1Char"/>
    <w:qFormat/>
    <w:rsid w:val="0091294A"/>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294A"/>
    <w:pPr>
      <w:tabs>
        <w:tab w:val="center" w:pos="4320"/>
        <w:tab w:val="right" w:pos="8640"/>
      </w:tabs>
    </w:pPr>
  </w:style>
  <w:style w:type="paragraph" w:styleId="NormalWeb">
    <w:name w:val="Normal (Web)"/>
    <w:basedOn w:val="Normal"/>
    <w:rsid w:val="0091294A"/>
  </w:style>
  <w:style w:type="character" w:styleId="PageNumber">
    <w:name w:val="page number"/>
    <w:basedOn w:val="DefaultParagraphFont"/>
    <w:rsid w:val="0091294A"/>
    <w:rPr>
      <w:rFonts w:ascii="Arial" w:hAnsi="Arial"/>
    </w:rPr>
  </w:style>
  <w:style w:type="character" w:styleId="Strong">
    <w:name w:val="Strong"/>
    <w:basedOn w:val="DefaultParagraphFont"/>
    <w:qFormat/>
    <w:rsid w:val="0091294A"/>
    <w:rPr>
      <w:rFonts w:ascii="Verdana" w:hAnsi="Verdana"/>
      <w:b/>
      <w:bCs/>
    </w:rPr>
  </w:style>
  <w:style w:type="paragraph" w:styleId="TOC9">
    <w:name w:val="toc 9"/>
    <w:basedOn w:val="Normal"/>
    <w:next w:val="Normal"/>
    <w:autoRedefine/>
    <w:semiHidden/>
    <w:rsid w:val="0091294A"/>
    <w:pPr>
      <w:ind w:left="1920"/>
    </w:pPr>
  </w:style>
  <w:style w:type="paragraph" w:styleId="Footer">
    <w:name w:val="footer"/>
    <w:basedOn w:val="Normal"/>
    <w:link w:val="FooterChar"/>
    <w:rsid w:val="0091294A"/>
    <w:pPr>
      <w:tabs>
        <w:tab w:val="center" w:pos="4320"/>
        <w:tab w:val="right" w:pos="8640"/>
      </w:tabs>
    </w:pPr>
  </w:style>
  <w:style w:type="paragraph" w:styleId="PlainText">
    <w:name w:val="Plain Text"/>
    <w:basedOn w:val="Normal"/>
    <w:link w:val="PlainTextChar"/>
    <w:uiPriority w:val="99"/>
    <w:rsid w:val="009220BF"/>
    <w:rPr>
      <w:rFonts w:ascii="Courier New" w:hAnsi="Courier New" w:cs="Courier New"/>
      <w:sz w:val="20"/>
      <w:szCs w:val="20"/>
    </w:rPr>
  </w:style>
  <w:style w:type="paragraph" w:styleId="BodyText">
    <w:name w:val="Body Text"/>
    <w:basedOn w:val="Normal"/>
    <w:rsid w:val="009220BF"/>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9220BF"/>
    <w:pPr>
      <w:widowControl w:val="0"/>
      <w:spacing w:after="120"/>
      <w:ind w:left="1080" w:hanging="360"/>
      <w:jc w:val="both"/>
    </w:pPr>
    <w:rPr>
      <w:snapToGrid w:val="0"/>
      <w:szCs w:val="20"/>
    </w:rPr>
  </w:style>
  <w:style w:type="paragraph" w:styleId="BalloonText">
    <w:name w:val="Balloon Text"/>
    <w:basedOn w:val="Normal"/>
    <w:link w:val="BalloonTextChar"/>
    <w:rsid w:val="00D536CB"/>
    <w:rPr>
      <w:rFonts w:ascii="Tahoma" w:hAnsi="Tahoma" w:cs="Tahoma"/>
      <w:sz w:val="16"/>
      <w:szCs w:val="16"/>
    </w:rPr>
  </w:style>
  <w:style w:type="character" w:customStyle="1" w:styleId="BalloonTextChar">
    <w:name w:val="Balloon Text Char"/>
    <w:basedOn w:val="DefaultParagraphFont"/>
    <w:link w:val="BalloonText"/>
    <w:rsid w:val="00D536CB"/>
    <w:rPr>
      <w:rFonts w:ascii="Tahoma" w:hAnsi="Tahoma" w:cs="Tahoma"/>
      <w:sz w:val="16"/>
      <w:szCs w:val="16"/>
    </w:rPr>
  </w:style>
  <w:style w:type="paragraph" w:styleId="MessageHeader">
    <w:name w:val="Message Header"/>
    <w:basedOn w:val="BodyText"/>
    <w:link w:val="MessageHeaderChar"/>
    <w:rsid w:val="00413E78"/>
    <w:pPr>
      <w:keepLines/>
      <w:spacing w:after="120" w:line="180" w:lineRule="atLeast"/>
      <w:ind w:left="1555" w:hanging="720"/>
      <w:jc w:val="left"/>
    </w:pPr>
    <w:rPr>
      <w:rFonts w:cs="Times New Roman"/>
      <w:color w:val="auto"/>
      <w:spacing w:val="-5"/>
      <w:sz w:val="20"/>
    </w:rPr>
  </w:style>
  <w:style w:type="character" w:customStyle="1" w:styleId="MessageHeaderChar">
    <w:name w:val="Message Header Char"/>
    <w:basedOn w:val="DefaultParagraphFont"/>
    <w:link w:val="MessageHeader"/>
    <w:rsid w:val="00413E78"/>
    <w:rPr>
      <w:rFonts w:ascii="Arial" w:hAnsi="Arial"/>
      <w:spacing w:val="-5"/>
    </w:rPr>
  </w:style>
  <w:style w:type="paragraph" w:customStyle="1" w:styleId="MessageHeaderFirst">
    <w:name w:val="Message Header First"/>
    <w:basedOn w:val="MessageHeader"/>
    <w:next w:val="MessageHeader"/>
    <w:rsid w:val="00413E78"/>
    <w:pPr>
      <w:spacing w:before="220"/>
    </w:pPr>
  </w:style>
  <w:style w:type="character" w:customStyle="1" w:styleId="MessageHeaderLabel">
    <w:name w:val="Message Header Label"/>
    <w:rsid w:val="00413E78"/>
    <w:rPr>
      <w:rFonts w:ascii="Arial Black" w:hAnsi="Arial Black"/>
      <w:spacing w:val="-10"/>
      <w:sz w:val="18"/>
    </w:rPr>
  </w:style>
  <w:style w:type="character" w:styleId="FollowedHyperlink">
    <w:name w:val="FollowedHyperlink"/>
    <w:basedOn w:val="DefaultParagraphFont"/>
    <w:rsid w:val="0091294A"/>
    <w:rPr>
      <w:color w:val="800080"/>
      <w:u w:val="single"/>
    </w:rPr>
  </w:style>
  <w:style w:type="character" w:customStyle="1" w:styleId="Heading1Char">
    <w:name w:val="Heading 1 Char"/>
    <w:basedOn w:val="DefaultParagraphFont"/>
    <w:link w:val="Heading1"/>
    <w:rsid w:val="0091294A"/>
    <w:rPr>
      <w:rFonts w:ascii="Verdana" w:eastAsiaTheme="majorEastAsia" w:hAnsi="Verdana" w:cstheme="majorBidi"/>
      <w:b/>
      <w:bCs/>
      <w:color w:val="778014" w:themeColor="accent1" w:themeShade="BF"/>
      <w:sz w:val="28"/>
      <w:szCs w:val="28"/>
    </w:rPr>
  </w:style>
  <w:style w:type="paragraph" w:customStyle="1" w:styleId="NEPCStyle">
    <w:name w:val="NEPC Style"/>
    <w:basedOn w:val="Normal"/>
    <w:qFormat/>
    <w:rsid w:val="0091294A"/>
    <w:pPr>
      <w:tabs>
        <w:tab w:val="left" w:pos="748"/>
        <w:tab w:val="decimal" w:pos="7667"/>
      </w:tabs>
    </w:pPr>
    <w:rPr>
      <w:szCs w:val="28"/>
    </w:rPr>
  </w:style>
  <w:style w:type="paragraph" w:styleId="Subtitle">
    <w:name w:val="Subtitle"/>
    <w:basedOn w:val="Normal"/>
    <w:next w:val="Normal"/>
    <w:link w:val="SubtitleChar"/>
    <w:qFormat/>
    <w:rsid w:val="0091294A"/>
    <w:pPr>
      <w:numPr>
        <w:ilvl w:val="1"/>
      </w:numPr>
    </w:pPr>
    <w:rPr>
      <w:rFonts w:eastAsiaTheme="majorEastAsia" w:cstheme="majorBidi"/>
      <w:i/>
      <w:iCs/>
      <w:color w:val="A0AC1B" w:themeColor="accent1"/>
      <w:spacing w:val="15"/>
    </w:rPr>
  </w:style>
  <w:style w:type="character" w:customStyle="1" w:styleId="SubtitleChar">
    <w:name w:val="Subtitle Char"/>
    <w:basedOn w:val="DefaultParagraphFont"/>
    <w:link w:val="Subtitle"/>
    <w:rsid w:val="0091294A"/>
    <w:rPr>
      <w:rFonts w:ascii="Verdana" w:eastAsiaTheme="majorEastAsia" w:hAnsi="Verdana" w:cstheme="majorBidi"/>
      <w:i/>
      <w:iCs/>
      <w:color w:val="A0AC1B" w:themeColor="accent1"/>
      <w:spacing w:val="15"/>
      <w:sz w:val="24"/>
      <w:szCs w:val="24"/>
    </w:rPr>
  </w:style>
  <w:style w:type="table" w:styleId="TableGrid">
    <w:name w:val="Table Grid"/>
    <w:basedOn w:val="TableNormal"/>
    <w:rsid w:val="0091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1294A"/>
    <w:pPr>
      <w:pBdr>
        <w:bottom w:val="single" w:sz="8" w:space="4" w:color="A0AC1B"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91294A"/>
    <w:rPr>
      <w:rFonts w:ascii="Verdana" w:eastAsiaTheme="majorEastAsia" w:hAnsi="Verdana" w:cstheme="majorBidi"/>
      <w:color w:val="001747" w:themeColor="text2" w:themeShade="BF"/>
      <w:spacing w:val="5"/>
      <w:kern w:val="28"/>
      <w:sz w:val="52"/>
      <w:szCs w:val="52"/>
    </w:rPr>
  </w:style>
  <w:style w:type="character" w:customStyle="1" w:styleId="FooterChar">
    <w:name w:val="Footer Char"/>
    <w:basedOn w:val="DefaultParagraphFont"/>
    <w:link w:val="Footer"/>
    <w:rsid w:val="00B847DE"/>
    <w:rPr>
      <w:rFonts w:ascii="Verdana" w:hAnsi="Verdana"/>
      <w:sz w:val="24"/>
      <w:szCs w:val="24"/>
    </w:rPr>
  </w:style>
  <w:style w:type="character" w:customStyle="1" w:styleId="PlainTextChar">
    <w:name w:val="Plain Text Char"/>
    <w:basedOn w:val="DefaultParagraphFont"/>
    <w:link w:val="PlainText"/>
    <w:uiPriority w:val="99"/>
    <w:rsid w:val="00F54EB1"/>
    <w:rPr>
      <w:rFonts w:ascii="Courier New" w:hAnsi="Courier New" w:cs="Courier New"/>
    </w:rPr>
  </w:style>
  <w:style w:type="paragraph" w:styleId="ListParagraph">
    <w:name w:val="List Paragraph"/>
    <w:basedOn w:val="Normal"/>
    <w:uiPriority w:val="34"/>
    <w:qFormat/>
    <w:rsid w:val="00E91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6177">
      <w:bodyDiv w:val="1"/>
      <w:marLeft w:val="0"/>
      <w:marRight w:val="0"/>
      <w:marTop w:val="0"/>
      <w:marBottom w:val="0"/>
      <w:divBdr>
        <w:top w:val="none" w:sz="0" w:space="0" w:color="auto"/>
        <w:left w:val="none" w:sz="0" w:space="0" w:color="auto"/>
        <w:bottom w:val="none" w:sz="0" w:space="0" w:color="auto"/>
        <w:right w:val="none" w:sz="0" w:space="0" w:color="auto"/>
      </w:divBdr>
    </w:div>
    <w:div w:id="627245396">
      <w:bodyDiv w:val="1"/>
      <w:marLeft w:val="0"/>
      <w:marRight w:val="0"/>
      <w:marTop w:val="0"/>
      <w:marBottom w:val="0"/>
      <w:divBdr>
        <w:top w:val="none" w:sz="0" w:space="0" w:color="auto"/>
        <w:left w:val="none" w:sz="0" w:space="0" w:color="auto"/>
        <w:bottom w:val="none" w:sz="0" w:space="0" w:color="auto"/>
        <w:right w:val="none" w:sz="0" w:space="0" w:color="auto"/>
      </w:divBdr>
    </w:div>
    <w:div w:id="1317109132">
      <w:bodyDiv w:val="1"/>
      <w:marLeft w:val="0"/>
      <w:marRight w:val="0"/>
      <w:marTop w:val="0"/>
      <w:marBottom w:val="0"/>
      <w:divBdr>
        <w:top w:val="none" w:sz="0" w:space="0" w:color="auto"/>
        <w:left w:val="none" w:sz="0" w:space="0" w:color="auto"/>
        <w:bottom w:val="none" w:sz="0" w:space="0" w:color="auto"/>
        <w:right w:val="none" w:sz="0" w:space="0" w:color="auto"/>
      </w:divBdr>
    </w:div>
    <w:div w:id="1517959853">
      <w:bodyDiv w:val="1"/>
      <w:marLeft w:val="0"/>
      <w:marRight w:val="0"/>
      <w:marTop w:val="0"/>
      <w:marBottom w:val="0"/>
      <w:divBdr>
        <w:top w:val="none" w:sz="0" w:space="0" w:color="auto"/>
        <w:left w:val="none" w:sz="0" w:space="0" w:color="auto"/>
        <w:bottom w:val="none" w:sz="0" w:space="0" w:color="auto"/>
        <w:right w:val="none" w:sz="0" w:space="0" w:color="auto"/>
      </w:divBdr>
    </w:div>
    <w:div w:id="1769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ep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BD105-E23C-4CD0-933F-0137C10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0992C-631B-46B0-B5F6-53EEB54A76A0}">
  <ds:schemaRefs>
    <ds:schemaRef ds:uri="http://purl.org/dc/dcmitype/"/>
    <ds:schemaRef ds:uri="http://schemas.microsoft.com/office/2006/metadata/properties"/>
    <ds:schemaRef ds:uri="3ed25960-0445-4a8d-99e7-8cfb55289c7d"/>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29245F-73A5-4EF5-B304-B0E8A0D0F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707</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RHumphreys@nepc.com</dc:creator>
  <cp:lastModifiedBy>Driscoll, Scott</cp:lastModifiedBy>
  <cp:revision>3</cp:revision>
  <cp:lastPrinted>2010-03-29T18:01:00Z</cp:lastPrinted>
  <dcterms:created xsi:type="dcterms:W3CDTF">2018-05-21T15:28:00Z</dcterms:created>
  <dcterms:modified xsi:type="dcterms:W3CDTF">2018-05-22T13:13:00Z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