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BB" w:rsidRDefault="002F3EBB" w:rsidP="002F3EBB">
      <w:pPr>
        <w:rPr>
          <w:sz w:val="24"/>
          <w:szCs w:val="24"/>
        </w:rPr>
      </w:pPr>
      <w:bookmarkStart w:id="0" w:name="_GoBack"/>
      <w:bookmarkEnd w:id="0"/>
    </w:p>
    <w:p w:rsidR="003608A7" w:rsidRDefault="003608A7" w:rsidP="002F3EBB">
      <w:pPr>
        <w:rPr>
          <w:sz w:val="24"/>
          <w:szCs w:val="24"/>
        </w:rPr>
      </w:pPr>
    </w:p>
    <w:p w:rsidR="003608A7" w:rsidRDefault="003608A7" w:rsidP="002F3EBB">
      <w:pPr>
        <w:rPr>
          <w:sz w:val="24"/>
          <w:szCs w:val="24"/>
        </w:rPr>
      </w:pPr>
    </w:p>
    <w:p w:rsidR="002F3EBB" w:rsidRDefault="002F3EBB" w:rsidP="002F3EBB">
      <w:pPr>
        <w:rPr>
          <w:sz w:val="24"/>
          <w:szCs w:val="24"/>
        </w:rPr>
      </w:pPr>
    </w:p>
    <w:p w:rsidR="002F3EBB" w:rsidRDefault="002F3EBB" w:rsidP="002F3EBB">
      <w:pPr>
        <w:rPr>
          <w:sz w:val="24"/>
          <w:szCs w:val="24"/>
        </w:rPr>
      </w:pPr>
    </w:p>
    <w:p w:rsidR="002F3EBB" w:rsidRDefault="002F3EBB" w:rsidP="002F3EBB">
      <w:pPr>
        <w:rPr>
          <w:sz w:val="24"/>
          <w:szCs w:val="24"/>
        </w:rPr>
      </w:pPr>
    </w:p>
    <w:p w:rsidR="002F3EBB" w:rsidRDefault="002F3EBB" w:rsidP="002F3EB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D05FF">
        <w:rPr>
          <w:sz w:val="24"/>
          <w:szCs w:val="24"/>
        </w:rPr>
        <w:t xml:space="preserve"> </w:t>
      </w:r>
      <w:r w:rsidR="00ED0541">
        <w:rPr>
          <w:sz w:val="24"/>
          <w:szCs w:val="24"/>
        </w:rPr>
        <w:t>July</w:t>
      </w:r>
      <w:r w:rsidR="00D03014">
        <w:rPr>
          <w:sz w:val="24"/>
          <w:szCs w:val="24"/>
        </w:rPr>
        <w:t xml:space="preserve"> </w:t>
      </w:r>
      <w:r>
        <w:rPr>
          <w:sz w:val="24"/>
          <w:szCs w:val="24"/>
          <w:u w:val="single"/>
        </w:rPr>
        <w:t xml:space="preserve">    </w:t>
      </w:r>
      <w:r>
        <w:rPr>
          <w:sz w:val="24"/>
          <w:szCs w:val="24"/>
        </w:rPr>
        <w:t>, 20</w:t>
      </w:r>
      <w:r w:rsidR="003C0863">
        <w:rPr>
          <w:sz w:val="24"/>
          <w:szCs w:val="24"/>
        </w:rPr>
        <w:t>1</w:t>
      </w:r>
      <w:r w:rsidR="00D03014">
        <w:rPr>
          <w:sz w:val="24"/>
          <w:szCs w:val="24"/>
        </w:rPr>
        <w:t>3</w:t>
      </w:r>
    </w:p>
    <w:p w:rsidR="002F3EBB" w:rsidRDefault="002F3EBB" w:rsidP="002F3EBB">
      <w:pPr>
        <w:rPr>
          <w:sz w:val="24"/>
          <w:szCs w:val="24"/>
        </w:rPr>
      </w:pPr>
    </w:p>
    <w:p w:rsidR="00DB067B" w:rsidRDefault="00DB067B" w:rsidP="002F3EBB">
      <w:pPr>
        <w:rPr>
          <w:sz w:val="24"/>
          <w:szCs w:val="24"/>
        </w:rPr>
      </w:pPr>
      <w:r>
        <w:rPr>
          <w:sz w:val="24"/>
          <w:szCs w:val="24"/>
        </w:rPr>
        <w:t>James M. Fleming, Chairman</w:t>
      </w:r>
    </w:p>
    <w:p w:rsidR="00D15C4C" w:rsidRPr="00D15C4C" w:rsidRDefault="00D15C4C" w:rsidP="00D15C4C">
      <w:pPr>
        <w:rPr>
          <w:sz w:val="24"/>
          <w:szCs w:val="24"/>
        </w:rPr>
      </w:pPr>
      <w:r w:rsidRPr="00D15C4C">
        <w:rPr>
          <w:sz w:val="24"/>
          <w:szCs w:val="24"/>
        </w:rPr>
        <w:t xml:space="preserve">MWRA Employees’ Retirement Board </w:t>
      </w:r>
    </w:p>
    <w:p w:rsidR="00D15C4C" w:rsidRPr="00D15C4C" w:rsidRDefault="00D15C4C" w:rsidP="00D15C4C">
      <w:pPr>
        <w:rPr>
          <w:sz w:val="24"/>
          <w:szCs w:val="24"/>
        </w:rPr>
      </w:pPr>
      <w:r w:rsidRPr="00D15C4C">
        <w:rPr>
          <w:sz w:val="24"/>
          <w:szCs w:val="24"/>
        </w:rPr>
        <w:t>2 Griffin Way</w:t>
      </w:r>
    </w:p>
    <w:p w:rsidR="00D15C4C" w:rsidRPr="00D15C4C" w:rsidRDefault="00D15C4C" w:rsidP="00D15C4C">
      <w:pPr>
        <w:rPr>
          <w:b/>
          <w:bCs/>
          <w:sz w:val="24"/>
          <w:szCs w:val="24"/>
        </w:rPr>
      </w:pPr>
      <w:r w:rsidRPr="00D15C4C">
        <w:rPr>
          <w:sz w:val="24"/>
          <w:szCs w:val="24"/>
        </w:rPr>
        <w:t>Chelsea, MA 02150</w:t>
      </w:r>
    </w:p>
    <w:p w:rsidR="00D15C4C" w:rsidRPr="00D15C4C" w:rsidRDefault="00D15C4C" w:rsidP="00D15C4C">
      <w:pPr>
        <w:rPr>
          <w:sz w:val="24"/>
          <w:szCs w:val="24"/>
        </w:rPr>
      </w:pPr>
    </w:p>
    <w:p w:rsidR="002F3EBB" w:rsidRDefault="00E05063" w:rsidP="002F3EBB">
      <w:pPr>
        <w:rPr>
          <w:sz w:val="24"/>
          <w:szCs w:val="24"/>
        </w:rPr>
      </w:pPr>
      <w:r>
        <w:rPr>
          <w:sz w:val="24"/>
          <w:szCs w:val="24"/>
        </w:rPr>
        <w:t xml:space="preserve">Dear Mr. </w:t>
      </w:r>
      <w:r w:rsidR="00DB067B">
        <w:rPr>
          <w:sz w:val="24"/>
          <w:szCs w:val="24"/>
        </w:rPr>
        <w:t>Fleming</w:t>
      </w:r>
      <w:r w:rsidR="002F3EBB">
        <w:rPr>
          <w:sz w:val="24"/>
          <w:szCs w:val="24"/>
        </w:rPr>
        <w:t>:</w:t>
      </w:r>
    </w:p>
    <w:p w:rsidR="00A17D9F" w:rsidRDefault="00A17D9F" w:rsidP="00ED0541">
      <w:pPr>
        <w:jc w:val="right"/>
        <w:rPr>
          <w:sz w:val="24"/>
          <w:szCs w:val="24"/>
        </w:rPr>
      </w:pPr>
    </w:p>
    <w:p w:rsidR="004465A7" w:rsidRDefault="0001784E" w:rsidP="00565344">
      <w:pPr>
        <w:rPr>
          <w:sz w:val="24"/>
          <w:szCs w:val="24"/>
        </w:rPr>
      </w:pPr>
      <w:r>
        <w:rPr>
          <w:sz w:val="24"/>
          <w:szCs w:val="24"/>
        </w:rPr>
        <w:t>T</w:t>
      </w:r>
      <w:r w:rsidR="00C36794">
        <w:rPr>
          <w:sz w:val="24"/>
          <w:szCs w:val="24"/>
        </w:rPr>
        <w:t>his side letter agreement</w:t>
      </w:r>
      <w:r>
        <w:rPr>
          <w:sz w:val="24"/>
          <w:szCs w:val="24"/>
        </w:rPr>
        <w:t xml:space="preserve"> acknowledges</w:t>
      </w:r>
      <w:r w:rsidR="00C36794">
        <w:rPr>
          <w:sz w:val="24"/>
          <w:szCs w:val="24"/>
        </w:rPr>
        <w:t xml:space="preserve"> </w:t>
      </w:r>
      <w:r w:rsidR="00A17D9F">
        <w:rPr>
          <w:sz w:val="24"/>
          <w:szCs w:val="24"/>
        </w:rPr>
        <w:t xml:space="preserve">the Massachusetts laws </w:t>
      </w:r>
      <w:r w:rsidR="00DB067B">
        <w:rPr>
          <w:sz w:val="24"/>
          <w:szCs w:val="24"/>
        </w:rPr>
        <w:t xml:space="preserve">and regulations </w:t>
      </w:r>
      <w:r w:rsidR="00D7101A">
        <w:rPr>
          <w:sz w:val="24"/>
          <w:szCs w:val="24"/>
        </w:rPr>
        <w:t>relating</w:t>
      </w:r>
      <w:r w:rsidR="00A17D9F">
        <w:rPr>
          <w:sz w:val="24"/>
          <w:szCs w:val="24"/>
        </w:rPr>
        <w:t xml:space="preserve"> to the investment of public pension </w:t>
      </w:r>
      <w:r w:rsidR="00D7101A">
        <w:rPr>
          <w:sz w:val="24"/>
          <w:szCs w:val="24"/>
        </w:rPr>
        <w:t>funds</w:t>
      </w:r>
      <w:r w:rsidR="009157CB">
        <w:rPr>
          <w:sz w:val="24"/>
          <w:szCs w:val="24"/>
        </w:rPr>
        <w:t xml:space="preserve"> as </w:t>
      </w:r>
      <w:r w:rsidR="00D7101A">
        <w:rPr>
          <w:sz w:val="24"/>
          <w:szCs w:val="24"/>
        </w:rPr>
        <w:t>they</w:t>
      </w:r>
      <w:r w:rsidR="009157CB">
        <w:rPr>
          <w:sz w:val="24"/>
          <w:szCs w:val="24"/>
        </w:rPr>
        <w:t xml:space="preserve"> pertain to the</w:t>
      </w:r>
      <w:r w:rsidR="00D7101A">
        <w:rPr>
          <w:sz w:val="24"/>
          <w:szCs w:val="24"/>
        </w:rPr>
        <w:t xml:space="preserve"> investment of the funds of the</w:t>
      </w:r>
      <w:r w:rsidR="009157CB">
        <w:rPr>
          <w:sz w:val="24"/>
          <w:szCs w:val="24"/>
        </w:rPr>
        <w:t xml:space="preserve"> </w:t>
      </w:r>
      <w:r w:rsidR="00DB067B">
        <w:rPr>
          <w:sz w:val="24"/>
          <w:szCs w:val="24"/>
        </w:rPr>
        <w:t xml:space="preserve">MWRA Employees’ </w:t>
      </w:r>
      <w:r w:rsidR="009157CB">
        <w:rPr>
          <w:sz w:val="24"/>
          <w:szCs w:val="24"/>
        </w:rPr>
        <w:t xml:space="preserve">Retirement </w:t>
      </w:r>
      <w:r w:rsidR="00B9011A">
        <w:rPr>
          <w:sz w:val="24"/>
          <w:szCs w:val="24"/>
        </w:rPr>
        <w:t>System</w:t>
      </w:r>
      <w:r w:rsidR="0004168E">
        <w:rPr>
          <w:sz w:val="24"/>
          <w:szCs w:val="24"/>
        </w:rPr>
        <w:t xml:space="preserve"> by the </w:t>
      </w:r>
      <w:r w:rsidR="00EB68A0">
        <w:rPr>
          <w:sz w:val="24"/>
          <w:szCs w:val="24"/>
        </w:rPr>
        <w:t xml:space="preserve">MWRA Employee’s </w:t>
      </w:r>
      <w:r w:rsidR="0004168E">
        <w:rPr>
          <w:sz w:val="24"/>
          <w:szCs w:val="24"/>
        </w:rPr>
        <w:t>Retirement Board, (the “</w:t>
      </w:r>
      <w:r w:rsidR="00ED0541">
        <w:rPr>
          <w:sz w:val="24"/>
          <w:szCs w:val="24"/>
        </w:rPr>
        <w:t>Investor</w:t>
      </w:r>
      <w:r w:rsidR="0004168E">
        <w:rPr>
          <w:sz w:val="24"/>
          <w:szCs w:val="24"/>
        </w:rPr>
        <w:t>”)</w:t>
      </w:r>
      <w:r>
        <w:rPr>
          <w:sz w:val="24"/>
          <w:szCs w:val="24"/>
        </w:rPr>
        <w:t xml:space="preserve"> </w:t>
      </w:r>
      <w:r w:rsidR="00BD0864">
        <w:rPr>
          <w:sz w:val="24"/>
          <w:szCs w:val="24"/>
        </w:rPr>
        <w:t>in</w:t>
      </w:r>
      <w:r w:rsidR="004779F9">
        <w:rPr>
          <w:sz w:val="24"/>
          <w:szCs w:val="24"/>
        </w:rPr>
        <w:t xml:space="preserve"> </w:t>
      </w:r>
      <w:r w:rsidR="00ED0541">
        <w:rPr>
          <w:sz w:val="24"/>
          <w:szCs w:val="24"/>
        </w:rPr>
        <w:t>XYZ Strategy</w:t>
      </w:r>
      <w:r>
        <w:rPr>
          <w:sz w:val="24"/>
          <w:szCs w:val="24"/>
        </w:rPr>
        <w:t xml:space="preserve">.  </w:t>
      </w:r>
    </w:p>
    <w:p w:rsidR="004465A7" w:rsidRDefault="004465A7" w:rsidP="00565344">
      <w:pPr>
        <w:rPr>
          <w:sz w:val="24"/>
          <w:szCs w:val="24"/>
        </w:rPr>
      </w:pPr>
    </w:p>
    <w:p w:rsidR="00605480" w:rsidRDefault="0001784E" w:rsidP="00565344">
      <w:pPr>
        <w:rPr>
          <w:sz w:val="24"/>
          <w:szCs w:val="24"/>
        </w:rPr>
      </w:pPr>
      <w:r>
        <w:rPr>
          <w:sz w:val="24"/>
          <w:szCs w:val="24"/>
        </w:rPr>
        <w:t xml:space="preserve">The </w:t>
      </w:r>
      <w:r w:rsidR="00ED0541">
        <w:rPr>
          <w:sz w:val="24"/>
          <w:szCs w:val="24"/>
        </w:rPr>
        <w:t>Investor</w:t>
      </w:r>
      <w:r w:rsidR="00D153B7">
        <w:rPr>
          <w:sz w:val="24"/>
          <w:szCs w:val="24"/>
        </w:rPr>
        <w:t xml:space="preserve"> and</w:t>
      </w:r>
      <w:r w:rsidR="00ED0541">
        <w:rPr>
          <w:sz w:val="24"/>
          <w:szCs w:val="24"/>
        </w:rPr>
        <w:t xml:space="preserve"> XYZ Manager</w:t>
      </w:r>
      <w:r w:rsidR="0073381C">
        <w:rPr>
          <w:sz w:val="24"/>
          <w:szCs w:val="24"/>
        </w:rPr>
        <w:t xml:space="preserve"> (</w:t>
      </w:r>
      <w:r w:rsidR="00565344" w:rsidRPr="00565344">
        <w:rPr>
          <w:sz w:val="24"/>
          <w:szCs w:val="24"/>
        </w:rPr>
        <w:t>the</w:t>
      </w:r>
      <w:r w:rsidR="00565344">
        <w:rPr>
          <w:sz w:val="24"/>
          <w:szCs w:val="24"/>
        </w:rPr>
        <w:t xml:space="preserve"> “</w:t>
      </w:r>
      <w:r w:rsidR="00ED0541">
        <w:rPr>
          <w:sz w:val="24"/>
          <w:szCs w:val="24"/>
        </w:rPr>
        <w:t>Manager</w:t>
      </w:r>
      <w:r w:rsidR="00565344">
        <w:rPr>
          <w:sz w:val="24"/>
          <w:szCs w:val="24"/>
        </w:rPr>
        <w:t>”</w:t>
      </w:r>
      <w:r w:rsidR="00D85401">
        <w:rPr>
          <w:sz w:val="24"/>
          <w:szCs w:val="24"/>
        </w:rPr>
        <w:t>)</w:t>
      </w:r>
      <w:r>
        <w:rPr>
          <w:sz w:val="24"/>
          <w:szCs w:val="24"/>
        </w:rPr>
        <w:t xml:space="preserve"> on behalf of the </w:t>
      </w:r>
      <w:r w:rsidR="00ED0541">
        <w:rPr>
          <w:sz w:val="24"/>
          <w:szCs w:val="24"/>
        </w:rPr>
        <w:t>Strategy</w:t>
      </w:r>
      <w:r w:rsidR="004779F9" w:rsidRPr="004779F9">
        <w:rPr>
          <w:sz w:val="24"/>
          <w:szCs w:val="24"/>
        </w:rPr>
        <w:t>,</w:t>
      </w:r>
      <w:r>
        <w:rPr>
          <w:sz w:val="24"/>
          <w:szCs w:val="24"/>
        </w:rPr>
        <w:t xml:space="preserve"> hereby agree to the following:</w:t>
      </w:r>
    </w:p>
    <w:p w:rsidR="002F3EBB" w:rsidRPr="00B8691E" w:rsidRDefault="002F3EBB" w:rsidP="002F3EBB">
      <w:pPr>
        <w:rPr>
          <w:sz w:val="24"/>
          <w:szCs w:val="24"/>
        </w:rPr>
      </w:pPr>
    </w:p>
    <w:p w:rsidR="002F3EBB" w:rsidRPr="00B8691E" w:rsidRDefault="002F3EBB" w:rsidP="002F3EBB">
      <w:pPr>
        <w:rPr>
          <w:sz w:val="24"/>
          <w:szCs w:val="24"/>
        </w:rPr>
      </w:pPr>
      <w:r w:rsidRPr="00B8691E">
        <w:rPr>
          <w:bCs/>
          <w:sz w:val="24"/>
          <w:szCs w:val="24"/>
        </w:rPr>
        <w:t>1.</w:t>
      </w:r>
      <w:r w:rsidRPr="00B8691E">
        <w:rPr>
          <w:bCs/>
          <w:sz w:val="24"/>
          <w:szCs w:val="24"/>
        </w:rPr>
        <w:tab/>
        <w:t xml:space="preserve">Proscribed </w:t>
      </w:r>
      <w:r w:rsidR="00B8691E">
        <w:rPr>
          <w:bCs/>
          <w:sz w:val="24"/>
          <w:szCs w:val="24"/>
        </w:rPr>
        <w:t>I</w:t>
      </w:r>
      <w:r w:rsidRPr="00B8691E">
        <w:rPr>
          <w:bCs/>
          <w:sz w:val="24"/>
          <w:szCs w:val="24"/>
        </w:rPr>
        <w:t>nvestments</w:t>
      </w:r>
    </w:p>
    <w:p w:rsidR="002F3EBB" w:rsidRDefault="002F3EBB" w:rsidP="002F3EBB">
      <w:pPr>
        <w:rPr>
          <w:sz w:val="24"/>
          <w:szCs w:val="24"/>
        </w:rPr>
      </w:pPr>
    </w:p>
    <w:p w:rsidR="005B0753" w:rsidRPr="005B0753" w:rsidRDefault="002F3EBB" w:rsidP="005B0753">
      <w:pPr>
        <w:tabs>
          <w:tab w:val="left" w:pos="1440"/>
        </w:tabs>
        <w:ind w:left="1440" w:hanging="720"/>
        <w:rPr>
          <w:sz w:val="24"/>
          <w:szCs w:val="24"/>
        </w:rPr>
      </w:pPr>
      <w:r>
        <w:rPr>
          <w:sz w:val="24"/>
          <w:szCs w:val="24"/>
        </w:rPr>
        <w:t>(a)</w:t>
      </w:r>
      <w:r>
        <w:rPr>
          <w:sz w:val="24"/>
          <w:szCs w:val="24"/>
        </w:rPr>
        <w:tab/>
        <w:t xml:space="preserve">The </w:t>
      </w:r>
      <w:r w:rsidR="00ED0541">
        <w:rPr>
          <w:sz w:val="24"/>
          <w:szCs w:val="24"/>
        </w:rPr>
        <w:t>Investor</w:t>
      </w:r>
      <w:r w:rsidR="009712E2">
        <w:rPr>
          <w:sz w:val="24"/>
          <w:szCs w:val="24"/>
        </w:rPr>
        <w:t xml:space="preserve"> </w:t>
      </w:r>
      <w:r>
        <w:rPr>
          <w:sz w:val="24"/>
          <w:szCs w:val="24"/>
        </w:rPr>
        <w:t>has</w:t>
      </w:r>
      <w:r w:rsidR="00D959B1">
        <w:rPr>
          <w:sz w:val="24"/>
          <w:szCs w:val="24"/>
        </w:rPr>
        <w:t xml:space="preserve"> advised </w:t>
      </w:r>
      <w:r w:rsidR="009712E2">
        <w:rPr>
          <w:sz w:val="24"/>
          <w:szCs w:val="24"/>
        </w:rPr>
        <w:t>the</w:t>
      </w:r>
      <w:r w:rsidR="00D153B7">
        <w:rPr>
          <w:sz w:val="24"/>
          <w:szCs w:val="24"/>
        </w:rPr>
        <w:t xml:space="preserve"> </w:t>
      </w:r>
      <w:r w:rsidR="00ED0541">
        <w:rPr>
          <w:sz w:val="24"/>
          <w:szCs w:val="24"/>
        </w:rPr>
        <w:t>Strategy</w:t>
      </w:r>
      <w:r w:rsidR="00D153B7">
        <w:rPr>
          <w:sz w:val="24"/>
          <w:szCs w:val="24"/>
        </w:rPr>
        <w:t xml:space="preserve"> and the</w:t>
      </w:r>
      <w:r w:rsidR="002E2F09">
        <w:rPr>
          <w:sz w:val="24"/>
          <w:szCs w:val="24"/>
        </w:rPr>
        <w:t xml:space="preserve"> </w:t>
      </w:r>
      <w:r w:rsidR="00ED0541">
        <w:rPr>
          <w:sz w:val="24"/>
          <w:szCs w:val="24"/>
        </w:rPr>
        <w:t>Manager</w:t>
      </w:r>
      <w:r w:rsidR="009712E2">
        <w:rPr>
          <w:sz w:val="24"/>
          <w:szCs w:val="24"/>
        </w:rPr>
        <w:t xml:space="preserve"> </w:t>
      </w:r>
      <w:r w:rsidR="00D959B1">
        <w:rPr>
          <w:sz w:val="24"/>
          <w:szCs w:val="24"/>
        </w:rPr>
        <w:t xml:space="preserve">that </w:t>
      </w:r>
      <w:r w:rsidR="009712E2">
        <w:rPr>
          <w:sz w:val="24"/>
          <w:szCs w:val="24"/>
        </w:rPr>
        <w:t xml:space="preserve">under Massachusetts </w:t>
      </w:r>
      <w:r>
        <w:rPr>
          <w:sz w:val="24"/>
          <w:szCs w:val="24"/>
        </w:rPr>
        <w:t xml:space="preserve">General Laws Chapter 32, </w:t>
      </w:r>
      <w:r w:rsidR="002E2F09">
        <w:rPr>
          <w:sz w:val="24"/>
          <w:szCs w:val="24"/>
        </w:rPr>
        <w:t>§§</w:t>
      </w:r>
      <w:r>
        <w:rPr>
          <w:sz w:val="24"/>
          <w:szCs w:val="24"/>
        </w:rPr>
        <w:t xml:space="preserve"> 23(2)(g)(ii) and (iii), no </w:t>
      </w:r>
      <w:r w:rsidR="00D7101A">
        <w:rPr>
          <w:sz w:val="24"/>
          <w:szCs w:val="24"/>
        </w:rPr>
        <w:t>funds</w:t>
      </w:r>
      <w:r>
        <w:rPr>
          <w:sz w:val="24"/>
          <w:szCs w:val="24"/>
        </w:rPr>
        <w:t xml:space="preserve"> of the </w:t>
      </w:r>
      <w:r w:rsidR="0001784E">
        <w:rPr>
          <w:sz w:val="24"/>
          <w:szCs w:val="24"/>
        </w:rPr>
        <w:t>MWRA Employees’</w:t>
      </w:r>
      <w:r>
        <w:rPr>
          <w:sz w:val="24"/>
          <w:szCs w:val="24"/>
        </w:rPr>
        <w:t xml:space="preserve"> Retirement System can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investment of </w:t>
      </w:r>
      <w:r w:rsidR="00D7101A">
        <w:rPr>
          <w:sz w:val="24"/>
          <w:szCs w:val="24"/>
        </w:rPr>
        <w:t>funds</w:t>
      </w:r>
      <w:r>
        <w:rPr>
          <w:sz w:val="24"/>
          <w:szCs w:val="24"/>
        </w:rPr>
        <w:t xml:space="preserve"> shall be made in the stocks, securities or other obligations of any company so engaged; </w:t>
      </w:r>
      <w:r>
        <w:rPr>
          <w:sz w:val="24"/>
          <w:szCs w:val="24"/>
          <w:u w:val="single"/>
        </w:rPr>
        <w:t>provided, however</w:t>
      </w:r>
      <w:r w:rsidR="00D7101A">
        <w:rPr>
          <w:sz w:val="24"/>
          <w:szCs w:val="24"/>
        </w:rPr>
        <w:t>, that the funds</w:t>
      </w:r>
      <w:r>
        <w:rPr>
          <w:sz w:val="24"/>
          <w:szCs w:val="24"/>
        </w:rPr>
        <w:t xml:space="preserve"> invested in banks, financial institutions or any companies doing business in South Africa, excluding the aforementioned, must be companies which have adopted the platform of guiding principles for investing in South Africa set forth at General Laws Chapter 32, </w:t>
      </w:r>
      <w:r w:rsidR="002E2F09">
        <w:rPr>
          <w:sz w:val="24"/>
          <w:szCs w:val="24"/>
        </w:rPr>
        <w:t>§</w:t>
      </w:r>
      <w:r>
        <w:rPr>
          <w:sz w:val="24"/>
          <w:szCs w:val="24"/>
        </w:rPr>
        <w:t xml:space="preserve"> 23(5) so long as such use is consistent with sound investment policy, and provided further, however, that no </w:t>
      </w:r>
      <w:r w:rsidR="00D7101A">
        <w:rPr>
          <w:sz w:val="24"/>
          <w:szCs w:val="24"/>
        </w:rPr>
        <w:t xml:space="preserve">funds </w:t>
      </w:r>
      <w:r>
        <w:rPr>
          <w:sz w:val="24"/>
          <w:szCs w:val="24"/>
        </w:rPr>
        <w:t xml:space="preserve">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w:t>
      </w:r>
      <w:r w:rsidR="00D7101A">
        <w:rPr>
          <w:sz w:val="24"/>
          <w:szCs w:val="24"/>
        </w:rPr>
        <w:t>funds</w:t>
      </w:r>
      <w:r>
        <w:rPr>
          <w:sz w:val="24"/>
          <w:szCs w:val="24"/>
        </w:rPr>
        <w:t xml:space="preserve"> shall be invested in the stocks, securities or other obligations of any company so engaged.</w:t>
      </w:r>
      <w:r w:rsidR="005B0753">
        <w:rPr>
          <w:sz w:val="24"/>
          <w:szCs w:val="24"/>
        </w:rPr>
        <w:t xml:space="preserve"> </w:t>
      </w:r>
      <w:r w:rsidR="009712E2">
        <w:rPr>
          <w:sz w:val="24"/>
          <w:szCs w:val="24"/>
        </w:rPr>
        <w:t xml:space="preserve"> </w:t>
      </w:r>
    </w:p>
    <w:p w:rsidR="005B0753" w:rsidRDefault="005B0753" w:rsidP="00385828">
      <w:pPr>
        <w:tabs>
          <w:tab w:val="left" w:pos="-1440"/>
        </w:tabs>
        <w:ind w:left="1440" w:hanging="720"/>
      </w:pPr>
      <w:r>
        <w:rPr>
          <w:sz w:val="24"/>
          <w:szCs w:val="24"/>
        </w:rPr>
        <w:lastRenderedPageBreak/>
        <w:t>(b)</w:t>
      </w:r>
      <w:r>
        <w:rPr>
          <w:sz w:val="24"/>
          <w:szCs w:val="24"/>
        </w:rPr>
        <w:tab/>
        <w:t xml:space="preserve">The </w:t>
      </w:r>
      <w:r w:rsidR="00ED0541">
        <w:rPr>
          <w:sz w:val="24"/>
          <w:szCs w:val="24"/>
        </w:rPr>
        <w:t>Investor</w:t>
      </w:r>
      <w:r w:rsidR="009712E2">
        <w:rPr>
          <w:sz w:val="24"/>
          <w:szCs w:val="24"/>
        </w:rPr>
        <w:t xml:space="preserve"> has </w:t>
      </w:r>
      <w:r w:rsidR="00D959B1">
        <w:rPr>
          <w:sz w:val="24"/>
          <w:szCs w:val="24"/>
        </w:rPr>
        <w:t xml:space="preserve">advised </w:t>
      </w:r>
      <w:r w:rsidR="00D153B7">
        <w:rPr>
          <w:sz w:val="24"/>
          <w:szCs w:val="24"/>
        </w:rPr>
        <w:t xml:space="preserve">the </w:t>
      </w:r>
      <w:r w:rsidR="00ED0541">
        <w:rPr>
          <w:sz w:val="24"/>
          <w:szCs w:val="24"/>
        </w:rPr>
        <w:t>Strategy</w:t>
      </w:r>
      <w:r w:rsidR="00D153B7">
        <w:rPr>
          <w:sz w:val="24"/>
          <w:szCs w:val="24"/>
        </w:rPr>
        <w:t xml:space="preserve"> and the </w:t>
      </w:r>
      <w:r w:rsidR="00ED0541">
        <w:rPr>
          <w:sz w:val="24"/>
          <w:szCs w:val="24"/>
        </w:rPr>
        <w:t>Manager</w:t>
      </w:r>
      <w:r w:rsidR="0065414B">
        <w:rPr>
          <w:sz w:val="24"/>
          <w:szCs w:val="24"/>
        </w:rPr>
        <w:t xml:space="preserve"> </w:t>
      </w:r>
      <w:r>
        <w:rPr>
          <w:sz w:val="24"/>
          <w:szCs w:val="24"/>
        </w:rPr>
        <w:t xml:space="preserve">that pursuant to Chapter 119 of the Acts of 1997, no </w:t>
      </w:r>
      <w:r w:rsidR="00385828">
        <w:rPr>
          <w:sz w:val="24"/>
          <w:szCs w:val="24"/>
        </w:rPr>
        <w:t>funds</w:t>
      </w:r>
      <w:r>
        <w:rPr>
          <w:sz w:val="24"/>
          <w:szCs w:val="24"/>
        </w:rPr>
        <w:t xml:space="preserve"> of the </w:t>
      </w:r>
      <w:r w:rsidR="0001784E">
        <w:rPr>
          <w:sz w:val="24"/>
          <w:szCs w:val="24"/>
        </w:rPr>
        <w:t>MWRA Employees’</w:t>
      </w:r>
      <w:r>
        <w:rPr>
          <w:sz w:val="24"/>
          <w:szCs w:val="24"/>
        </w:rPr>
        <w:t xml:space="preserve"> Retirement System can be invested in the stocks, securities or other obligations of any company which derives more than fifteen (15%) percent of its revenues from the sale of tobacco products.</w:t>
      </w:r>
      <w:r w:rsidRPr="005B0753">
        <w:t xml:space="preserve"> </w:t>
      </w:r>
    </w:p>
    <w:p w:rsidR="00385828" w:rsidRDefault="00385828" w:rsidP="00385828">
      <w:pPr>
        <w:tabs>
          <w:tab w:val="left" w:pos="-1440"/>
        </w:tabs>
        <w:ind w:left="1440" w:hanging="720"/>
      </w:pPr>
    </w:p>
    <w:p w:rsidR="002F3EBB" w:rsidRDefault="002F3EBB" w:rsidP="002F3EBB">
      <w:pPr>
        <w:tabs>
          <w:tab w:val="left" w:pos="1440"/>
        </w:tabs>
        <w:ind w:left="1440" w:hanging="720"/>
        <w:rPr>
          <w:sz w:val="24"/>
          <w:szCs w:val="24"/>
        </w:rPr>
      </w:pPr>
      <w:r>
        <w:rPr>
          <w:sz w:val="24"/>
          <w:szCs w:val="24"/>
        </w:rPr>
        <w:t>(c)</w:t>
      </w:r>
      <w:r>
        <w:rPr>
          <w:sz w:val="24"/>
          <w:szCs w:val="24"/>
        </w:rPr>
        <w:tab/>
        <w:t xml:space="preserve">The </w:t>
      </w:r>
      <w:r w:rsidR="00ED0541">
        <w:rPr>
          <w:sz w:val="24"/>
          <w:szCs w:val="24"/>
        </w:rPr>
        <w:t>Investor</w:t>
      </w:r>
      <w:r w:rsidR="008F2DC8">
        <w:rPr>
          <w:sz w:val="24"/>
          <w:szCs w:val="24"/>
        </w:rPr>
        <w:t xml:space="preserve"> </w:t>
      </w:r>
      <w:r w:rsidR="00D959B1">
        <w:rPr>
          <w:sz w:val="24"/>
          <w:szCs w:val="24"/>
        </w:rPr>
        <w:t>has advised</w:t>
      </w:r>
      <w:r w:rsidR="008F2DC8">
        <w:rPr>
          <w:sz w:val="24"/>
          <w:szCs w:val="24"/>
        </w:rPr>
        <w:t xml:space="preserve"> the</w:t>
      </w:r>
      <w:r w:rsidR="005F29BB">
        <w:rPr>
          <w:sz w:val="24"/>
          <w:szCs w:val="24"/>
        </w:rPr>
        <w:t xml:space="preserve"> </w:t>
      </w:r>
      <w:r w:rsidR="00ED0541">
        <w:rPr>
          <w:sz w:val="24"/>
          <w:szCs w:val="24"/>
        </w:rPr>
        <w:t>Strategy</w:t>
      </w:r>
      <w:r w:rsidR="005F29BB">
        <w:rPr>
          <w:sz w:val="24"/>
          <w:szCs w:val="24"/>
        </w:rPr>
        <w:t xml:space="preserve"> and the</w:t>
      </w:r>
      <w:r w:rsidR="008F2DC8">
        <w:rPr>
          <w:sz w:val="24"/>
          <w:szCs w:val="24"/>
        </w:rPr>
        <w:t xml:space="preserve"> </w:t>
      </w:r>
      <w:r w:rsidR="00ED0541">
        <w:rPr>
          <w:sz w:val="24"/>
          <w:szCs w:val="24"/>
        </w:rPr>
        <w:t>Manager</w:t>
      </w:r>
      <w:r w:rsidR="008F2DC8">
        <w:rPr>
          <w:sz w:val="24"/>
          <w:szCs w:val="24"/>
        </w:rPr>
        <w:t xml:space="preserve"> </w:t>
      </w:r>
      <w:r w:rsidR="00AB1463">
        <w:rPr>
          <w:sz w:val="24"/>
          <w:szCs w:val="24"/>
        </w:rPr>
        <w:t xml:space="preserve">that </w:t>
      </w:r>
      <w:r w:rsidR="00D959B1">
        <w:rPr>
          <w:sz w:val="24"/>
          <w:szCs w:val="24"/>
        </w:rPr>
        <w:t xml:space="preserve">it </w:t>
      </w:r>
      <w:r>
        <w:rPr>
          <w:sz w:val="24"/>
          <w:szCs w:val="24"/>
        </w:rPr>
        <w:t>is subject to the general superintendence of</w:t>
      </w:r>
      <w:r w:rsidR="005F29BB">
        <w:rPr>
          <w:sz w:val="24"/>
          <w:szCs w:val="24"/>
        </w:rPr>
        <w:t xml:space="preserve"> the Massachusetts Public Employee Retirement Administration Commission (“</w:t>
      </w:r>
      <w:r>
        <w:rPr>
          <w:sz w:val="24"/>
          <w:szCs w:val="24"/>
        </w:rPr>
        <w:t>PERAC</w:t>
      </w:r>
      <w:r w:rsidR="005F29BB">
        <w:rPr>
          <w:sz w:val="24"/>
          <w:szCs w:val="24"/>
        </w:rPr>
        <w:t>”)</w:t>
      </w:r>
      <w:r>
        <w:rPr>
          <w:sz w:val="24"/>
          <w:szCs w:val="24"/>
        </w:rPr>
        <w:t>.</w:t>
      </w:r>
      <w:r w:rsidR="008F2DC8">
        <w:rPr>
          <w:sz w:val="24"/>
          <w:szCs w:val="24"/>
        </w:rPr>
        <w:t xml:space="preserve"> </w:t>
      </w:r>
      <w:r w:rsidR="005F29BB">
        <w:rPr>
          <w:sz w:val="24"/>
          <w:szCs w:val="24"/>
        </w:rPr>
        <w:t xml:space="preserve"> </w:t>
      </w:r>
      <w:r w:rsidR="00294856">
        <w:rPr>
          <w:sz w:val="24"/>
          <w:szCs w:val="24"/>
        </w:rPr>
        <w:t>I</w:t>
      </w:r>
      <w:r>
        <w:rPr>
          <w:sz w:val="24"/>
          <w:szCs w:val="24"/>
        </w:rPr>
        <w:t xml:space="preserve">f PERAC at any time advises the </w:t>
      </w:r>
      <w:r w:rsidR="00ED0541">
        <w:rPr>
          <w:sz w:val="24"/>
          <w:szCs w:val="24"/>
        </w:rPr>
        <w:t>Investor</w:t>
      </w:r>
      <w:r w:rsidR="002A7D54">
        <w:rPr>
          <w:sz w:val="24"/>
          <w:szCs w:val="24"/>
        </w:rPr>
        <w:t xml:space="preserve"> </w:t>
      </w:r>
      <w:r>
        <w:rPr>
          <w:sz w:val="24"/>
          <w:szCs w:val="24"/>
        </w:rPr>
        <w:t xml:space="preserve">that any investment by the </w:t>
      </w:r>
      <w:r w:rsidR="00ED0541">
        <w:rPr>
          <w:sz w:val="24"/>
          <w:szCs w:val="24"/>
        </w:rPr>
        <w:t>Strategy</w:t>
      </w:r>
      <w:r w:rsidR="002A7D54">
        <w:rPr>
          <w:sz w:val="24"/>
          <w:szCs w:val="24"/>
        </w:rPr>
        <w:t xml:space="preserve"> </w:t>
      </w:r>
      <w:r>
        <w:rPr>
          <w:sz w:val="24"/>
          <w:szCs w:val="24"/>
        </w:rPr>
        <w:t xml:space="preserve">would result in a violation of Massachusetts law, the </w:t>
      </w:r>
      <w:r w:rsidR="00ED0541">
        <w:rPr>
          <w:sz w:val="24"/>
          <w:szCs w:val="24"/>
        </w:rPr>
        <w:t>Investor</w:t>
      </w:r>
      <w:r w:rsidR="002A7D54">
        <w:rPr>
          <w:sz w:val="24"/>
          <w:szCs w:val="24"/>
        </w:rPr>
        <w:t xml:space="preserve"> </w:t>
      </w:r>
      <w:r>
        <w:rPr>
          <w:sz w:val="24"/>
          <w:szCs w:val="24"/>
        </w:rPr>
        <w:t xml:space="preserve">shall </w:t>
      </w:r>
      <w:r w:rsidR="00294856">
        <w:rPr>
          <w:sz w:val="24"/>
          <w:szCs w:val="24"/>
        </w:rPr>
        <w:t xml:space="preserve">have the </w:t>
      </w:r>
      <w:r w:rsidR="001B4E21">
        <w:rPr>
          <w:sz w:val="24"/>
          <w:szCs w:val="24"/>
        </w:rPr>
        <w:t>right</w:t>
      </w:r>
      <w:r w:rsidR="00294856">
        <w:rPr>
          <w:sz w:val="24"/>
          <w:szCs w:val="24"/>
        </w:rPr>
        <w:t xml:space="preserve"> to redeem its investment</w:t>
      </w:r>
      <w:r w:rsidR="002A7D54">
        <w:rPr>
          <w:sz w:val="24"/>
          <w:szCs w:val="24"/>
        </w:rPr>
        <w:t xml:space="preserve">. </w:t>
      </w:r>
    </w:p>
    <w:p w:rsidR="002F3EBB" w:rsidRDefault="002F3EBB" w:rsidP="002F3EBB">
      <w:pPr>
        <w:rPr>
          <w:sz w:val="24"/>
          <w:szCs w:val="24"/>
        </w:rPr>
      </w:pPr>
    </w:p>
    <w:p w:rsidR="00D959B1" w:rsidRPr="00B8691E" w:rsidRDefault="00D959B1" w:rsidP="00D959B1">
      <w:pPr>
        <w:tabs>
          <w:tab w:val="left" w:pos="720"/>
        </w:tabs>
        <w:ind w:left="720" w:hanging="720"/>
        <w:rPr>
          <w:sz w:val="24"/>
          <w:szCs w:val="24"/>
        </w:rPr>
      </w:pPr>
      <w:r>
        <w:rPr>
          <w:sz w:val="24"/>
          <w:szCs w:val="24"/>
        </w:rPr>
        <w:t>2.</w:t>
      </w:r>
      <w:r>
        <w:rPr>
          <w:sz w:val="24"/>
          <w:szCs w:val="24"/>
        </w:rPr>
        <w:tab/>
      </w:r>
      <w:r w:rsidRPr="00B8691E">
        <w:rPr>
          <w:bCs/>
          <w:sz w:val="24"/>
          <w:szCs w:val="24"/>
        </w:rPr>
        <w:t>Applicable Law</w:t>
      </w:r>
    </w:p>
    <w:p w:rsidR="00D959B1" w:rsidRDefault="00D959B1" w:rsidP="00D959B1">
      <w:pPr>
        <w:rPr>
          <w:sz w:val="24"/>
          <w:szCs w:val="24"/>
        </w:rPr>
      </w:pPr>
    </w:p>
    <w:p w:rsidR="00D959B1" w:rsidRDefault="00D959B1" w:rsidP="00D85401">
      <w:pPr>
        <w:ind w:left="720"/>
        <w:rPr>
          <w:sz w:val="24"/>
          <w:szCs w:val="24"/>
        </w:rPr>
      </w:pPr>
      <w:r>
        <w:rPr>
          <w:sz w:val="24"/>
          <w:szCs w:val="24"/>
        </w:rPr>
        <w:t>T</w:t>
      </w:r>
      <w:r w:rsidR="002A7D54">
        <w:rPr>
          <w:sz w:val="24"/>
          <w:szCs w:val="24"/>
        </w:rPr>
        <w:t>h</w:t>
      </w:r>
      <w:r w:rsidR="00AB1463">
        <w:rPr>
          <w:sz w:val="24"/>
          <w:szCs w:val="24"/>
        </w:rPr>
        <w:t>is Supplementary</w:t>
      </w:r>
      <w:r>
        <w:rPr>
          <w:sz w:val="24"/>
          <w:szCs w:val="24"/>
        </w:rPr>
        <w:t xml:space="preserve"> Agreement, the Investment Regulations promulgated by PERAC (840 Code of Massachusetts Regulations 1.00 </w:t>
      </w:r>
      <w:r>
        <w:rPr>
          <w:sz w:val="24"/>
          <w:szCs w:val="24"/>
          <w:u w:val="single"/>
        </w:rPr>
        <w:t>et</w:t>
      </w:r>
      <w:r>
        <w:rPr>
          <w:sz w:val="24"/>
          <w:szCs w:val="24"/>
        </w:rPr>
        <w:t xml:space="preserve"> </w:t>
      </w:r>
      <w:r>
        <w:rPr>
          <w:sz w:val="24"/>
          <w:szCs w:val="24"/>
          <w:u w:val="single"/>
        </w:rPr>
        <w:t>seq</w:t>
      </w:r>
      <w:r>
        <w:rPr>
          <w:sz w:val="24"/>
          <w:szCs w:val="24"/>
        </w:rPr>
        <w:t>.</w:t>
      </w:r>
      <w:r w:rsidR="005C705C">
        <w:rPr>
          <w:sz w:val="24"/>
          <w:szCs w:val="24"/>
        </w:rPr>
        <w:t>, hereinafter “840 CMR.”</w:t>
      </w:r>
      <w:r>
        <w:rPr>
          <w:sz w:val="24"/>
          <w:szCs w:val="24"/>
        </w:rPr>
        <w:t>) and the rights and obligations of the parties hereunder</w:t>
      </w:r>
      <w:r w:rsidR="00AB1463">
        <w:rPr>
          <w:sz w:val="24"/>
          <w:szCs w:val="24"/>
        </w:rPr>
        <w:t>,</w:t>
      </w:r>
      <w:r>
        <w:rPr>
          <w:sz w:val="24"/>
          <w:szCs w:val="24"/>
        </w:rPr>
        <w:t xml:space="preserve"> shall be governed by and interpreted, construed and enforced in accordance with the domestic substantive laws of the Commonwealth of Massachusetts without giving any effect to the choice or conflicts of law provision or rule that would cause the application of the domestic substantive laws of any other jurisdiction.</w:t>
      </w:r>
      <w:r w:rsidR="00D85401">
        <w:rPr>
          <w:sz w:val="24"/>
          <w:szCs w:val="24"/>
        </w:rPr>
        <w:t xml:space="preserve">  The </w:t>
      </w:r>
      <w:r w:rsidR="00ED0541">
        <w:rPr>
          <w:sz w:val="24"/>
          <w:szCs w:val="24"/>
        </w:rPr>
        <w:t>Strategy</w:t>
      </w:r>
      <w:r w:rsidR="00D85401">
        <w:rPr>
          <w:sz w:val="24"/>
          <w:szCs w:val="24"/>
        </w:rPr>
        <w:t xml:space="preserve"> and the </w:t>
      </w:r>
      <w:r w:rsidR="00ED0541">
        <w:rPr>
          <w:sz w:val="24"/>
          <w:szCs w:val="24"/>
        </w:rPr>
        <w:t>Manager</w:t>
      </w:r>
      <w:r w:rsidR="00D85401">
        <w:rPr>
          <w:sz w:val="24"/>
          <w:szCs w:val="24"/>
        </w:rPr>
        <w:t xml:space="preserve"> hereby </w:t>
      </w:r>
      <w:r w:rsidR="00D85401" w:rsidRPr="00D85401">
        <w:rPr>
          <w:sz w:val="24"/>
          <w:szCs w:val="24"/>
        </w:rPr>
        <w:t>declare its intention to comply with all pertinent and applicable regulations</w:t>
      </w:r>
      <w:r w:rsidR="00D85401">
        <w:rPr>
          <w:sz w:val="24"/>
          <w:szCs w:val="24"/>
        </w:rPr>
        <w:t xml:space="preserve"> </w:t>
      </w:r>
      <w:r w:rsidR="00D85401" w:rsidRPr="00D85401">
        <w:rPr>
          <w:sz w:val="24"/>
          <w:szCs w:val="24"/>
        </w:rPr>
        <w:t>contained in 840 CMR.</w:t>
      </w:r>
    </w:p>
    <w:p w:rsidR="00D959B1" w:rsidRPr="00B8691E" w:rsidRDefault="00D959B1" w:rsidP="00D959B1">
      <w:pPr>
        <w:rPr>
          <w:sz w:val="24"/>
          <w:szCs w:val="24"/>
        </w:rPr>
      </w:pPr>
    </w:p>
    <w:p w:rsidR="00D959B1" w:rsidRPr="00B8691E" w:rsidRDefault="00D959B1" w:rsidP="00D959B1">
      <w:pPr>
        <w:rPr>
          <w:bCs/>
          <w:sz w:val="24"/>
          <w:szCs w:val="24"/>
        </w:rPr>
      </w:pPr>
      <w:r w:rsidRPr="00B8691E">
        <w:rPr>
          <w:sz w:val="24"/>
          <w:szCs w:val="24"/>
        </w:rPr>
        <w:t>3.</w:t>
      </w:r>
      <w:r w:rsidRPr="00B8691E">
        <w:rPr>
          <w:sz w:val="24"/>
          <w:szCs w:val="24"/>
        </w:rPr>
        <w:tab/>
        <w:t>F</w:t>
      </w:r>
      <w:r w:rsidRPr="00B8691E">
        <w:rPr>
          <w:bCs/>
          <w:sz w:val="24"/>
          <w:szCs w:val="24"/>
        </w:rPr>
        <w:t>iduciary Acknowledgment</w:t>
      </w:r>
    </w:p>
    <w:p w:rsidR="00D959B1" w:rsidRPr="00B8691E" w:rsidRDefault="00D959B1" w:rsidP="00D959B1">
      <w:pPr>
        <w:rPr>
          <w:bCs/>
          <w:sz w:val="24"/>
          <w:szCs w:val="24"/>
        </w:rPr>
      </w:pPr>
    </w:p>
    <w:p w:rsidR="00D959B1" w:rsidRPr="007D5072" w:rsidRDefault="00D959B1" w:rsidP="00D959B1">
      <w:pPr>
        <w:tabs>
          <w:tab w:val="left" w:pos="720"/>
        </w:tabs>
        <w:ind w:left="720" w:hanging="720"/>
        <w:rPr>
          <w:sz w:val="24"/>
          <w:szCs w:val="24"/>
        </w:rPr>
      </w:pPr>
      <w:r>
        <w:rPr>
          <w:b/>
          <w:bCs/>
          <w:sz w:val="24"/>
          <w:szCs w:val="24"/>
        </w:rPr>
        <w:tab/>
      </w:r>
      <w:r w:rsidR="00ED0541" w:rsidRPr="007D5072">
        <w:rPr>
          <w:bCs/>
          <w:sz w:val="24"/>
          <w:szCs w:val="24"/>
        </w:rPr>
        <w:t xml:space="preserve">The </w:t>
      </w:r>
      <w:r w:rsidR="00ED0541">
        <w:rPr>
          <w:bCs/>
          <w:sz w:val="24"/>
          <w:szCs w:val="24"/>
        </w:rPr>
        <w:t>Strategy</w:t>
      </w:r>
      <w:r w:rsidR="001F4C57">
        <w:rPr>
          <w:bCs/>
          <w:sz w:val="24"/>
          <w:szCs w:val="24"/>
        </w:rPr>
        <w:t xml:space="preserve"> and </w:t>
      </w:r>
      <w:r w:rsidR="00ED0541">
        <w:rPr>
          <w:bCs/>
          <w:sz w:val="24"/>
          <w:szCs w:val="24"/>
        </w:rPr>
        <w:t>Manager</w:t>
      </w:r>
      <w:r w:rsidR="007D5072" w:rsidRPr="007D5072">
        <w:rPr>
          <w:bCs/>
          <w:sz w:val="24"/>
          <w:szCs w:val="24"/>
        </w:rPr>
        <w:t xml:space="preserve"> hereby represent and warrant to, and agree that the</w:t>
      </w:r>
      <w:r w:rsidR="001F4C57">
        <w:rPr>
          <w:bCs/>
          <w:sz w:val="24"/>
          <w:szCs w:val="24"/>
        </w:rPr>
        <w:t xml:space="preserve">y are </w:t>
      </w:r>
      <w:r w:rsidR="007D5072" w:rsidRPr="007D5072">
        <w:rPr>
          <w:bCs/>
          <w:sz w:val="24"/>
          <w:szCs w:val="24"/>
        </w:rPr>
        <w:t>fiduciar</w:t>
      </w:r>
      <w:r w:rsidR="001F4C57">
        <w:rPr>
          <w:bCs/>
          <w:sz w:val="24"/>
          <w:szCs w:val="24"/>
        </w:rPr>
        <w:t>ies</w:t>
      </w:r>
      <w:r w:rsidR="007D5072" w:rsidRPr="007D5072">
        <w:rPr>
          <w:bCs/>
          <w:sz w:val="24"/>
          <w:szCs w:val="24"/>
        </w:rPr>
        <w:t xml:space="preserve"> with respect to the </w:t>
      </w:r>
      <w:r w:rsidR="001F4C57">
        <w:rPr>
          <w:bCs/>
          <w:sz w:val="24"/>
          <w:szCs w:val="24"/>
        </w:rPr>
        <w:t>funds</w:t>
      </w:r>
      <w:r w:rsidR="007D5072" w:rsidRPr="007D5072">
        <w:rPr>
          <w:bCs/>
          <w:sz w:val="24"/>
          <w:szCs w:val="24"/>
        </w:rPr>
        <w:t xml:space="preserve"> which </w:t>
      </w:r>
      <w:r w:rsidR="001F4C57">
        <w:rPr>
          <w:bCs/>
          <w:sz w:val="24"/>
          <w:szCs w:val="24"/>
        </w:rPr>
        <w:t>are</w:t>
      </w:r>
      <w:r w:rsidR="007D5072" w:rsidRPr="007D5072">
        <w:rPr>
          <w:bCs/>
          <w:sz w:val="24"/>
          <w:szCs w:val="24"/>
        </w:rPr>
        <w:t xml:space="preserve"> invest</w:t>
      </w:r>
      <w:r w:rsidR="001F4C57">
        <w:rPr>
          <w:bCs/>
          <w:sz w:val="24"/>
          <w:szCs w:val="24"/>
        </w:rPr>
        <w:t>ed</w:t>
      </w:r>
      <w:r w:rsidR="007D5072" w:rsidRPr="007D5072">
        <w:rPr>
          <w:bCs/>
          <w:sz w:val="24"/>
          <w:szCs w:val="24"/>
        </w:rPr>
        <w:t xml:space="preserve"> on behalf of the </w:t>
      </w:r>
      <w:r w:rsidR="00ED0541">
        <w:rPr>
          <w:bCs/>
          <w:sz w:val="24"/>
          <w:szCs w:val="24"/>
        </w:rPr>
        <w:t>Investor</w:t>
      </w:r>
      <w:r w:rsidR="007D5072" w:rsidRPr="007D5072">
        <w:rPr>
          <w:bCs/>
          <w:sz w:val="24"/>
          <w:szCs w:val="24"/>
        </w:rPr>
        <w:t xml:space="preserve">, and will discharge </w:t>
      </w:r>
      <w:r w:rsidR="001F4C57">
        <w:rPr>
          <w:bCs/>
          <w:sz w:val="24"/>
          <w:szCs w:val="24"/>
        </w:rPr>
        <w:t>their</w:t>
      </w:r>
      <w:r w:rsidR="007D5072" w:rsidRPr="007D5072">
        <w:rPr>
          <w:bCs/>
          <w:sz w:val="24"/>
          <w:szCs w:val="24"/>
        </w:rPr>
        <w:t xml:space="preserve"> duties to the </w:t>
      </w:r>
      <w:r w:rsidR="00ED0541">
        <w:rPr>
          <w:bCs/>
          <w:sz w:val="24"/>
          <w:szCs w:val="24"/>
        </w:rPr>
        <w:t>Investor</w:t>
      </w:r>
      <w:r w:rsidR="007D5072" w:rsidRPr="007D5072">
        <w:rPr>
          <w:bCs/>
          <w:sz w:val="24"/>
          <w:szCs w:val="24"/>
        </w:rPr>
        <w:t>, with the care, skill, prudence and diligence under the circumstances then prevailing that a prudent person acting in a like capacity and familiar with such matters would use in the conduct of an enterprise of a like character and with like aims and investment policies</w:t>
      </w:r>
      <w:r w:rsidR="007D5072">
        <w:rPr>
          <w:bCs/>
          <w:sz w:val="24"/>
          <w:szCs w:val="24"/>
        </w:rPr>
        <w:t>.</w:t>
      </w:r>
    </w:p>
    <w:p w:rsidR="00D959B1" w:rsidRPr="007D5072" w:rsidRDefault="00D959B1" w:rsidP="00D959B1">
      <w:pPr>
        <w:rPr>
          <w:sz w:val="24"/>
          <w:szCs w:val="24"/>
        </w:rPr>
      </w:pPr>
    </w:p>
    <w:p w:rsidR="00D959B1" w:rsidRDefault="00D959B1" w:rsidP="00D959B1">
      <w:pPr>
        <w:rPr>
          <w:b/>
          <w:bCs/>
          <w:sz w:val="24"/>
          <w:szCs w:val="24"/>
        </w:rPr>
      </w:pPr>
      <w:r>
        <w:rPr>
          <w:sz w:val="24"/>
          <w:szCs w:val="24"/>
        </w:rPr>
        <w:t>4.</w:t>
      </w:r>
      <w:r>
        <w:rPr>
          <w:sz w:val="24"/>
          <w:szCs w:val="24"/>
        </w:rPr>
        <w:tab/>
      </w:r>
      <w:r w:rsidRPr="00B8691E">
        <w:rPr>
          <w:bCs/>
          <w:sz w:val="24"/>
          <w:szCs w:val="24"/>
        </w:rPr>
        <w:t>Indemnification</w:t>
      </w:r>
    </w:p>
    <w:p w:rsidR="00D959B1" w:rsidRDefault="00D959B1" w:rsidP="00D959B1">
      <w:pPr>
        <w:rPr>
          <w:b/>
          <w:bCs/>
          <w:sz w:val="24"/>
          <w:szCs w:val="24"/>
        </w:rPr>
      </w:pPr>
    </w:p>
    <w:p w:rsidR="00B8691E" w:rsidRDefault="002A7D54" w:rsidP="00D959B1">
      <w:pPr>
        <w:ind w:left="720"/>
        <w:rPr>
          <w:sz w:val="24"/>
          <w:szCs w:val="24"/>
        </w:rPr>
      </w:pPr>
      <w:r>
        <w:rPr>
          <w:bCs/>
          <w:sz w:val="24"/>
          <w:szCs w:val="24"/>
        </w:rPr>
        <w:t>The</w:t>
      </w:r>
      <w:r w:rsidR="001F4C57">
        <w:rPr>
          <w:bCs/>
          <w:sz w:val="24"/>
          <w:szCs w:val="24"/>
        </w:rPr>
        <w:t xml:space="preserve"> </w:t>
      </w:r>
      <w:r w:rsidR="00ED0541">
        <w:rPr>
          <w:bCs/>
          <w:sz w:val="24"/>
          <w:szCs w:val="24"/>
        </w:rPr>
        <w:t>Strategy</w:t>
      </w:r>
      <w:r w:rsidR="001F4C57">
        <w:rPr>
          <w:bCs/>
          <w:sz w:val="24"/>
          <w:szCs w:val="24"/>
        </w:rPr>
        <w:t xml:space="preserve"> and </w:t>
      </w:r>
      <w:r w:rsidR="00ED0541">
        <w:rPr>
          <w:bCs/>
          <w:sz w:val="24"/>
          <w:szCs w:val="24"/>
        </w:rPr>
        <w:t>Manager</w:t>
      </w:r>
      <w:r w:rsidR="001F4C57">
        <w:rPr>
          <w:bCs/>
          <w:sz w:val="24"/>
          <w:szCs w:val="24"/>
        </w:rPr>
        <w:t xml:space="preserve"> </w:t>
      </w:r>
      <w:r w:rsidR="00D3047F">
        <w:rPr>
          <w:bCs/>
          <w:sz w:val="24"/>
          <w:szCs w:val="24"/>
        </w:rPr>
        <w:t xml:space="preserve">acknowledge that </w:t>
      </w:r>
      <w:smartTag w:uri="urn:schemas-microsoft-com:office:smarttags" w:element="place">
        <w:smartTag w:uri="urn:schemas-microsoft-com:office:smarttags" w:element="State">
          <w:r w:rsidR="00D959B1">
            <w:rPr>
              <w:sz w:val="24"/>
              <w:szCs w:val="24"/>
            </w:rPr>
            <w:t>Massachusetts</w:t>
          </w:r>
        </w:smartTag>
      </w:smartTag>
      <w:r w:rsidR="00D959B1">
        <w:rPr>
          <w:sz w:val="24"/>
          <w:szCs w:val="24"/>
        </w:rPr>
        <w:t xml:space="preserve"> law prohibits the </w:t>
      </w:r>
      <w:r w:rsidR="00ED0541">
        <w:rPr>
          <w:sz w:val="24"/>
          <w:szCs w:val="24"/>
        </w:rPr>
        <w:t>Investor</w:t>
      </w:r>
      <w:r>
        <w:rPr>
          <w:sz w:val="24"/>
          <w:szCs w:val="24"/>
        </w:rPr>
        <w:t xml:space="preserve"> </w:t>
      </w:r>
      <w:r w:rsidR="00D959B1">
        <w:rPr>
          <w:sz w:val="24"/>
          <w:szCs w:val="24"/>
        </w:rPr>
        <w:t>from</w:t>
      </w:r>
      <w:r w:rsidR="00B8691E">
        <w:rPr>
          <w:sz w:val="24"/>
          <w:szCs w:val="24"/>
        </w:rPr>
        <w:t xml:space="preserve"> </w:t>
      </w:r>
      <w:r w:rsidR="001F4C57">
        <w:rPr>
          <w:sz w:val="24"/>
          <w:szCs w:val="24"/>
        </w:rPr>
        <w:t xml:space="preserve">indemnifying the </w:t>
      </w:r>
      <w:r w:rsidR="00ED0541">
        <w:rPr>
          <w:sz w:val="24"/>
          <w:szCs w:val="24"/>
        </w:rPr>
        <w:t>Strategy</w:t>
      </w:r>
      <w:r w:rsidR="001F4C57">
        <w:rPr>
          <w:sz w:val="24"/>
          <w:szCs w:val="24"/>
        </w:rPr>
        <w:t xml:space="preserve"> or </w:t>
      </w:r>
      <w:r w:rsidR="00ED0541">
        <w:rPr>
          <w:sz w:val="24"/>
          <w:szCs w:val="24"/>
        </w:rPr>
        <w:t>Manager</w:t>
      </w:r>
      <w:r>
        <w:rPr>
          <w:sz w:val="24"/>
          <w:szCs w:val="24"/>
        </w:rPr>
        <w:t xml:space="preserve"> </w:t>
      </w:r>
      <w:r w:rsidR="00D3047F">
        <w:rPr>
          <w:sz w:val="24"/>
          <w:szCs w:val="24"/>
        </w:rPr>
        <w:t>under any circumstan</w:t>
      </w:r>
      <w:r w:rsidR="0065367D">
        <w:rPr>
          <w:sz w:val="24"/>
          <w:szCs w:val="24"/>
        </w:rPr>
        <w:t xml:space="preserve">ces.  Notwithstanding, in the context of </w:t>
      </w:r>
      <w:r w:rsidR="00ED0541">
        <w:rPr>
          <w:sz w:val="24"/>
          <w:szCs w:val="24"/>
        </w:rPr>
        <w:t>an</w:t>
      </w:r>
      <w:r w:rsidR="0065367D">
        <w:rPr>
          <w:sz w:val="24"/>
          <w:szCs w:val="24"/>
        </w:rPr>
        <w:t xml:space="preserve"> </w:t>
      </w:r>
      <w:r w:rsidR="00ED0541">
        <w:rPr>
          <w:sz w:val="24"/>
          <w:szCs w:val="24"/>
        </w:rPr>
        <w:t>Investor</w:t>
      </w:r>
      <w:r w:rsidR="0065367D">
        <w:rPr>
          <w:sz w:val="24"/>
          <w:szCs w:val="24"/>
        </w:rPr>
        <w:t xml:space="preserve">ship, PERAC has </w:t>
      </w:r>
      <w:r w:rsidR="001F0D8E">
        <w:rPr>
          <w:sz w:val="24"/>
          <w:szCs w:val="24"/>
        </w:rPr>
        <w:t>allowed modification of the prohibition.  Accordingly,</w:t>
      </w:r>
      <w:r w:rsidR="0065367D" w:rsidRPr="0065367D">
        <w:rPr>
          <w:sz w:val="24"/>
          <w:szCs w:val="24"/>
        </w:rPr>
        <w:t xml:space="preserve"> the </w:t>
      </w:r>
      <w:r w:rsidR="00ED0541">
        <w:rPr>
          <w:sz w:val="24"/>
          <w:szCs w:val="24"/>
        </w:rPr>
        <w:t>Investor</w:t>
      </w:r>
      <w:r w:rsidR="0065367D" w:rsidRPr="0065367D">
        <w:rPr>
          <w:sz w:val="24"/>
          <w:szCs w:val="24"/>
        </w:rPr>
        <w:t xml:space="preserve"> hereby agrees to indemnify, to the fullest extent permitted by law, the</w:t>
      </w:r>
      <w:r w:rsidR="001F0D8E">
        <w:rPr>
          <w:sz w:val="24"/>
          <w:szCs w:val="24"/>
        </w:rPr>
        <w:t xml:space="preserve"> </w:t>
      </w:r>
      <w:r w:rsidR="00ED0541">
        <w:rPr>
          <w:sz w:val="24"/>
          <w:szCs w:val="24"/>
        </w:rPr>
        <w:t>Strategy</w:t>
      </w:r>
      <w:r w:rsidR="001F0D8E">
        <w:rPr>
          <w:sz w:val="24"/>
          <w:szCs w:val="24"/>
        </w:rPr>
        <w:t xml:space="preserve"> and </w:t>
      </w:r>
      <w:r w:rsidR="00ED0541">
        <w:rPr>
          <w:sz w:val="24"/>
          <w:szCs w:val="24"/>
        </w:rPr>
        <w:t>Manager</w:t>
      </w:r>
      <w:r w:rsidR="0065367D" w:rsidRPr="0065367D">
        <w:rPr>
          <w:sz w:val="24"/>
          <w:szCs w:val="24"/>
        </w:rPr>
        <w:t xml:space="preserve">, within the meaning of Section 15 of the Securities Act of 1933, as amended, against any and all losses, claims, damages expenses and liabilities, including, but not limited to, any reasonable investigation, or reasonable legal or other reasonable expenses incurred in connection with (i) any false representation or warranty made by the </w:t>
      </w:r>
      <w:r w:rsidR="00ED0541">
        <w:rPr>
          <w:sz w:val="24"/>
          <w:szCs w:val="24"/>
        </w:rPr>
        <w:t>Investor</w:t>
      </w:r>
      <w:r w:rsidR="0065367D" w:rsidRPr="0065367D">
        <w:rPr>
          <w:sz w:val="24"/>
          <w:szCs w:val="24"/>
        </w:rPr>
        <w:t xml:space="preserve">, or breach or failure by the </w:t>
      </w:r>
      <w:r w:rsidR="00ED0541">
        <w:rPr>
          <w:sz w:val="24"/>
          <w:szCs w:val="24"/>
        </w:rPr>
        <w:t>Investor</w:t>
      </w:r>
      <w:r w:rsidR="0065367D" w:rsidRPr="0065367D">
        <w:rPr>
          <w:sz w:val="24"/>
          <w:szCs w:val="24"/>
        </w:rPr>
        <w:t xml:space="preserve"> to comply with any covenant or agreement made by the </w:t>
      </w:r>
      <w:r w:rsidR="00ED0541">
        <w:rPr>
          <w:sz w:val="24"/>
          <w:szCs w:val="24"/>
        </w:rPr>
        <w:t>Investor</w:t>
      </w:r>
      <w:r w:rsidR="0065367D" w:rsidRPr="0065367D">
        <w:rPr>
          <w:sz w:val="24"/>
          <w:szCs w:val="24"/>
        </w:rPr>
        <w:t xml:space="preserve">, in the LLC documents or in any other document furnished by the </w:t>
      </w:r>
      <w:r w:rsidR="00ED0541">
        <w:rPr>
          <w:sz w:val="24"/>
          <w:szCs w:val="24"/>
        </w:rPr>
        <w:t>Investor</w:t>
      </w:r>
      <w:r w:rsidR="0065367D" w:rsidRPr="0065367D">
        <w:rPr>
          <w:sz w:val="24"/>
          <w:szCs w:val="24"/>
        </w:rPr>
        <w:t xml:space="preserve"> to any of the foregoing in connection with this transaction or (ii) any action for securities law violations instituted by the </w:t>
      </w:r>
      <w:r w:rsidR="00ED0541">
        <w:rPr>
          <w:sz w:val="24"/>
          <w:szCs w:val="24"/>
        </w:rPr>
        <w:t>Investor</w:t>
      </w:r>
      <w:r w:rsidR="0065367D" w:rsidRPr="0065367D">
        <w:rPr>
          <w:sz w:val="24"/>
          <w:szCs w:val="24"/>
        </w:rPr>
        <w:t xml:space="preserve"> which is finally resolved by judgment against the </w:t>
      </w:r>
      <w:r w:rsidR="00ED0541">
        <w:rPr>
          <w:sz w:val="24"/>
          <w:szCs w:val="24"/>
        </w:rPr>
        <w:t>Investor</w:t>
      </w:r>
      <w:r w:rsidR="0065367D" w:rsidRPr="0065367D">
        <w:rPr>
          <w:sz w:val="24"/>
          <w:szCs w:val="24"/>
        </w:rPr>
        <w:t xml:space="preserve">.  The </w:t>
      </w:r>
      <w:r w:rsidR="00ED0541">
        <w:rPr>
          <w:sz w:val="24"/>
          <w:szCs w:val="24"/>
        </w:rPr>
        <w:t>Investor</w:t>
      </w:r>
      <w:r w:rsidR="0065367D" w:rsidRPr="0065367D">
        <w:rPr>
          <w:sz w:val="24"/>
          <w:szCs w:val="24"/>
        </w:rPr>
        <w:t xml:space="preserve"> also agrees to indemnify the </w:t>
      </w:r>
      <w:r w:rsidR="0065367D" w:rsidRPr="0065367D">
        <w:rPr>
          <w:sz w:val="24"/>
          <w:szCs w:val="24"/>
        </w:rPr>
        <w:lastRenderedPageBreak/>
        <w:t xml:space="preserve">LLC, to the fullest extent permitted by law for any and all costs, fees, and expenses resulting from the </w:t>
      </w:r>
      <w:r w:rsidR="00ED0541">
        <w:rPr>
          <w:sz w:val="24"/>
          <w:szCs w:val="24"/>
        </w:rPr>
        <w:t>Investor</w:t>
      </w:r>
      <w:r w:rsidR="0065367D" w:rsidRPr="0065367D">
        <w:rPr>
          <w:sz w:val="24"/>
          <w:szCs w:val="24"/>
        </w:rPr>
        <w:t xml:space="preserve">’s assertion of lack of proper authorization to enter into this Agreement or perform the obligations hereof because such </w:t>
      </w:r>
      <w:r w:rsidR="00ED0541">
        <w:rPr>
          <w:sz w:val="24"/>
          <w:szCs w:val="24"/>
        </w:rPr>
        <w:t>Investor</w:t>
      </w:r>
      <w:r w:rsidR="0065367D" w:rsidRPr="0065367D">
        <w:rPr>
          <w:sz w:val="24"/>
          <w:szCs w:val="24"/>
        </w:rPr>
        <w:t xml:space="preserve"> is acting as agent, representati</w:t>
      </w:r>
      <w:r w:rsidR="00711E8C">
        <w:rPr>
          <w:sz w:val="24"/>
          <w:szCs w:val="24"/>
        </w:rPr>
        <w:t>ve or nominee for a subscriber.</w:t>
      </w:r>
    </w:p>
    <w:p w:rsidR="000F3754" w:rsidRDefault="000F3754" w:rsidP="00D959B1">
      <w:pPr>
        <w:ind w:left="720"/>
        <w:rPr>
          <w:sz w:val="24"/>
          <w:szCs w:val="24"/>
        </w:rPr>
      </w:pPr>
    </w:p>
    <w:p w:rsidR="00BA1545" w:rsidRDefault="0048328C" w:rsidP="00BA1545">
      <w:pPr>
        <w:rPr>
          <w:b/>
          <w:sz w:val="24"/>
          <w:szCs w:val="24"/>
        </w:rPr>
      </w:pPr>
      <w:r w:rsidRPr="0048328C">
        <w:rPr>
          <w:sz w:val="24"/>
          <w:szCs w:val="24"/>
        </w:rPr>
        <w:t>5.</w:t>
      </w:r>
      <w:r w:rsidRPr="0048328C">
        <w:rPr>
          <w:sz w:val="24"/>
          <w:szCs w:val="24"/>
        </w:rPr>
        <w:tab/>
      </w:r>
      <w:r w:rsidRPr="00B8691E">
        <w:rPr>
          <w:sz w:val="24"/>
          <w:szCs w:val="24"/>
        </w:rPr>
        <w:t>Regulatory Compliance</w:t>
      </w:r>
    </w:p>
    <w:p w:rsidR="00BA1545" w:rsidRDefault="00BA1545" w:rsidP="00BA1545">
      <w:pPr>
        <w:rPr>
          <w:b/>
          <w:sz w:val="24"/>
          <w:szCs w:val="24"/>
        </w:rPr>
      </w:pPr>
    </w:p>
    <w:p w:rsidR="00204090" w:rsidRPr="00BA1545" w:rsidRDefault="00BA1545" w:rsidP="00BA1545">
      <w:pPr>
        <w:rPr>
          <w:b/>
          <w:sz w:val="24"/>
          <w:szCs w:val="24"/>
        </w:rPr>
      </w:pPr>
      <w:r>
        <w:rPr>
          <w:sz w:val="24"/>
          <w:szCs w:val="24"/>
        </w:rPr>
        <w:tab/>
      </w:r>
      <w:r w:rsidR="00204090">
        <w:rPr>
          <w:sz w:val="24"/>
          <w:szCs w:val="24"/>
        </w:rPr>
        <w:t>(a)</w:t>
      </w:r>
      <w:r w:rsidR="00204090">
        <w:rPr>
          <w:sz w:val="24"/>
          <w:szCs w:val="24"/>
        </w:rPr>
        <w:tab/>
      </w:r>
      <w:r w:rsidR="0048328C">
        <w:rPr>
          <w:sz w:val="24"/>
          <w:szCs w:val="24"/>
        </w:rPr>
        <w:t xml:space="preserve">The </w:t>
      </w:r>
      <w:r w:rsidR="00ED0541">
        <w:rPr>
          <w:sz w:val="24"/>
          <w:szCs w:val="24"/>
        </w:rPr>
        <w:t>Strategy</w:t>
      </w:r>
      <w:r w:rsidR="00065DD4">
        <w:rPr>
          <w:sz w:val="24"/>
          <w:szCs w:val="24"/>
        </w:rPr>
        <w:t xml:space="preserve"> and </w:t>
      </w:r>
      <w:r w:rsidR="00ED0541">
        <w:rPr>
          <w:sz w:val="24"/>
          <w:szCs w:val="24"/>
        </w:rPr>
        <w:t>Manager</w:t>
      </w:r>
      <w:r w:rsidR="0048328C">
        <w:rPr>
          <w:sz w:val="24"/>
          <w:szCs w:val="24"/>
        </w:rPr>
        <w:t xml:space="preserve"> agree to</w:t>
      </w:r>
      <w:r w:rsidR="0048328C" w:rsidRPr="0048328C">
        <w:rPr>
          <w:sz w:val="24"/>
          <w:szCs w:val="24"/>
        </w:rPr>
        <w:t xml:space="preserve"> annually inform </w:t>
      </w:r>
      <w:r w:rsidR="0048328C">
        <w:rPr>
          <w:sz w:val="24"/>
          <w:szCs w:val="24"/>
        </w:rPr>
        <w:t xml:space="preserve">the </w:t>
      </w:r>
      <w:r w:rsidR="00ED0541">
        <w:rPr>
          <w:sz w:val="24"/>
          <w:szCs w:val="24"/>
        </w:rPr>
        <w:t>Investor</w:t>
      </w:r>
      <w:r w:rsidR="0048328C">
        <w:rPr>
          <w:sz w:val="24"/>
          <w:szCs w:val="24"/>
        </w:rPr>
        <w:t xml:space="preserve"> </w:t>
      </w:r>
      <w:r w:rsidR="002000E6">
        <w:rPr>
          <w:sz w:val="24"/>
          <w:szCs w:val="24"/>
        </w:rPr>
        <w:tab/>
      </w:r>
      <w:r w:rsidR="002000E6">
        <w:rPr>
          <w:sz w:val="24"/>
          <w:szCs w:val="24"/>
        </w:rPr>
        <w:tab/>
      </w:r>
      <w:r w:rsidR="002000E6">
        <w:rPr>
          <w:sz w:val="24"/>
          <w:szCs w:val="24"/>
        </w:rPr>
        <w:tab/>
      </w:r>
      <w:r w:rsidR="0048328C">
        <w:rPr>
          <w:sz w:val="24"/>
          <w:szCs w:val="24"/>
        </w:rPr>
        <w:t xml:space="preserve">and PERAC </w:t>
      </w:r>
      <w:r w:rsidR="0048328C" w:rsidRPr="0048328C">
        <w:rPr>
          <w:sz w:val="24"/>
          <w:szCs w:val="24"/>
        </w:rPr>
        <w:t>of any arrangements</w:t>
      </w:r>
      <w:r w:rsidR="00204090">
        <w:rPr>
          <w:sz w:val="24"/>
          <w:szCs w:val="24"/>
        </w:rPr>
        <w:t>,</w:t>
      </w:r>
      <w:r w:rsidR="0048328C" w:rsidRPr="0048328C">
        <w:rPr>
          <w:sz w:val="24"/>
          <w:szCs w:val="24"/>
        </w:rPr>
        <w:t xml:space="preserve"> oral</w:t>
      </w:r>
      <w:r>
        <w:rPr>
          <w:sz w:val="24"/>
          <w:szCs w:val="24"/>
        </w:rPr>
        <w:t xml:space="preserve"> </w:t>
      </w:r>
      <w:r w:rsidR="0048328C" w:rsidRPr="0048328C">
        <w:rPr>
          <w:sz w:val="24"/>
          <w:szCs w:val="24"/>
        </w:rPr>
        <w:t>or in writing, for</w:t>
      </w:r>
      <w:r w:rsidR="002000E6">
        <w:rPr>
          <w:sz w:val="24"/>
          <w:szCs w:val="24"/>
        </w:rPr>
        <w:t xml:space="preserve"> </w:t>
      </w:r>
      <w:r w:rsidR="0048328C" w:rsidRPr="0048328C">
        <w:rPr>
          <w:sz w:val="24"/>
          <w:szCs w:val="24"/>
        </w:rPr>
        <w:t xml:space="preserve">compensation or other </w:t>
      </w:r>
      <w:r w:rsidR="002000E6">
        <w:rPr>
          <w:sz w:val="24"/>
          <w:szCs w:val="24"/>
        </w:rPr>
        <w:tab/>
      </w:r>
      <w:r w:rsidR="002000E6">
        <w:rPr>
          <w:sz w:val="24"/>
          <w:szCs w:val="24"/>
        </w:rPr>
        <w:tab/>
      </w:r>
      <w:r w:rsidR="002000E6">
        <w:rPr>
          <w:sz w:val="24"/>
          <w:szCs w:val="24"/>
        </w:rPr>
        <w:tab/>
      </w:r>
      <w:r w:rsidR="0048328C" w:rsidRPr="0048328C">
        <w:rPr>
          <w:sz w:val="24"/>
          <w:szCs w:val="24"/>
        </w:rPr>
        <w:t xml:space="preserve">benefit received or expected to be received by the </w:t>
      </w:r>
      <w:r w:rsidR="00ED0541">
        <w:rPr>
          <w:sz w:val="24"/>
          <w:szCs w:val="24"/>
        </w:rPr>
        <w:t>Strategy</w:t>
      </w:r>
      <w:r w:rsidR="00065DD4" w:rsidRPr="00065DD4">
        <w:rPr>
          <w:sz w:val="24"/>
          <w:szCs w:val="24"/>
        </w:rPr>
        <w:t xml:space="preserve"> and General </w:t>
      </w:r>
      <w:r w:rsidR="002000E6">
        <w:rPr>
          <w:sz w:val="24"/>
          <w:szCs w:val="24"/>
        </w:rPr>
        <w:tab/>
      </w:r>
      <w:r w:rsidR="002000E6">
        <w:rPr>
          <w:sz w:val="24"/>
          <w:szCs w:val="24"/>
        </w:rPr>
        <w:tab/>
      </w:r>
      <w:r w:rsidR="002000E6">
        <w:rPr>
          <w:sz w:val="24"/>
          <w:szCs w:val="24"/>
        </w:rPr>
        <w:tab/>
      </w:r>
      <w:r w:rsidR="00065DD4" w:rsidRPr="00065DD4">
        <w:rPr>
          <w:sz w:val="24"/>
          <w:szCs w:val="24"/>
        </w:rPr>
        <w:t>Partner</w:t>
      </w:r>
      <w:r w:rsidR="00065DD4">
        <w:rPr>
          <w:sz w:val="24"/>
          <w:szCs w:val="24"/>
        </w:rPr>
        <w:t>,</w:t>
      </w:r>
      <w:r w:rsidR="00204090">
        <w:rPr>
          <w:sz w:val="24"/>
          <w:szCs w:val="24"/>
        </w:rPr>
        <w:t xml:space="preserve"> </w:t>
      </w:r>
      <w:r w:rsidR="0048328C" w:rsidRPr="0048328C">
        <w:rPr>
          <w:sz w:val="24"/>
          <w:szCs w:val="24"/>
        </w:rPr>
        <w:t>or a related person</w:t>
      </w:r>
      <w:r w:rsidR="00065DD4">
        <w:rPr>
          <w:sz w:val="24"/>
          <w:szCs w:val="24"/>
        </w:rPr>
        <w:t>,</w:t>
      </w:r>
      <w:r w:rsidR="0048328C" w:rsidRPr="0048328C">
        <w:rPr>
          <w:sz w:val="24"/>
          <w:szCs w:val="24"/>
        </w:rPr>
        <w:t xml:space="preserve"> from others in connection</w:t>
      </w:r>
      <w:r>
        <w:rPr>
          <w:sz w:val="24"/>
          <w:szCs w:val="24"/>
        </w:rPr>
        <w:t xml:space="preserve"> </w:t>
      </w:r>
      <w:r w:rsidR="0048328C" w:rsidRPr="0048328C">
        <w:rPr>
          <w:sz w:val="24"/>
          <w:szCs w:val="24"/>
        </w:rPr>
        <w:t>with the</w:t>
      </w:r>
      <w:r w:rsidR="002B0F81" w:rsidRPr="002B0F81">
        <w:rPr>
          <w:sz w:val="24"/>
          <w:szCs w:val="24"/>
        </w:rPr>
        <w:t xml:space="preserve"> </w:t>
      </w:r>
      <w:r w:rsidR="00ED0541">
        <w:rPr>
          <w:sz w:val="24"/>
          <w:szCs w:val="24"/>
        </w:rPr>
        <w:t>Strategy</w:t>
      </w:r>
      <w:r w:rsidR="002B0F81" w:rsidRPr="002B0F81">
        <w:rPr>
          <w:sz w:val="24"/>
          <w:szCs w:val="24"/>
        </w:rPr>
        <w:t xml:space="preserve"> and </w:t>
      </w:r>
      <w:r w:rsidR="002000E6">
        <w:rPr>
          <w:sz w:val="24"/>
          <w:szCs w:val="24"/>
        </w:rPr>
        <w:tab/>
      </w:r>
      <w:r w:rsidR="002000E6">
        <w:rPr>
          <w:sz w:val="24"/>
          <w:szCs w:val="24"/>
        </w:rPr>
        <w:tab/>
      </w:r>
      <w:r w:rsidR="002000E6">
        <w:rPr>
          <w:sz w:val="24"/>
          <w:szCs w:val="24"/>
        </w:rPr>
        <w:tab/>
      </w:r>
      <w:r w:rsidR="00ED0541">
        <w:rPr>
          <w:sz w:val="24"/>
          <w:szCs w:val="24"/>
        </w:rPr>
        <w:t>Manager</w:t>
      </w:r>
      <w:r w:rsidR="002000E6">
        <w:rPr>
          <w:sz w:val="24"/>
          <w:szCs w:val="24"/>
        </w:rPr>
        <w:t>’</w:t>
      </w:r>
      <w:r w:rsidR="002B0F81" w:rsidRPr="002B0F81">
        <w:rPr>
          <w:sz w:val="24"/>
          <w:szCs w:val="24"/>
        </w:rPr>
        <w:t>s</w:t>
      </w:r>
      <w:r w:rsidR="0048328C" w:rsidRPr="0048328C">
        <w:rPr>
          <w:sz w:val="24"/>
          <w:szCs w:val="24"/>
        </w:rPr>
        <w:t xml:space="preserve"> services to the</w:t>
      </w:r>
      <w:r w:rsidR="002000E6">
        <w:rPr>
          <w:sz w:val="24"/>
          <w:szCs w:val="24"/>
        </w:rPr>
        <w:t xml:space="preserve"> </w:t>
      </w:r>
      <w:r w:rsidR="00ED0541">
        <w:rPr>
          <w:sz w:val="24"/>
          <w:szCs w:val="24"/>
        </w:rPr>
        <w:t>Investor</w:t>
      </w:r>
      <w:r w:rsidR="00204090">
        <w:rPr>
          <w:sz w:val="24"/>
          <w:szCs w:val="24"/>
        </w:rPr>
        <w:t xml:space="preserve"> </w:t>
      </w:r>
      <w:r w:rsidR="0048328C" w:rsidRPr="0048328C">
        <w:rPr>
          <w:sz w:val="24"/>
          <w:szCs w:val="24"/>
        </w:rPr>
        <w:t>or any other</w:t>
      </w:r>
      <w:r w:rsidR="002B0F81">
        <w:rPr>
          <w:sz w:val="24"/>
          <w:szCs w:val="24"/>
        </w:rPr>
        <w:t xml:space="preserve"> </w:t>
      </w:r>
      <w:r w:rsidR="00ED0541">
        <w:rPr>
          <w:sz w:val="24"/>
          <w:szCs w:val="24"/>
        </w:rPr>
        <w:t>Investor</w:t>
      </w:r>
      <w:r w:rsidR="00366DDF">
        <w:rPr>
          <w:sz w:val="24"/>
          <w:szCs w:val="24"/>
        </w:rPr>
        <w:t xml:space="preserve"> </w:t>
      </w:r>
      <w:r w:rsidR="006507E2">
        <w:rPr>
          <w:sz w:val="24"/>
          <w:szCs w:val="24"/>
        </w:rPr>
        <w:t>investing</w:t>
      </w:r>
      <w:r w:rsidR="00065DD4">
        <w:rPr>
          <w:sz w:val="24"/>
          <w:szCs w:val="24"/>
        </w:rPr>
        <w:t xml:space="preserve"> </w:t>
      </w:r>
      <w:r w:rsidR="006507E2">
        <w:rPr>
          <w:sz w:val="24"/>
          <w:szCs w:val="24"/>
        </w:rPr>
        <w:t xml:space="preserve">in </w:t>
      </w:r>
      <w:r w:rsidR="000453F3">
        <w:rPr>
          <w:sz w:val="24"/>
          <w:szCs w:val="24"/>
        </w:rPr>
        <w:t xml:space="preserve">the </w:t>
      </w:r>
      <w:r w:rsidR="00ED0541">
        <w:rPr>
          <w:sz w:val="24"/>
          <w:szCs w:val="24"/>
        </w:rPr>
        <w:t>Strategy</w:t>
      </w:r>
      <w:r w:rsidR="00830210">
        <w:rPr>
          <w:bCs/>
          <w:sz w:val="24"/>
          <w:szCs w:val="24"/>
        </w:rPr>
        <w:t>.</w:t>
      </w:r>
      <w:r w:rsidR="00830210" w:rsidRPr="00830210">
        <w:rPr>
          <w:sz w:val="24"/>
          <w:szCs w:val="24"/>
        </w:rPr>
        <w:t xml:space="preserve"> </w:t>
      </w:r>
    </w:p>
    <w:p w:rsidR="00204090" w:rsidRDefault="00204090" w:rsidP="0048328C">
      <w:pPr>
        <w:ind w:left="720"/>
        <w:rPr>
          <w:sz w:val="24"/>
          <w:szCs w:val="24"/>
        </w:rPr>
      </w:pPr>
    </w:p>
    <w:p w:rsidR="00204090" w:rsidRDefault="0048328C" w:rsidP="0048328C">
      <w:pPr>
        <w:ind w:left="720"/>
        <w:rPr>
          <w:sz w:val="24"/>
          <w:szCs w:val="24"/>
        </w:rPr>
      </w:pPr>
      <w:r w:rsidRPr="0048328C">
        <w:rPr>
          <w:sz w:val="24"/>
          <w:szCs w:val="24"/>
        </w:rPr>
        <w:t>(</w:t>
      </w:r>
      <w:r w:rsidR="00204090">
        <w:rPr>
          <w:sz w:val="24"/>
          <w:szCs w:val="24"/>
        </w:rPr>
        <w:t>b</w:t>
      </w:r>
      <w:r w:rsidRPr="0048328C">
        <w:rPr>
          <w:sz w:val="24"/>
          <w:szCs w:val="24"/>
        </w:rPr>
        <w:t xml:space="preserve">) </w:t>
      </w:r>
      <w:r w:rsidR="00204090">
        <w:rPr>
          <w:sz w:val="24"/>
          <w:szCs w:val="24"/>
        </w:rPr>
        <w:tab/>
        <w:t xml:space="preserve">The </w:t>
      </w:r>
      <w:r w:rsidR="00ED0541">
        <w:rPr>
          <w:sz w:val="24"/>
          <w:szCs w:val="24"/>
        </w:rPr>
        <w:t>Strategy</w:t>
      </w:r>
      <w:r w:rsidR="002B0F81" w:rsidRPr="002B0F81">
        <w:rPr>
          <w:sz w:val="24"/>
          <w:szCs w:val="24"/>
        </w:rPr>
        <w:t xml:space="preserve"> and </w:t>
      </w:r>
      <w:r w:rsidR="00ED0541">
        <w:rPr>
          <w:sz w:val="24"/>
          <w:szCs w:val="24"/>
        </w:rPr>
        <w:t>Manager</w:t>
      </w:r>
      <w:r w:rsidR="00204090">
        <w:rPr>
          <w:sz w:val="24"/>
          <w:szCs w:val="24"/>
        </w:rPr>
        <w:t xml:space="preserve"> agree to </w:t>
      </w:r>
      <w:r w:rsidRPr="0048328C">
        <w:rPr>
          <w:sz w:val="24"/>
          <w:szCs w:val="24"/>
        </w:rPr>
        <w:t>annually disclose to the</w:t>
      </w:r>
      <w:r w:rsidR="00204090">
        <w:rPr>
          <w:sz w:val="24"/>
          <w:szCs w:val="24"/>
        </w:rPr>
        <w:t xml:space="preserve"> </w:t>
      </w:r>
      <w:r w:rsidR="00ED0541">
        <w:rPr>
          <w:sz w:val="24"/>
          <w:szCs w:val="24"/>
        </w:rPr>
        <w:t>Investor</w:t>
      </w:r>
      <w:r w:rsidR="00204090">
        <w:rPr>
          <w:sz w:val="24"/>
          <w:szCs w:val="24"/>
        </w:rPr>
        <w:t xml:space="preserve"> and PERAC the </w:t>
      </w:r>
      <w:r w:rsidRPr="0048328C">
        <w:rPr>
          <w:sz w:val="24"/>
          <w:szCs w:val="24"/>
        </w:rPr>
        <w:t>compensation, in</w:t>
      </w:r>
      <w:r w:rsidR="00830210">
        <w:rPr>
          <w:sz w:val="24"/>
          <w:szCs w:val="24"/>
        </w:rPr>
        <w:t xml:space="preserve"> </w:t>
      </w:r>
      <w:r w:rsidRPr="0048328C">
        <w:rPr>
          <w:sz w:val="24"/>
          <w:szCs w:val="24"/>
        </w:rPr>
        <w:t>whatever form, paid or expected to be paid, directly or</w:t>
      </w:r>
      <w:r w:rsidR="002B0F81">
        <w:rPr>
          <w:sz w:val="24"/>
          <w:szCs w:val="24"/>
        </w:rPr>
        <w:t xml:space="preserve"> </w:t>
      </w:r>
      <w:r w:rsidRPr="0048328C">
        <w:rPr>
          <w:sz w:val="24"/>
          <w:szCs w:val="24"/>
        </w:rPr>
        <w:t>indirectly, by the</w:t>
      </w:r>
      <w:r w:rsidR="002B0F81">
        <w:rPr>
          <w:sz w:val="24"/>
          <w:szCs w:val="24"/>
        </w:rPr>
        <w:t xml:space="preserve"> </w:t>
      </w:r>
      <w:r w:rsidR="00ED0541">
        <w:rPr>
          <w:sz w:val="24"/>
          <w:szCs w:val="24"/>
        </w:rPr>
        <w:t>Strategy</w:t>
      </w:r>
      <w:r w:rsidR="002B0F81" w:rsidRPr="002B0F81">
        <w:rPr>
          <w:sz w:val="24"/>
          <w:szCs w:val="24"/>
        </w:rPr>
        <w:t xml:space="preserve"> and </w:t>
      </w:r>
      <w:r w:rsidR="00ED0541">
        <w:rPr>
          <w:sz w:val="24"/>
          <w:szCs w:val="24"/>
        </w:rPr>
        <w:t>Manager</w:t>
      </w:r>
      <w:r w:rsidRPr="0048328C">
        <w:rPr>
          <w:sz w:val="24"/>
          <w:szCs w:val="24"/>
        </w:rPr>
        <w:t xml:space="preserve"> or a related person to others in relation to the</w:t>
      </w:r>
      <w:r w:rsidR="002B0F81" w:rsidRPr="002B0F81">
        <w:rPr>
          <w:sz w:val="24"/>
          <w:szCs w:val="24"/>
        </w:rPr>
        <w:t xml:space="preserve"> </w:t>
      </w:r>
      <w:r w:rsidR="00ED0541">
        <w:rPr>
          <w:sz w:val="24"/>
          <w:szCs w:val="24"/>
        </w:rPr>
        <w:t>Strategy</w:t>
      </w:r>
      <w:r w:rsidR="002B0F81" w:rsidRPr="002B0F81">
        <w:rPr>
          <w:sz w:val="24"/>
          <w:szCs w:val="24"/>
        </w:rPr>
        <w:t xml:space="preserve"> and </w:t>
      </w:r>
      <w:r w:rsidR="00ED0541">
        <w:rPr>
          <w:sz w:val="24"/>
          <w:szCs w:val="24"/>
        </w:rPr>
        <w:t>Manager</w:t>
      </w:r>
      <w:r w:rsidR="00830210">
        <w:rPr>
          <w:sz w:val="24"/>
          <w:szCs w:val="24"/>
        </w:rPr>
        <w:t>’</w:t>
      </w:r>
      <w:r w:rsidR="002B0F81" w:rsidRPr="002B0F81">
        <w:rPr>
          <w:sz w:val="24"/>
          <w:szCs w:val="24"/>
        </w:rPr>
        <w:t>s</w:t>
      </w:r>
      <w:r w:rsidR="00204090">
        <w:rPr>
          <w:sz w:val="24"/>
          <w:szCs w:val="24"/>
        </w:rPr>
        <w:t xml:space="preserve"> </w:t>
      </w:r>
      <w:r w:rsidRPr="0048328C">
        <w:rPr>
          <w:sz w:val="24"/>
          <w:szCs w:val="24"/>
        </w:rPr>
        <w:t xml:space="preserve">services to the </w:t>
      </w:r>
      <w:r w:rsidR="00ED0541">
        <w:rPr>
          <w:sz w:val="24"/>
          <w:szCs w:val="24"/>
        </w:rPr>
        <w:t>Investor</w:t>
      </w:r>
      <w:r w:rsidR="00204090">
        <w:rPr>
          <w:sz w:val="24"/>
          <w:szCs w:val="24"/>
        </w:rPr>
        <w:t xml:space="preserve"> </w:t>
      </w:r>
      <w:r w:rsidRPr="0048328C">
        <w:rPr>
          <w:sz w:val="24"/>
          <w:szCs w:val="24"/>
        </w:rPr>
        <w:t xml:space="preserve">or any other </w:t>
      </w:r>
      <w:r w:rsidR="00ED0541">
        <w:rPr>
          <w:sz w:val="24"/>
          <w:szCs w:val="24"/>
        </w:rPr>
        <w:t>Investor</w:t>
      </w:r>
      <w:r w:rsidRPr="0048328C">
        <w:rPr>
          <w:sz w:val="24"/>
          <w:szCs w:val="24"/>
        </w:rPr>
        <w:t xml:space="preserve"> </w:t>
      </w:r>
      <w:r w:rsidR="006507E2" w:rsidRPr="006507E2">
        <w:rPr>
          <w:sz w:val="24"/>
          <w:szCs w:val="24"/>
        </w:rPr>
        <w:t xml:space="preserve">investing in </w:t>
      </w:r>
      <w:r w:rsidR="000453F3" w:rsidRPr="000453F3">
        <w:rPr>
          <w:sz w:val="24"/>
          <w:szCs w:val="24"/>
        </w:rPr>
        <w:t xml:space="preserve">the </w:t>
      </w:r>
      <w:r w:rsidR="00ED0541">
        <w:rPr>
          <w:sz w:val="24"/>
          <w:szCs w:val="24"/>
        </w:rPr>
        <w:t>Strategy</w:t>
      </w:r>
      <w:r w:rsidR="000453F3">
        <w:rPr>
          <w:sz w:val="24"/>
          <w:szCs w:val="24"/>
        </w:rPr>
        <w:t>.</w:t>
      </w:r>
      <w:r w:rsidR="00830210" w:rsidRPr="00830210">
        <w:rPr>
          <w:sz w:val="24"/>
          <w:szCs w:val="24"/>
        </w:rPr>
        <w:t xml:space="preserve"> </w:t>
      </w:r>
      <w:r w:rsidR="006507E2" w:rsidRPr="006507E2">
        <w:rPr>
          <w:sz w:val="24"/>
          <w:szCs w:val="24"/>
        </w:rPr>
        <w:tab/>
        <w:t xml:space="preserve"> </w:t>
      </w:r>
    </w:p>
    <w:p w:rsidR="00204090" w:rsidRDefault="00204090" w:rsidP="0048328C">
      <w:pPr>
        <w:ind w:left="720"/>
        <w:rPr>
          <w:sz w:val="24"/>
          <w:szCs w:val="24"/>
        </w:rPr>
      </w:pPr>
    </w:p>
    <w:p w:rsidR="00BA1545" w:rsidRDefault="00204090" w:rsidP="00D959B1">
      <w:pPr>
        <w:ind w:left="720"/>
        <w:rPr>
          <w:sz w:val="24"/>
          <w:szCs w:val="24"/>
          <w:u w:val="single"/>
        </w:rPr>
      </w:pPr>
      <w:r>
        <w:rPr>
          <w:sz w:val="24"/>
          <w:szCs w:val="24"/>
        </w:rPr>
        <w:t>(c)</w:t>
      </w:r>
      <w:r>
        <w:rPr>
          <w:sz w:val="24"/>
          <w:szCs w:val="24"/>
        </w:rPr>
        <w:tab/>
        <w:t xml:space="preserve">The </w:t>
      </w:r>
      <w:r w:rsidR="00ED0541">
        <w:rPr>
          <w:sz w:val="24"/>
          <w:szCs w:val="24"/>
        </w:rPr>
        <w:t>Strategy</w:t>
      </w:r>
      <w:r w:rsidR="002B0F81" w:rsidRPr="002B0F81">
        <w:rPr>
          <w:sz w:val="24"/>
          <w:szCs w:val="24"/>
        </w:rPr>
        <w:t xml:space="preserve"> and </w:t>
      </w:r>
      <w:r w:rsidR="00ED0541">
        <w:rPr>
          <w:sz w:val="24"/>
          <w:szCs w:val="24"/>
        </w:rPr>
        <w:t>Manager</w:t>
      </w:r>
      <w:r w:rsidR="002B0F81" w:rsidRPr="002B0F81">
        <w:rPr>
          <w:sz w:val="24"/>
          <w:szCs w:val="24"/>
        </w:rPr>
        <w:t xml:space="preserve"> </w:t>
      </w:r>
      <w:r>
        <w:rPr>
          <w:sz w:val="24"/>
          <w:szCs w:val="24"/>
        </w:rPr>
        <w:t xml:space="preserve">agree to </w:t>
      </w:r>
      <w:r w:rsidR="0048328C" w:rsidRPr="0048328C">
        <w:rPr>
          <w:sz w:val="24"/>
          <w:szCs w:val="24"/>
        </w:rPr>
        <w:t>annually disclose to the</w:t>
      </w:r>
      <w:r>
        <w:rPr>
          <w:sz w:val="24"/>
          <w:szCs w:val="24"/>
        </w:rPr>
        <w:t xml:space="preserve"> </w:t>
      </w:r>
      <w:r w:rsidR="00ED0541">
        <w:rPr>
          <w:sz w:val="24"/>
          <w:szCs w:val="24"/>
        </w:rPr>
        <w:t>Investor</w:t>
      </w:r>
      <w:r>
        <w:rPr>
          <w:sz w:val="24"/>
          <w:szCs w:val="24"/>
        </w:rPr>
        <w:t xml:space="preserve"> and PERAC</w:t>
      </w:r>
      <w:r w:rsidR="0048328C" w:rsidRPr="0048328C">
        <w:rPr>
          <w:sz w:val="24"/>
          <w:szCs w:val="24"/>
        </w:rPr>
        <w:t xml:space="preserve"> any conflict of</w:t>
      </w:r>
      <w:r w:rsidR="00830210">
        <w:rPr>
          <w:sz w:val="24"/>
          <w:szCs w:val="24"/>
        </w:rPr>
        <w:t xml:space="preserve"> </w:t>
      </w:r>
      <w:r w:rsidR="0048328C" w:rsidRPr="0048328C">
        <w:rPr>
          <w:sz w:val="24"/>
          <w:szCs w:val="24"/>
        </w:rPr>
        <w:t xml:space="preserve">interest </w:t>
      </w:r>
      <w:r w:rsidR="00BA1545">
        <w:rPr>
          <w:sz w:val="24"/>
          <w:szCs w:val="24"/>
        </w:rPr>
        <w:t>of the</w:t>
      </w:r>
      <w:r w:rsidR="002B0F81" w:rsidRPr="002B0F81">
        <w:rPr>
          <w:sz w:val="24"/>
          <w:szCs w:val="24"/>
        </w:rPr>
        <w:t xml:space="preserve"> </w:t>
      </w:r>
      <w:r w:rsidR="00ED0541">
        <w:rPr>
          <w:sz w:val="24"/>
          <w:szCs w:val="24"/>
        </w:rPr>
        <w:t>Strategy</w:t>
      </w:r>
      <w:r w:rsidR="00830210">
        <w:rPr>
          <w:sz w:val="24"/>
          <w:szCs w:val="24"/>
        </w:rPr>
        <w:t xml:space="preserve"> </w:t>
      </w:r>
      <w:r w:rsidR="002B0F81" w:rsidRPr="002B0F81">
        <w:rPr>
          <w:sz w:val="24"/>
          <w:szCs w:val="24"/>
        </w:rPr>
        <w:t xml:space="preserve">and </w:t>
      </w:r>
      <w:r w:rsidR="00ED0541">
        <w:rPr>
          <w:sz w:val="24"/>
          <w:szCs w:val="24"/>
        </w:rPr>
        <w:t>Manager</w:t>
      </w:r>
      <w:r w:rsidR="002B0F81" w:rsidRPr="002B0F81">
        <w:rPr>
          <w:sz w:val="24"/>
          <w:szCs w:val="24"/>
        </w:rPr>
        <w:t xml:space="preserve"> </w:t>
      </w:r>
      <w:r w:rsidR="00830210">
        <w:rPr>
          <w:sz w:val="24"/>
          <w:szCs w:val="24"/>
        </w:rPr>
        <w:tab/>
      </w:r>
      <w:r w:rsidR="0048328C" w:rsidRPr="0048328C">
        <w:rPr>
          <w:sz w:val="24"/>
          <w:szCs w:val="24"/>
        </w:rPr>
        <w:t>that could reasonably be expected to impair the</w:t>
      </w:r>
      <w:r w:rsidR="002B0F81">
        <w:rPr>
          <w:sz w:val="24"/>
          <w:szCs w:val="24"/>
        </w:rPr>
        <w:t xml:space="preserve"> </w:t>
      </w:r>
      <w:r w:rsidR="00ED0541">
        <w:rPr>
          <w:sz w:val="24"/>
          <w:szCs w:val="24"/>
        </w:rPr>
        <w:t>Strategy</w:t>
      </w:r>
      <w:r w:rsidR="002B0F81" w:rsidRPr="002B0F81">
        <w:rPr>
          <w:sz w:val="24"/>
          <w:szCs w:val="24"/>
        </w:rPr>
        <w:t xml:space="preserve"> and </w:t>
      </w:r>
      <w:r w:rsidR="00ED0541">
        <w:rPr>
          <w:sz w:val="24"/>
          <w:szCs w:val="24"/>
        </w:rPr>
        <w:t>Manager</w:t>
      </w:r>
      <w:r w:rsidR="00830210">
        <w:rPr>
          <w:sz w:val="24"/>
          <w:szCs w:val="24"/>
        </w:rPr>
        <w:t>’</w:t>
      </w:r>
      <w:r w:rsidR="002B0F81" w:rsidRPr="002B0F81">
        <w:rPr>
          <w:sz w:val="24"/>
          <w:szCs w:val="24"/>
        </w:rPr>
        <w:t>s</w:t>
      </w:r>
      <w:r w:rsidR="00ED0541">
        <w:rPr>
          <w:sz w:val="24"/>
          <w:szCs w:val="24"/>
        </w:rPr>
        <w:t xml:space="preserve"> </w:t>
      </w:r>
      <w:r w:rsidR="0048328C" w:rsidRPr="0048328C">
        <w:rPr>
          <w:sz w:val="24"/>
          <w:szCs w:val="24"/>
        </w:rPr>
        <w:t xml:space="preserve">ability to render unbiased and objective services to the </w:t>
      </w:r>
      <w:r w:rsidR="00ED0541">
        <w:rPr>
          <w:sz w:val="24"/>
          <w:szCs w:val="24"/>
        </w:rPr>
        <w:t>Investor</w:t>
      </w:r>
      <w:r w:rsidR="0048328C" w:rsidRPr="0048328C">
        <w:rPr>
          <w:sz w:val="24"/>
          <w:szCs w:val="24"/>
        </w:rPr>
        <w:t>.</w:t>
      </w:r>
    </w:p>
    <w:p w:rsidR="00BA1545" w:rsidRDefault="00BA1545" w:rsidP="00D959B1">
      <w:pPr>
        <w:ind w:left="720"/>
        <w:rPr>
          <w:sz w:val="24"/>
          <w:szCs w:val="24"/>
          <w:u w:val="single"/>
        </w:rPr>
      </w:pPr>
    </w:p>
    <w:p w:rsidR="00BA1545" w:rsidRPr="00B8691E" w:rsidRDefault="00BA1545" w:rsidP="00BA1545">
      <w:pPr>
        <w:rPr>
          <w:sz w:val="24"/>
          <w:szCs w:val="24"/>
        </w:rPr>
      </w:pPr>
      <w:r>
        <w:rPr>
          <w:sz w:val="24"/>
          <w:szCs w:val="24"/>
        </w:rPr>
        <w:t>6.</w:t>
      </w:r>
      <w:r>
        <w:rPr>
          <w:sz w:val="24"/>
          <w:szCs w:val="24"/>
        </w:rPr>
        <w:tab/>
      </w:r>
      <w:r w:rsidRPr="00B8691E">
        <w:rPr>
          <w:sz w:val="24"/>
          <w:szCs w:val="24"/>
        </w:rPr>
        <w:t>Response to Request for Proposal</w:t>
      </w:r>
    </w:p>
    <w:p w:rsidR="00BA1545" w:rsidRDefault="00BA1545" w:rsidP="00BA1545">
      <w:pPr>
        <w:rPr>
          <w:sz w:val="24"/>
          <w:szCs w:val="24"/>
        </w:rPr>
      </w:pPr>
    </w:p>
    <w:p w:rsidR="00D03014" w:rsidRDefault="00D959B1" w:rsidP="00B8691E">
      <w:pPr>
        <w:rPr>
          <w:sz w:val="24"/>
          <w:szCs w:val="24"/>
        </w:rPr>
      </w:pPr>
      <w:r>
        <w:rPr>
          <w:sz w:val="24"/>
          <w:szCs w:val="24"/>
        </w:rPr>
        <w:t xml:space="preserve">The </w:t>
      </w:r>
      <w:r w:rsidR="00ED0541">
        <w:rPr>
          <w:sz w:val="24"/>
          <w:szCs w:val="24"/>
        </w:rPr>
        <w:t>Investor</w:t>
      </w:r>
      <w:r w:rsidR="002A7D54">
        <w:rPr>
          <w:sz w:val="24"/>
          <w:szCs w:val="24"/>
        </w:rPr>
        <w:t xml:space="preserve"> </w:t>
      </w:r>
      <w:r>
        <w:rPr>
          <w:sz w:val="24"/>
          <w:szCs w:val="24"/>
        </w:rPr>
        <w:t xml:space="preserve">has elected </w:t>
      </w:r>
      <w:r w:rsidR="00D03014">
        <w:rPr>
          <w:sz w:val="24"/>
          <w:szCs w:val="24"/>
        </w:rPr>
        <w:t xml:space="preserve">to invest in </w:t>
      </w:r>
      <w:r w:rsidR="000453F3">
        <w:rPr>
          <w:sz w:val="24"/>
          <w:szCs w:val="24"/>
        </w:rPr>
        <w:t xml:space="preserve">the </w:t>
      </w:r>
      <w:r w:rsidR="00ED0541">
        <w:rPr>
          <w:sz w:val="24"/>
          <w:szCs w:val="24"/>
        </w:rPr>
        <w:t>Strategy</w:t>
      </w:r>
      <w:r w:rsidR="00830210" w:rsidRPr="00830210">
        <w:rPr>
          <w:sz w:val="24"/>
          <w:szCs w:val="24"/>
        </w:rPr>
        <w:t xml:space="preserve"> </w:t>
      </w:r>
      <w:r>
        <w:rPr>
          <w:sz w:val="24"/>
          <w:szCs w:val="24"/>
        </w:rPr>
        <w:t>as a</w:t>
      </w:r>
      <w:r w:rsidR="000453F3">
        <w:rPr>
          <w:sz w:val="24"/>
          <w:szCs w:val="24"/>
        </w:rPr>
        <w:t xml:space="preserve"> </w:t>
      </w:r>
      <w:r>
        <w:rPr>
          <w:sz w:val="24"/>
          <w:szCs w:val="24"/>
        </w:rPr>
        <w:t xml:space="preserve">result of the competitive selection process required by </w:t>
      </w:r>
      <w:r w:rsidR="002A7D54">
        <w:rPr>
          <w:sz w:val="24"/>
          <w:szCs w:val="24"/>
        </w:rPr>
        <w:t>G.L. c. 32, § 23B</w:t>
      </w:r>
      <w:r>
        <w:rPr>
          <w:sz w:val="24"/>
          <w:szCs w:val="24"/>
        </w:rPr>
        <w:t>.  The</w:t>
      </w:r>
      <w:r w:rsidR="00D03014" w:rsidRPr="00D03014">
        <w:rPr>
          <w:sz w:val="24"/>
          <w:szCs w:val="24"/>
        </w:rPr>
        <w:t xml:space="preserve"> </w:t>
      </w:r>
      <w:r w:rsidR="00ED0541">
        <w:rPr>
          <w:sz w:val="24"/>
          <w:szCs w:val="24"/>
        </w:rPr>
        <w:t>Strategy</w:t>
      </w:r>
      <w:r w:rsidR="000453F3">
        <w:rPr>
          <w:sz w:val="24"/>
          <w:szCs w:val="24"/>
        </w:rPr>
        <w:t xml:space="preserve"> </w:t>
      </w:r>
      <w:r w:rsidR="00D03014" w:rsidRPr="00D03014">
        <w:rPr>
          <w:sz w:val="24"/>
          <w:szCs w:val="24"/>
        </w:rPr>
        <w:t xml:space="preserve">and </w:t>
      </w:r>
      <w:r w:rsidR="00ED0541">
        <w:rPr>
          <w:sz w:val="24"/>
          <w:szCs w:val="24"/>
        </w:rPr>
        <w:t>Manager</w:t>
      </w:r>
      <w:r w:rsidR="00830210">
        <w:rPr>
          <w:sz w:val="24"/>
          <w:szCs w:val="24"/>
        </w:rPr>
        <w:t>’</w:t>
      </w:r>
      <w:r w:rsidR="00D03014" w:rsidRPr="00D03014">
        <w:rPr>
          <w:sz w:val="24"/>
          <w:szCs w:val="24"/>
        </w:rPr>
        <w:t xml:space="preserve">s </w:t>
      </w:r>
      <w:r>
        <w:rPr>
          <w:sz w:val="24"/>
          <w:szCs w:val="24"/>
        </w:rPr>
        <w:t xml:space="preserve">written response to the </w:t>
      </w:r>
      <w:r w:rsidR="00ED0541">
        <w:rPr>
          <w:sz w:val="24"/>
          <w:szCs w:val="24"/>
        </w:rPr>
        <w:t>Investor</w:t>
      </w:r>
      <w:r>
        <w:rPr>
          <w:sz w:val="24"/>
          <w:szCs w:val="24"/>
        </w:rPr>
        <w:t>’s Request for</w:t>
      </w:r>
      <w:r w:rsidR="00D03014">
        <w:rPr>
          <w:sz w:val="24"/>
          <w:szCs w:val="24"/>
        </w:rPr>
        <w:t xml:space="preserve"> </w:t>
      </w:r>
      <w:r>
        <w:rPr>
          <w:sz w:val="24"/>
          <w:szCs w:val="24"/>
        </w:rPr>
        <w:t>Proposal is</w:t>
      </w:r>
      <w:r w:rsidR="000453F3">
        <w:rPr>
          <w:sz w:val="24"/>
          <w:szCs w:val="24"/>
        </w:rPr>
        <w:t xml:space="preserve"> </w:t>
      </w:r>
      <w:r>
        <w:rPr>
          <w:sz w:val="24"/>
          <w:szCs w:val="24"/>
        </w:rPr>
        <w:t xml:space="preserve">incorporated into and made a part of this </w:t>
      </w:r>
      <w:r w:rsidR="00213499">
        <w:rPr>
          <w:sz w:val="24"/>
          <w:szCs w:val="24"/>
        </w:rPr>
        <w:t>s</w:t>
      </w:r>
      <w:r w:rsidR="000453F3">
        <w:rPr>
          <w:sz w:val="24"/>
          <w:szCs w:val="24"/>
        </w:rPr>
        <w:t xml:space="preserve">ide </w:t>
      </w:r>
      <w:r w:rsidR="00213499">
        <w:rPr>
          <w:sz w:val="24"/>
          <w:szCs w:val="24"/>
        </w:rPr>
        <w:t>l</w:t>
      </w:r>
      <w:r w:rsidR="000453F3">
        <w:rPr>
          <w:sz w:val="24"/>
          <w:szCs w:val="24"/>
        </w:rPr>
        <w:t xml:space="preserve">etter </w:t>
      </w:r>
      <w:r w:rsidR="00213499">
        <w:rPr>
          <w:sz w:val="24"/>
          <w:szCs w:val="24"/>
        </w:rPr>
        <w:t>a</w:t>
      </w:r>
      <w:r w:rsidR="000453F3">
        <w:rPr>
          <w:sz w:val="24"/>
          <w:szCs w:val="24"/>
        </w:rPr>
        <w:t>greement</w:t>
      </w:r>
      <w:r w:rsidR="00D03014">
        <w:rPr>
          <w:sz w:val="24"/>
          <w:szCs w:val="24"/>
        </w:rPr>
        <w:t>.</w:t>
      </w:r>
    </w:p>
    <w:p w:rsidR="00D03014" w:rsidRDefault="00D03014" w:rsidP="00B8691E">
      <w:pPr>
        <w:rPr>
          <w:sz w:val="24"/>
          <w:szCs w:val="24"/>
        </w:rPr>
      </w:pPr>
    </w:p>
    <w:p w:rsidR="00BD0864" w:rsidRPr="00BD0864" w:rsidRDefault="00BD0864" w:rsidP="00BD0864">
      <w:pPr>
        <w:rPr>
          <w:sz w:val="24"/>
          <w:szCs w:val="24"/>
        </w:rPr>
      </w:pPr>
      <w:r w:rsidRPr="00BD0864">
        <w:rPr>
          <w:sz w:val="24"/>
          <w:szCs w:val="24"/>
        </w:rPr>
        <w:t>IN WITNESS WHEREOF, the parties hereto have executed this Agreement as of the date</w:t>
      </w:r>
    </w:p>
    <w:p w:rsidR="00BD0864" w:rsidRDefault="00BD0864" w:rsidP="00BD0864">
      <w:pPr>
        <w:rPr>
          <w:sz w:val="24"/>
          <w:szCs w:val="24"/>
        </w:rPr>
      </w:pPr>
      <w:r w:rsidRPr="00BD0864">
        <w:rPr>
          <w:sz w:val="24"/>
          <w:szCs w:val="24"/>
        </w:rPr>
        <w:t>first set forth above.</w:t>
      </w:r>
    </w:p>
    <w:p w:rsidR="003953BF" w:rsidRPr="00BD0864" w:rsidRDefault="003953BF" w:rsidP="00BD0864">
      <w:pPr>
        <w:rPr>
          <w:sz w:val="24"/>
          <w:szCs w:val="24"/>
        </w:rPr>
      </w:pPr>
    </w:p>
    <w:p w:rsidR="004465A7" w:rsidRPr="004465A7" w:rsidRDefault="003953BF" w:rsidP="0073381C">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D0541">
        <w:rPr>
          <w:sz w:val="24"/>
          <w:szCs w:val="24"/>
        </w:rPr>
        <w:t>M</w:t>
      </w:r>
      <w:r w:rsidR="00ED0541">
        <w:rPr>
          <w:b/>
          <w:sz w:val="24"/>
          <w:szCs w:val="24"/>
        </w:rPr>
        <w:t>anager</w:t>
      </w:r>
      <w:r w:rsidR="004465A7" w:rsidRPr="004465A7">
        <w:rPr>
          <w:b/>
          <w:sz w:val="24"/>
          <w:szCs w:val="24"/>
        </w:rPr>
        <w:t xml:space="preserve"> on Behalf of the </w:t>
      </w:r>
      <w:r w:rsidR="00ED0541">
        <w:rPr>
          <w:b/>
          <w:sz w:val="24"/>
          <w:szCs w:val="24"/>
        </w:rPr>
        <w:t>Strategy</w:t>
      </w:r>
      <w:r w:rsidR="004465A7">
        <w:rPr>
          <w:b/>
          <w:sz w:val="24"/>
          <w:szCs w:val="24"/>
        </w:rPr>
        <w:t>:</w:t>
      </w:r>
    </w:p>
    <w:p w:rsidR="004465A7" w:rsidRDefault="004465A7" w:rsidP="0073381C">
      <w:pPr>
        <w:rPr>
          <w:sz w:val="24"/>
          <w:szCs w:val="24"/>
        </w:rPr>
      </w:pPr>
    </w:p>
    <w:p w:rsidR="0073381C" w:rsidRDefault="004465A7" w:rsidP="0073381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D0541">
        <w:rPr>
          <w:sz w:val="24"/>
          <w:szCs w:val="24"/>
        </w:rPr>
        <w:t>XYZ Manager</w:t>
      </w:r>
    </w:p>
    <w:p w:rsidR="0073381C" w:rsidRPr="0073381C" w:rsidRDefault="000453F3" w:rsidP="0073381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3381C" w:rsidRPr="0073381C">
        <w:rPr>
          <w:sz w:val="24"/>
          <w:szCs w:val="24"/>
        </w:rPr>
        <w:t>By: ________________________________</w:t>
      </w:r>
    </w:p>
    <w:p w:rsidR="0073381C" w:rsidRPr="0073381C" w:rsidRDefault="000453F3" w:rsidP="0073381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3381C" w:rsidRPr="0073381C">
        <w:rPr>
          <w:sz w:val="24"/>
          <w:szCs w:val="24"/>
        </w:rPr>
        <w:t>Name:</w:t>
      </w:r>
    </w:p>
    <w:p w:rsidR="0073381C" w:rsidRPr="0073381C" w:rsidRDefault="0073381C" w:rsidP="0073381C">
      <w:pPr>
        <w:rPr>
          <w:sz w:val="24"/>
          <w:szCs w:val="24"/>
        </w:rPr>
      </w:pPr>
    </w:p>
    <w:p w:rsidR="000453F3" w:rsidRDefault="000453F3" w:rsidP="00B8691E">
      <w:pPr>
        <w:rPr>
          <w:b/>
          <w:sz w:val="24"/>
          <w:szCs w:val="24"/>
        </w:rPr>
      </w:pPr>
    </w:p>
    <w:p w:rsidR="002F3EBB" w:rsidRDefault="00ED0541" w:rsidP="00B8691E">
      <w:pPr>
        <w:rPr>
          <w:b/>
          <w:sz w:val="24"/>
          <w:szCs w:val="24"/>
        </w:rPr>
      </w:pPr>
      <w:r>
        <w:rPr>
          <w:b/>
          <w:sz w:val="24"/>
          <w:szCs w:val="24"/>
        </w:rPr>
        <w:t>Investor</w:t>
      </w:r>
      <w:r w:rsidR="004878C7">
        <w:rPr>
          <w:b/>
          <w:sz w:val="24"/>
          <w:szCs w:val="24"/>
        </w:rPr>
        <w:t>:</w:t>
      </w:r>
    </w:p>
    <w:p w:rsidR="004878C7" w:rsidRDefault="004878C7" w:rsidP="00B8691E">
      <w:pPr>
        <w:rPr>
          <w:b/>
          <w:sz w:val="24"/>
          <w:szCs w:val="24"/>
        </w:rPr>
      </w:pPr>
    </w:p>
    <w:p w:rsidR="004878C7" w:rsidRPr="004878C7" w:rsidRDefault="0001784E" w:rsidP="004878C7">
      <w:pPr>
        <w:rPr>
          <w:sz w:val="24"/>
          <w:szCs w:val="24"/>
        </w:rPr>
      </w:pPr>
      <w:r>
        <w:rPr>
          <w:sz w:val="24"/>
          <w:szCs w:val="24"/>
        </w:rPr>
        <w:t>MWRA Employees’</w:t>
      </w:r>
      <w:r w:rsidR="004878C7" w:rsidRPr="004878C7">
        <w:rPr>
          <w:sz w:val="24"/>
          <w:szCs w:val="24"/>
        </w:rPr>
        <w:t xml:space="preserve"> Retirement Board</w:t>
      </w:r>
    </w:p>
    <w:p w:rsidR="004878C7" w:rsidRDefault="004878C7" w:rsidP="00B8691E">
      <w:pPr>
        <w:rPr>
          <w:sz w:val="24"/>
          <w:szCs w:val="24"/>
          <w:u w:val="single"/>
        </w:rPr>
      </w:pPr>
      <w:r>
        <w:rPr>
          <w:sz w:val="24"/>
          <w:szCs w:val="24"/>
        </w:rPr>
        <w:t>By:</w:t>
      </w:r>
      <w:r w:rsidR="006B6B63">
        <w:rPr>
          <w:sz w:val="24"/>
          <w:szCs w:val="24"/>
        </w:rPr>
        <w:tab/>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02E4F" w:rsidRDefault="006B6B63" w:rsidP="00B8691E">
      <w:pPr>
        <w:rPr>
          <w:sz w:val="24"/>
          <w:szCs w:val="24"/>
        </w:rPr>
      </w:pPr>
      <w:r>
        <w:rPr>
          <w:sz w:val="24"/>
          <w:szCs w:val="24"/>
        </w:rPr>
        <w:t>Name:</w:t>
      </w:r>
      <w:r w:rsidR="004878C7">
        <w:rPr>
          <w:sz w:val="24"/>
          <w:szCs w:val="24"/>
        </w:rPr>
        <w:t xml:space="preserve">  </w:t>
      </w:r>
      <w:r w:rsidR="004465A7">
        <w:rPr>
          <w:sz w:val="24"/>
          <w:szCs w:val="24"/>
        </w:rPr>
        <w:t>James M. Fleming, Chairman</w:t>
      </w:r>
      <w:r w:rsidR="00502E4F">
        <w:rPr>
          <w:sz w:val="24"/>
          <w:szCs w:val="24"/>
        </w:rPr>
        <w:t xml:space="preserve"> </w:t>
      </w:r>
    </w:p>
    <w:p w:rsidR="004878C7" w:rsidRPr="004878C7" w:rsidRDefault="00502E4F" w:rsidP="00B8691E">
      <w:pPr>
        <w:rPr>
          <w:sz w:val="24"/>
          <w:szCs w:val="24"/>
        </w:rPr>
      </w:pPr>
      <w:r>
        <w:rPr>
          <w:sz w:val="24"/>
          <w:szCs w:val="24"/>
        </w:rPr>
        <w:t>Title:</w:t>
      </w:r>
      <w:r>
        <w:rPr>
          <w:sz w:val="24"/>
          <w:szCs w:val="24"/>
        </w:rPr>
        <w:tab/>
      </w:r>
      <w:r w:rsidR="004878C7" w:rsidRPr="004878C7">
        <w:rPr>
          <w:sz w:val="24"/>
          <w:szCs w:val="24"/>
        </w:rPr>
        <w:t>Chairman</w:t>
      </w:r>
    </w:p>
    <w:p w:rsidR="004878C7" w:rsidRPr="004878C7" w:rsidRDefault="004878C7" w:rsidP="00B8691E">
      <w:pPr>
        <w:rPr>
          <w:sz w:val="24"/>
          <w:szCs w:val="24"/>
        </w:rPr>
      </w:pPr>
    </w:p>
    <w:p w:rsidR="002D78D1" w:rsidRDefault="002D78D1"/>
    <w:sectPr w:rsidR="002D78D1" w:rsidSect="003608A7">
      <w:footerReference w:type="even" r:id="rId8"/>
      <w:foot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C8" w:rsidRDefault="004E51C8">
      <w:r>
        <w:separator/>
      </w:r>
    </w:p>
  </w:endnote>
  <w:endnote w:type="continuationSeparator" w:id="0">
    <w:p w:rsidR="004E51C8" w:rsidRDefault="004E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A4" w:rsidRDefault="00D76CDE" w:rsidP="002F3EBB">
    <w:pPr>
      <w:pStyle w:val="Footer"/>
      <w:framePr w:w="576" w:wrap="around" w:vAnchor="page" w:hAnchor="page" w:x="5545" w:y="15121"/>
      <w:jc w:val="right"/>
      <w:rPr>
        <w:rStyle w:val="PageNumber"/>
      </w:rPr>
    </w:pPr>
    <w:r>
      <w:rPr>
        <w:rStyle w:val="PageNumber"/>
      </w:rPr>
      <w:fldChar w:fldCharType="begin"/>
    </w:r>
    <w:r w:rsidR="009E53A4">
      <w:rPr>
        <w:rStyle w:val="PageNumber"/>
      </w:rPr>
      <w:instrText xml:space="preserve">PAGE  </w:instrText>
    </w:r>
    <w:r>
      <w:rPr>
        <w:rStyle w:val="PageNumber"/>
      </w:rPr>
      <w:fldChar w:fldCharType="end"/>
    </w:r>
  </w:p>
  <w:p w:rsidR="009E53A4" w:rsidRDefault="009E5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A7" w:rsidRPr="003608A7" w:rsidRDefault="003608A7">
    <w:pPr>
      <w:pStyle w:val="Footer"/>
      <w:jc w:val="center"/>
      <w:rPr>
        <w:sz w:val="24"/>
        <w:szCs w:val="24"/>
      </w:rPr>
    </w:pPr>
    <w:r>
      <w:rPr>
        <w:sz w:val="24"/>
        <w:szCs w:val="24"/>
      </w:rPr>
      <w:t>-</w:t>
    </w:r>
    <w:r w:rsidR="00D76CDE" w:rsidRPr="003608A7">
      <w:rPr>
        <w:sz w:val="24"/>
        <w:szCs w:val="24"/>
      </w:rPr>
      <w:fldChar w:fldCharType="begin"/>
    </w:r>
    <w:r w:rsidRPr="003608A7">
      <w:rPr>
        <w:sz w:val="24"/>
        <w:szCs w:val="24"/>
      </w:rPr>
      <w:instrText xml:space="preserve"> PAGE   \* MERGEFORMAT </w:instrText>
    </w:r>
    <w:r w:rsidR="00D76CDE" w:rsidRPr="003608A7">
      <w:rPr>
        <w:sz w:val="24"/>
        <w:szCs w:val="24"/>
      </w:rPr>
      <w:fldChar w:fldCharType="separate"/>
    </w:r>
    <w:r w:rsidR="00752987">
      <w:rPr>
        <w:noProof/>
        <w:sz w:val="24"/>
        <w:szCs w:val="24"/>
      </w:rPr>
      <w:t>3</w:t>
    </w:r>
    <w:r w:rsidR="00D76CDE" w:rsidRPr="003608A7">
      <w:rPr>
        <w:sz w:val="24"/>
        <w:szCs w:val="24"/>
      </w:rPr>
      <w:fldChar w:fldCharType="end"/>
    </w:r>
    <w:r>
      <w:rPr>
        <w:sz w:val="24"/>
        <w:szCs w:val="24"/>
      </w:rPr>
      <w:t>-</w:t>
    </w:r>
  </w:p>
  <w:p w:rsidR="009E53A4" w:rsidRDefault="009E5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C8" w:rsidRDefault="004E51C8">
      <w:r>
        <w:separator/>
      </w:r>
    </w:p>
  </w:footnote>
  <w:footnote w:type="continuationSeparator" w:id="0">
    <w:p w:rsidR="004E51C8" w:rsidRDefault="004E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 w:name="FDSMenuDocLevelBtnStates" w:val="&lt;btnStates&gt;&lt;btn tag=&quot;1001&quot; state=&quot;UP&quot;/&gt;&lt;/btnStates&gt;_x000d__x000a_"/>
  </w:docVars>
  <w:rsids>
    <w:rsidRoot w:val="003E74A8"/>
    <w:rsid w:val="00012751"/>
    <w:rsid w:val="0001784E"/>
    <w:rsid w:val="00023036"/>
    <w:rsid w:val="00024CEB"/>
    <w:rsid w:val="0004168E"/>
    <w:rsid w:val="000453F3"/>
    <w:rsid w:val="00065DD4"/>
    <w:rsid w:val="00091144"/>
    <w:rsid w:val="000F3754"/>
    <w:rsid w:val="00151F25"/>
    <w:rsid w:val="001B4E21"/>
    <w:rsid w:val="001F0D8E"/>
    <w:rsid w:val="001F4C57"/>
    <w:rsid w:val="002000E6"/>
    <w:rsid w:val="00204090"/>
    <w:rsid w:val="00213499"/>
    <w:rsid w:val="00294856"/>
    <w:rsid w:val="002A7D54"/>
    <w:rsid w:val="002B0F81"/>
    <w:rsid w:val="002D78D1"/>
    <w:rsid w:val="002E2F09"/>
    <w:rsid w:val="002F3EBB"/>
    <w:rsid w:val="0030457D"/>
    <w:rsid w:val="003608A7"/>
    <w:rsid w:val="00366DDF"/>
    <w:rsid w:val="00385828"/>
    <w:rsid w:val="003953BF"/>
    <w:rsid w:val="003A32C7"/>
    <w:rsid w:val="003C0863"/>
    <w:rsid w:val="003E74A8"/>
    <w:rsid w:val="004465A7"/>
    <w:rsid w:val="004779F9"/>
    <w:rsid w:val="0048328C"/>
    <w:rsid w:val="004878C7"/>
    <w:rsid w:val="0049573C"/>
    <w:rsid w:val="004E4491"/>
    <w:rsid w:val="004E51C8"/>
    <w:rsid w:val="00502E4F"/>
    <w:rsid w:val="00565344"/>
    <w:rsid w:val="00582616"/>
    <w:rsid w:val="005B0753"/>
    <w:rsid w:val="005C705C"/>
    <w:rsid w:val="005F29BB"/>
    <w:rsid w:val="00605480"/>
    <w:rsid w:val="006507E2"/>
    <w:rsid w:val="0065367D"/>
    <w:rsid w:val="0065414B"/>
    <w:rsid w:val="006578FC"/>
    <w:rsid w:val="00682600"/>
    <w:rsid w:val="006B6B63"/>
    <w:rsid w:val="00703FF3"/>
    <w:rsid w:val="00711E8C"/>
    <w:rsid w:val="0073381C"/>
    <w:rsid w:val="00752987"/>
    <w:rsid w:val="007A70A0"/>
    <w:rsid w:val="007D05FF"/>
    <w:rsid w:val="007D5072"/>
    <w:rsid w:val="007F76CB"/>
    <w:rsid w:val="00822ECD"/>
    <w:rsid w:val="0082303C"/>
    <w:rsid w:val="00830210"/>
    <w:rsid w:val="0088434E"/>
    <w:rsid w:val="008A350C"/>
    <w:rsid w:val="008A6888"/>
    <w:rsid w:val="008C0796"/>
    <w:rsid w:val="008E2FE7"/>
    <w:rsid w:val="008F2DC8"/>
    <w:rsid w:val="00905EE9"/>
    <w:rsid w:val="009157CB"/>
    <w:rsid w:val="00970D45"/>
    <w:rsid w:val="009712E2"/>
    <w:rsid w:val="009C43C2"/>
    <w:rsid w:val="009C73E6"/>
    <w:rsid w:val="009D7A52"/>
    <w:rsid w:val="009E53A4"/>
    <w:rsid w:val="00A17D9F"/>
    <w:rsid w:val="00A63B34"/>
    <w:rsid w:val="00AB1463"/>
    <w:rsid w:val="00B00588"/>
    <w:rsid w:val="00B8691E"/>
    <w:rsid w:val="00B9011A"/>
    <w:rsid w:val="00BA1545"/>
    <w:rsid w:val="00BA5AEF"/>
    <w:rsid w:val="00BD0864"/>
    <w:rsid w:val="00C36794"/>
    <w:rsid w:val="00C479C1"/>
    <w:rsid w:val="00C6628B"/>
    <w:rsid w:val="00D03014"/>
    <w:rsid w:val="00D153B7"/>
    <w:rsid w:val="00D15C4C"/>
    <w:rsid w:val="00D248C6"/>
    <w:rsid w:val="00D25F0C"/>
    <w:rsid w:val="00D3047F"/>
    <w:rsid w:val="00D634D8"/>
    <w:rsid w:val="00D6741D"/>
    <w:rsid w:val="00D7101A"/>
    <w:rsid w:val="00D76CDE"/>
    <w:rsid w:val="00D85401"/>
    <w:rsid w:val="00D959B1"/>
    <w:rsid w:val="00DB067B"/>
    <w:rsid w:val="00E05063"/>
    <w:rsid w:val="00E310C1"/>
    <w:rsid w:val="00E338F8"/>
    <w:rsid w:val="00E35166"/>
    <w:rsid w:val="00E86748"/>
    <w:rsid w:val="00EB0E7B"/>
    <w:rsid w:val="00EB68A0"/>
    <w:rsid w:val="00ED0541"/>
    <w:rsid w:val="00F5767D"/>
    <w:rsid w:val="00FB1E46"/>
    <w:rsid w:val="00FB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EB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4C6C"/>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2F3EBB"/>
    <w:pPr>
      <w:tabs>
        <w:tab w:val="center" w:pos="4320"/>
        <w:tab w:val="right" w:pos="8640"/>
      </w:tabs>
    </w:pPr>
  </w:style>
  <w:style w:type="character" w:styleId="PageNumber">
    <w:name w:val="page number"/>
    <w:basedOn w:val="DefaultParagraphFont"/>
    <w:rsid w:val="002F3EBB"/>
  </w:style>
  <w:style w:type="character" w:styleId="FootnoteReference">
    <w:name w:val="footnote reference"/>
    <w:rsid w:val="005B0753"/>
  </w:style>
  <w:style w:type="character" w:styleId="Hyperlink">
    <w:name w:val="Hyperlink"/>
    <w:basedOn w:val="DefaultParagraphFont"/>
    <w:rsid w:val="005B0753"/>
    <w:rPr>
      <w:color w:val="0000FF"/>
      <w:u w:val="single"/>
    </w:rPr>
  </w:style>
  <w:style w:type="paragraph" w:styleId="FootnoteText">
    <w:name w:val="footnote text"/>
    <w:basedOn w:val="Normal"/>
    <w:semiHidden/>
    <w:rsid w:val="005B0753"/>
    <w:pPr>
      <w:autoSpaceDE/>
      <w:autoSpaceDN/>
      <w:adjustRightInd/>
    </w:pPr>
    <w:rPr>
      <w:rFonts w:eastAsia="MS Mincho"/>
      <w:lang w:eastAsia="ja-JP"/>
    </w:rPr>
  </w:style>
  <w:style w:type="paragraph" w:styleId="EndnoteText">
    <w:name w:val="endnote text"/>
    <w:basedOn w:val="Normal"/>
    <w:semiHidden/>
    <w:rsid w:val="005B0753"/>
  </w:style>
  <w:style w:type="character" w:styleId="EndnoteReference">
    <w:name w:val="endnote reference"/>
    <w:basedOn w:val="DefaultParagraphFont"/>
    <w:semiHidden/>
    <w:rsid w:val="005B0753"/>
    <w:rPr>
      <w:vertAlign w:val="superscript"/>
    </w:rPr>
  </w:style>
  <w:style w:type="paragraph" w:styleId="BalloonText">
    <w:name w:val="Balloon Text"/>
    <w:basedOn w:val="Normal"/>
    <w:semiHidden/>
    <w:rsid w:val="007F76CB"/>
    <w:rPr>
      <w:rFonts w:ascii="Tahoma" w:hAnsi="Tahoma" w:cs="Tahoma"/>
      <w:sz w:val="16"/>
      <w:szCs w:val="16"/>
    </w:rPr>
  </w:style>
  <w:style w:type="paragraph" w:styleId="Header">
    <w:name w:val="header"/>
    <w:basedOn w:val="Normal"/>
    <w:link w:val="HeaderChar"/>
    <w:rsid w:val="003608A7"/>
    <w:pPr>
      <w:tabs>
        <w:tab w:val="center" w:pos="4680"/>
        <w:tab w:val="right" w:pos="9360"/>
      </w:tabs>
    </w:pPr>
  </w:style>
  <w:style w:type="character" w:customStyle="1" w:styleId="HeaderChar">
    <w:name w:val="Header Char"/>
    <w:basedOn w:val="DefaultParagraphFont"/>
    <w:link w:val="Header"/>
    <w:rsid w:val="003608A7"/>
  </w:style>
  <w:style w:type="character" w:customStyle="1" w:styleId="FooterChar">
    <w:name w:val="Footer Char"/>
    <w:basedOn w:val="DefaultParagraphFont"/>
    <w:link w:val="Footer"/>
    <w:uiPriority w:val="99"/>
    <w:rsid w:val="00360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EB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4C6C"/>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2F3EBB"/>
    <w:pPr>
      <w:tabs>
        <w:tab w:val="center" w:pos="4320"/>
        <w:tab w:val="right" w:pos="8640"/>
      </w:tabs>
    </w:pPr>
  </w:style>
  <w:style w:type="character" w:styleId="PageNumber">
    <w:name w:val="page number"/>
    <w:basedOn w:val="DefaultParagraphFont"/>
    <w:rsid w:val="002F3EBB"/>
  </w:style>
  <w:style w:type="character" w:styleId="FootnoteReference">
    <w:name w:val="footnote reference"/>
    <w:rsid w:val="005B0753"/>
  </w:style>
  <w:style w:type="character" w:styleId="Hyperlink">
    <w:name w:val="Hyperlink"/>
    <w:basedOn w:val="DefaultParagraphFont"/>
    <w:rsid w:val="005B0753"/>
    <w:rPr>
      <w:color w:val="0000FF"/>
      <w:u w:val="single"/>
    </w:rPr>
  </w:style>
  <w:style w:type="paragraph" w:styleId="FootnoteText">
    <w:name w:val="footnote text"/>
    <w:basedOn w:val="Normal"/>
    <w:semiHidden/>
    <w:rsid w:val="005B0753"/>
    <w:pPr>
      <w:autoSpaceDE/>
      <w:autoSpaceDN/>
      <w:adjustRightInd/>
    </w:pPr>
    <w:rPr>
      <w:rFonts w:eastAsia="MS Mincho"/>
      <w:lang w:eastAsia="ja-JP"/>
    </w:rPr>
  </w:style>
  <w:style w:type="paragraph" w:styleId="EndnoteText">
    <w:name w:val="endnote text"/>
    <w:basedOn w:val="Normal"/>
    <w:semiHidden/>
    <w:rsid w:val="005B0753"/>
  </w:style>
  <w:style w:type="character" w:styleId="EndnoteReference">
    <w:name w:val="endnote reference"/>
    <w:basedOn w:val="DefaultParagraphFont"/>
    <w:semiHidden/>
    <w:rsid w:val="005B0753"/>
    <w:rPr>
      <w:vertAlign w:val="superscript"/>
    </w:rPr>
  </w:style>
  <w:style w:type="paragraph" w:styleId="BalloonText">
    <w:name w:val="Balloon Text"/>
    <w:basedOn w:val="Normal"/>
    <w:semiHidden/>
    <w:rsid w:val="007F76CB"/>
    <w:rPr>
      <w:rFonts w:ascii="Tahoma" w:hAnsi="Tahoma" w:cs="Tahoma"/>
      <w:sz w:val="16"/>
      <w:szCs w:val="16"/>
    </w:rPr>
  </w:style>
  <w:style w:type="paragraph" w:styleId="Header">
    <w:name w:val="header"/>
    <w:basedOn w:val="Normal"/>
    <w:link w:val="HeaderChar"/>
    <w:rsid w:val="003608A7"/>
    <w:pPr>
      <w:tabs>
        <w:tab w:val="center" w:pos="4680"/>
        <w:tab w:val="right" w:pos="9360"/>
      </w:tabs>
    </w:pPr>
  </w:style>
  <w:style w:type="character" w:customStyle="1" w:styleId="HeaderChar">
    <w:name w:val="Header Char"/>
    <w:basedOn w:val="DefaultParagraphFont"/>
    <w:link w:val="Header"/>
    <w:rsid w:val="003608A7"/>
  </w:style>
  <w:style w:type="character" w:customStyle="1" w:styleId="FooterChar">
    <w:name w:val="Footer Char"/>
    <w:basedOn w:val="DefaultParagraphFont"/>
    <w:link w:val="Footer"/>
    <w:uiPriority w:val="99"/>
    <w:rsid w:val="0036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535">
      <w:bodyDiv w:val="1"/>
      <w:marLeft w:val="0"/>
      <w:marRight w:val="0"/>
      <w:marTop w:val="0"/>
      <w:marBottom w:val="0"/>
      <w:divBdr>
        <w:top w:val="none" w:sz="0" w:space="0" w:color="auto"/>
        <w:left w:val="none" w:sz="0" w:space="0" w:color="auto"/>
        <w:bottom w:val="none" w:sz="0" w:space="0" w:color="auto"/>
        <w:right w:val="none" w:sz="0" w:space="0" w:color="auto"/>
      </w:divBdr>
    </w:div>
    <w:div w:id="1508209179">
      <w:bodyDiv w:val="1"/>
      <w:marLeft w:val="0"/>
      <w:marRight w:val="0"/>
      <w:marTop w:val="0"/>
      <w:marBottom w:val="0"/>
      <w:divBdr>
        <w:top w:val="none" w:sz="0" w:space="0" w:color="auto"/>
        <w:left w:val="none" w:sz="0" w:space="0" w:color="auto"/>
        <w:bottom w:val="none" w:sz="0" w:space="0" w:color="auto"/>
        <w:right w:val="none" w:sz="0" w:space="0" w:color="auto"/>
      </w:divBdr>
    </w:div>
    <w:div w:id="1761562112">
      <w:bodyDiv w:val="1"/>
      <w:marLeft w:val="0"/>
      <w:marRight w:val="0"/>
      <w:marTop w:val="0"/>
      <w:marBottom w:val="0"/>
      <w:divBdr>
        <w:top w:val="none" w:sz="0" w:space="0" w:color="auto"/>
        <w:left w:val="none" w:sz="0" w:space="0" w:color="auto"/>
        <w:bottom w:val="none" w:sz="0" w:space="0" w:color="auto"/>
        <w:right w:val="none" w:sz="0" w:space="0" w:color="auto"/>
      </w:divBdr>
    </w:div>
    <w:div w:id="19208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DC10-3C78-4C3E-A477-A20E9F4F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6084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Law Offices of Thomas F. Gibson</Company>
  <LinksUpToDate>false</LinksUpToDate>
  <CharactersWithSpaces>7184</CharactersWithSpaces>
  <SharedDoc>false</SharedDoc>
  <HLinks>
    <vt:vector size="6" baseType="variant">
      <vt:variant>
        <vt:i4>6619177</vt:i4>
      </vt:variant>
      <vt:variant>
        <vt:i4>0</vt:i4>
      </vt:variant>
      <vt:variant>
        <vt:i4>0</vt:i4>
      </vt:variant>
      <vt:variant>
        <vt:i4>5</vt:i4>
      </vt:variant>
      <vt:variant>
        <vt:lpwstr>http://www.mass.gov/perac/07memos/2507.html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 Gibson</dc:creator>
  <cp:lastModifiedBy>Hiers, Dan</cp:lastModifiedBy>
  <cp:revision>2</cp:revision>
  <cp:lastPrinted>2008-01-04T12:23:00Z</cp:lastPrinted>
  <dcterms:created xsi:type="dcterms:W3CDTF">2017-07-06T15:44:00Z</dcterms:created>
  <dcterms:modified xsi:type="dcterms:W3CDTF">2017-07-06T15:44:00Z</dcterms:modified>
</cp:coreProperties>
</file>