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30" w:rsidRDefault="00545930">
      <w:pPr>
        <w:tabs>
          <w:tab w:val="center" w:pos="4680"/>
        </w:tabs>
        <w:jc w:val="center"/>
        <w:rPr>
          <w:rFonts w:hAnsi="Times New Roman"/>
          <w:sz w:val="22"/>
          <w:szCs w:val="22"/>
          <w:lang w:val="en-GB"/>
        </w:rPr>
      </w:pPr>
      <w:bookmarkStart w:id="0" w:name="_DV_M0"/>
      <w:bookmarkStart w:id="1" w:name="_GoBack"/>
      <w:bookmarkEnd w:id="0"/>
      <w:bookmarkEnd w:id="1"/>
      <w:r>
        <w:rPr>
          <w:rFonts w:hAnsi="Times New Roman"/>
          <w:b/>
          <w:spacing w:val="-2"/>
          <w:sz w:val="22"/>
          <w:szCs w:val="22"/>
          <w:lang w:val="en-GB"/>
        </w:rPr>
        <w:t>SCHEDULE 1</w:t>
      </w:r>
    </w:p>
    <w:p w:rsidR="00545930" w:rsidRDefault="00545930">
      <w:pPr>
        <w:tabs>
          <w:tab w:val="left" w:pos="782"/>
          <w:tab w:val="right" w:pos="9360"/>
        </w:tabs>
        <w:jc w:val="center"/>
        <w:rPr>
          <w:rFonts w:hAnsi="Times New Roman"/>
          <w:spacing w:val="-2"/>
          <w:sz w:val="22"/>
          <w:szCs w:val="22"/>
          <w:lang w:val="en-GB"/>
        </w:rPr>
      </w:pPr>
    </w:p>
    <w:p w:rsidR="00545930" w:rsidRDefault="00545930">
      <w:pPr>
        <w:pStyle w:val="Heading1"/>
        <w:keepNext w:val="0"/>
        <w:tabs>
          <w:tab w:val="clear" w:pos="4680"/>
        </w:tabs>
        <w:suppressAutoHyphens w:val="0"/>
        <w:rPr>
          <w:sz w:val="22"/>
          <w:szCs w:val="22"/>
          <w:lang w:val="en-GB"/>
        </w:rPr>
      </w:pPr>
      <w:bookmarkStart w:id="2" w:name="_DV_M1"/>
      <w:bookmarkEnd w:id="2"/>
      <w:r>
        <w:rPr>
          <w:sz w:val="22"/>
          <w:szCs w:val="22"/>
          <w:lang w:val="en-GB"/>
        </w:rPr>
        <w:t>COLLATERAL</w:t>
      </w:r>
    </w:p>
    <w:p w:rsidR="00545930" w:rsidRDefault="00545930">
      <w:pPr>
        <w:jc w:val="both"/>
        <w:rPr>
          <w:rFonts w:hAnsi="Times New Roman"/>
          <w:sz w:val="22"/>
          <w:szCs w:val="22"/>
          <w:lang w:val="en-GB"/>
        </w:rPr>
      </w:pPr>
    </w:p>
    <w:p w:rsidR="00545930" w:rsidRDefault="00545930" w:rsidP="00DF611E">
      <w:pPr>
        <w:pStyle w:val="para"/>
        <w:widowControl/>
        <w:tabs>
          <w:tab w:val="clear" w:pos="0"/>
        </w:tabs>
        <w:suppressAutoHyphens w:val="0"/>
        <w:spacing w:after="0"/>
        <w:jc w:val="left"/>
        <w:rPr>
          <w:sz w:val="22"/>
          <w:szCs w:val="22"/>
          <w:lang w:val="en-GB"/>
        </w:rPr>
      </w:pPr>
      <w:bookmarkStart w:id="3" w:name="_DV_M2"/>
      <w:bookmarkEnd w:id="3"/>
      <w:r>
        <w:rPr>
          <w:sz w:val="22"/>
          <w:szCs w:val="22"/>
          <w:lang w:val="en-GB"/>
        </w:rPr>
        <w:t>The [Client/ Lender] hereby authorises the [Lending Agent/ Bank] to accept the following types of Collateral in respect of Loans made by the [Lending Agent/Bank] pursuant to the Agreement</w:t>
      </w:r>
      <w:bookmarkStart w:id="4" w:name="_DV_C1"/>
      <w:r>
        <w:rPr>
          <w:sz w:val="22"/>
          <w:szCs w:val="22"/>
          <w:lang w:val="en-GB"/>
        </w:rPr>
        <w:t>.</w:t>
      </w:r>
      <w:bookmarkEnd w:id="4"/>
    </w:p>
    <w:p w:rsidR="00545930" w:rsidRPr="00DF611E" w:rsidRDefault="00545930" w:rsidP="00DF611E">
      <w:pPr>
        <w:pStyle w:val="para"/>
        <w:widowControl/>
        <w:tabs>
          <w:tab w:val="clear" w:pos="0"/>
        </w:tabs>
        <w:suppressAutoHyphens w:val="0"/>
        <w:spacing w:after="0"/>
        <w:jc w:val="left"/>
        <w:rPr>
          <w:sz w:val="22"/>
          <w:szCs w:val="22"/>
          <w:u w:val="single"/>
          <w:lang w:val="en-GB"/>
        </w:rPr>
      </w:pPr>
    </w:p>
    <w:p w:rsidR="00545930" w:rsidRDefault="00545930">
      <w:pPr>
        <w:pStyle w:val="NoSpacing"/>
        <w:rPr>
          <w:sz w:val="22"/>
          <w:szCs w:val="22"/>
          <w:u w:val="single"/>
          <w:lang w:val="en-GB"/>
        </w:rPr>
      </w:pPr>
      <w:bookmarkStart w:id="5" w:name="_DV_M3"/>
      <w:bookmarkEnd w:id="5"/>
      <w:r>
        <w:rPr>
          <w:sz w:val="22"/>
          <w:szCs w:val="22"/>
          <w:u w:val="single"/>
          <w:lang w:val="en-GB"/>
        </w:rPr>
        <w:t xml:space="preserve">Cash Collateral </w:t>
      </w:r>
      <w:r>
        <w:rPr>
          <w:sz w:val="22"/>
          <w:szCs w:val="22"/>
          <w:u w:val="single"/>
          <w:lang w:val="en-GB"/>
        </w:rPr>
        <w:br/>
      </w:r>
    </w:p>
    <w:p w:rsidR="00545930" w:rsidRDefault="00545930">
      <w:pPr>
        <w:pStyle w:val="para"/>
        <w:widowControl/>
        <w:numPr>
          <w:ilvl w:val="0"/>
          <w:numId w:val="1"/>
        </w:numPr>
        <w:tabs>
          <w:tab w:val="clear" w:pos="0"/>
        </w:tabs>
        <w:suppressAutoHyphens w:val="0"/>
        <w:spacing w:after="0"/>
        <w:ind w:left="600" w:hanging="600"/>
        <w:rPr>
          <w:spacing w:val="0"/>
          <w:sz w:val="22"/>
          <w:szCs w:val="22"/>
          <w:lang w:val="en-GB"/>
        </w:rPr>
      </w:pPr>
      <w:bookmarkStart w:id="6" w:name="_DV_M4"/>
      <w:bookmarkEnd w:id="6"/>
      <w:r>
        <w:rPr>
          <w:spacing w:val="0"/>
          <w:sz w:val="22"/>
          <w:szCs w:val="22"/>
          <w:lang w:val="en-GB"/>
        </w:rPr>
        <w:t>US Dollar cash</w:t>
      </w:r>
    </w:p>
    <w:p w:rsidR="00545930" w:rsidRDefault="00545930">
      <w:pPr>
        <w:pStyle w:val="para"/>
        <w:widowControl/>
        <w:tabs>
          <w:tab w:val="clear" w:pos="0"/>
        </w:tabs>
        <w:suppressAutoHyphens w:val="0"/>
        <w:spacing w:after="0"/>
        <w:ind w:left="600" w:hanging="600"/>
        <w:rPr>
          <w:spacing w:val="0"/>
          <w:sz w:val="22"/>
          <w:szCs w:val="22"/>
          <w:lang w:val="en-GB"/>
        </w:rPr>
      </w:pPr>
    </w:p>
    <w:p w:rsidR="00545930" w:rsidRDefault="00545930">
      <w:pPr>
        <w:pStyle w:val="para"/>
        <w:widowControl/>
        <w:numPr>
          <w:ilvl w:val="0"/>
          <w:numId w:val="1"/>
        </w:numPr>
        <w:tabs>
          <w:tab w:val="clear" w:pos="0"/>
        </w:tabs>
        <w:suppressAutoHyphens w:val="0"/>
        <w:spacing w:after="0"/>
        <w:ind w:left="600" w:hanging="600"/>
        <w:rPr>
          <w:spacing w:val="0"/>
          <w:sz w:val="22"/>
          <w:szCs w:val="22"/>
          <w:lang w:val="en-GB"/>
        </w:rPr>
      </w:pPr>
      <w:bookmarkStart w:id="7" w:name="_DV_M5"/>
      <w:bookmarkEnd w:id="7"/>
      <w:r>
        <w:rPr>
          <w:spacing w:val="0"/>
          <w:sz w:val="22"/>
          <w:szCs w:val="22"/>
          <w:lang w:val="en-GB"/>
        </w:rPr>
        <w:t>EURO cash</w:t>
      </w:r>
    </w:p>
    <w:p w:rsidR="00545930" w:rsidRDefault="00545930">
      <w:pPr>
        <w:pStyle w:val="para"/>
        <w:widowControl/>
        <w:tabs>
          <w:tab w:val="clear" w:pos="0"/>
        </w:tabs>
        <w:suppressAutoHyphens w:val="0"/>
        <w:spacing w:after="0"/>
        <w:rPr>
          <w:spacing w:val="0"/>
          <w:sz w:val="22"/>
          <w:szCs w:val="22"/>
          <w:lang w:val="en-GB"/>
        </w:rPr>
      </w:pPr>
    </w:p>
    <w:p w:rsidR="00545930" w:rsidRDefault="00545930">
      <w:pPr>
        <w:pStyle w:val="para"/>
        <w:widowControl/>
        <w:numPr>
          <w:ilvl w:val="0"/>
          <w:numId w:val="1"/>
        </w:numPr>
        <w:tabs>
          <w:tab w:val="clear" w:pos="0"/>
        </w:tabs>
        <w:suppressAutoHyphens w:val="0"/>
        <w:spacing w:after="0"/>
        <w:ind w:left="600" w:hanging="600"/>
        <w:rPr>
          <w:spacing w:val="0"/>
          <w:sz w:val="22"/>
          <w:szCs w:val="22"/>
          <w:lang w:val="en-GB"/>
        </w:rPr>
      </w:pPr>
      <w:bookmarkStart w:id="8" w:name="_DV_M6"/>
      <w:bookmarkEnd w:id="8"/>
      <w:r>
        <w:rPr>
          <w:spacing w:val="0"/>
          <w:sz w:val="22"/>
          <w:szCs w:val="22"/>
          <w:lang w:val="en-GB"/>
        </w:rPr>
        <w:t>GBP Pound Sterling cash</w:t>
      </w:r>
    </w:p>
    <w:p w:rsidR="00545930" w:rsidRDefault="00545930">
      <w:pPr>
        <w:pStyle w:val="ListParagraph"/>
        <w:rPr>
          <w:sz w:val="22"/>
          <w:szCs w:val="22"/>
          <w:lang w:val="en-GB"/>
        </w:rPr>
      </w:pPr>
    </w:p>
    <w:p w:rsidR="00545930" w:rsidRDefault="00545930">
      <w:pPr>
        <w:pStyle w:val="para"/>
        <w:widowControl/>
        <w:numPr>
          <w:ilvl w:val="0"/>
          <w:numId w:val="1"/>
        </w:numPr>
        <w:tabs>
          <w:tab w:val="clear" w:pos="0"/>
        </w:tabs>
        <w:suppressAutoHyphens w:val="0"/>
        <w:spacing w:after="0"/>
        <w:ind w:left="600" w:hanging="600"/>
        <w:rPr>
          <w:spacing w:val="0"/>
          <w:sz w:val="22"/>
          <w:szCs w:val="22"/>
          <w:lang w:val="en-GB"/>
        </w:rPr>
      </w:pPr>
      <w:bookmarkStart w:id="9" w:name="_DV_M7"/>
      <w:bookmarkEnd w:id="9"/>
      <w:r>
        <w:rPr>
          <w:spacing w:val="0"/>
          <w:sz w:val="22"/>
          <w:szCs w:val="22"/>
          <w:lang w:val="en-GB"/>
        </w:rPr>
        <w:t>Yen cash</w:t>
      </w:r>
    </w:p>
    <w:p w:rsidR="00545930" w:rsidRDefault="00545930">
      <w:pPr>
        <w:pStyle w:val="ListParagraph"/>
        <w:rPr>
          <w:sz w:val="22"/>
          <w:szCs w:val="22"/>
          <w:lang w:val="en-GB"/>
        </w:rPr>
      </w:pPr>
    </w:p>
    <w:p w:rsidR="00545930" w:rsidRDefault="00545930">
      <w:pPr>
        <w:pStyle w:val="para"/>
        <w:widowControl/>
        <w:numPr>
          <w:ilvl w:val="0"/>
          <w:numId w:val="1"/>
        </w:numPr>
        <w:tabs>
          <w:tab w:val="clear" w:pos="0"/>
        </w:tabs>
        <w:suppressAutoHyphens w:val="0"/>
        <w:spacing w:after="0"/>
        <w:ind w:left="600" w:hanging="600"/>
        <w:rPr>
          <w:spacing w:val="0"/>
          <w:sz w:val="22"/>
          <w:szCs w:val="22"/>
          <w:lang w:val="en-GB"/>
        </w:rPr>
      </w:pPr>
      <w:bookmarkStart w:id="10" w:name="_DV_M8"/>
      <w:bookmarkEnd w:id="10"/>
      <w:r>
        <w:rPr>
          <w:spacing w:val="0"/>
          <w:sz w:val="22"/>
          <w:szCs w:val="22"/>
          <w:lang w:val="en-GB"/>
        </w:rPr>
        <w:t>Australian Dollar cash</w:t>
      </w:r>
    </w:p>
    <w:p w:rsidR="00545930" w:rsidRDefault="00545930">
      <w:pPr>
        <w:pStyle w:val="ListParagraph"/>
        <w:rPr>
          <w:sz w:val="22"/>
          <w:szCs w:val="22"/>
          <w:lang w:val="en-GB"/>
        </w:rPr>
      </w:pPr>
    </w:p>
    <w:p w:rsidR="00545930" w:rsidRDefault="00545930">
      <w:pPr>
        <w:pStyle w:val="para"/>
        <w:widowControl/>
        <w:numPr>
          <w:ilvl w:val="0"/>
          <w:numId w:val="1"/>
        </w:numPr>
        <w:tabs>
          <w:tab w:val="clear" w:pos="0"/>
        </w:tabs>
        <w:suppressAutoHyphens w:val="0"/>
        <w:spacing w:after="0"/>
        <w:ind w:left="600" w:hanging="600"/>
        <w:rPr>
          <w:spacing w:val="0"/>
          <w:sz w:val="22"/>
          <w:szCs w:val="22"/>
          <w:lang w:val="en-GB"/>
        </w:rPr>
      </w:pPr>
      <w:bookmarkStart w:id="11" w:name="_DV_M9"/>
      <w:bookmarkEnd w:id="11"/>
      <w:r>
        <w:rPr>
          <w:spacing w:val="0"/>
          <w:sz w:val="22"/>
          <w:szCs w:val="22"/>
          <w:lang w:val="en-GB"/>
        </w:rPr>
        <w:t>Canadian Dollar cash</w:t>
      </w:r>
    </w:p>
    <w:p w:rsidR="00545930" w:rsidRDefault="00545930">
      <w:pPr>
        <w:pStyle w:val="para"/>
        <w:widowControl/>
        <w:tabs>
          <w:tab w:val="clear" w:pos="0"/>
        </w:tabs>
        <w:suppressAutoHyphens w:val="0"/>
        <w:spacing w:after="0"/>
        <w:ind w:left="600" w:hanging="600"/>
        <w:rPr>
          <w:sz w:val="22"/>
          <w:szCs w:val="22"/>
          <w:lang w:val="en-GB"/>
        </w:rPr>
      </w:pPr>
    </w:p>
    <w:p w:rsidR="00545930" w:rsidRDefault="00545930">
      <w:pPr>
        <w:pStyle w:val="para"/>
        <w:widowControl/>
        <w:tabs>
          <w:tab w:val="clear" w:pos="0"/>
        </w:tabs>
        <w:suppressAutoHyphens w:val="0"/>
        <w:spacing w:after="0"/>
        <w:ind w:left="600" w:hanging="600"/>
        <w:rPr>
          <w:sz w:val="22"/>
          <w:szCs w:val="22"/>
          <w:u w:val="single"/>
          <w:lang w:val="en-GB"/>
        </w:rPr>
      </w:pPr>
      <w:bookmarkStart w:id="12" w:name="_DV_M10"/>
      <w:bookmarkEnd w:id="12"/>
      <w:r>
        <w:rPr>
          <w:sz w:val="22"/>
          <w:szCs w:val="22"/>
          <w:u w:val="single"/>
          <w:lang w:val="en-GB"/>
        </w:rPr>
        <w:t>Non-Cash Collateral</w:t>
      </w:r>
    </w:p>
    <w:p w:rsidR="00545930" w:rsidRDefault="00545930">
      <w:pPr>
        <w:pStyle w:val="para"/>
        <w:widowControl/>
        <w:tabs>
          <w:tab w:val="clear" w:pos="0"/>
        </w:tabs>
        <w:suppressAutoHyphens w:val="0"/>
        <w:spacing w:after="0"/>
        <w:ind w:left="600" w:hanging="600"/>
        <w:rPr>
          <w:sz w:val="22"/>
          <w:szCs w:val="22"/>
          <w:lang w:val="en-GB"/>
        </w:rPr>
      </w:pPr>
    </w:p>
    <w:p w:rsidR="00545930" w:rsidRDefault="00545930" w:rsidP="003E2829">
      <w:pPr>
        <w:ind w:left="720" w:hanging="720"/>
        <w:rPr>
          <w:rFonts w:hAnsi="Times New Roman"/>
          <w:sz w:val="22"/>
          <w:szCs w:val="22"/>
          <w:lang w:val="en-GB"/>
        </w:rPr>
      </w:pPr>
      <w:bookmarkStart w:id="13" w:name="_DV_M11"/>
      <w:bookmarkEnd w:id="13"/>
      <w:r>
        <w:rPr>
          <w:sz w:val="22"/>
          <w:szCs w:val="22"/>
          <w:lang w:val="en-GB"/>
        </w:rPr>
        <w:t>7)</w:t>
      </w:r>
      <w:r>
        <w:rPr>
          <w:sz w:val="22"/>
          <w:szCs w:val="22"/>
          <w:lang w:val="en-GB"/>
        </w:rPr>
        <w:tab/>
        <w:t>Debt obligations and securities issued</w:t>
      </w:r>
      <w:bookmarkStart w:id="14" w:name="_DV_M12"/>
      <w:bookmarkEnd w:id="14"/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by a government</w:t>
      </w:r>
      <w:bookmarkStart w:id="15" w:name="_DV_M13"/>
      <w:bookmarkStart w:id="16" w:name="_DV_M15"/>
      <w:bookmarkEnd w:id="15"/>
      <w:bookmarkEnd w:id="16"/>
      <w:r>
        <w:rPr>
          <w:sz w:val="22"/>
          <w:szCs w:val="22"/>
          <w:lang w:val="en-GB"/>
        </w:rPr>
        <w:t xml:space="preserve"> where such government</w:t>
      </w:r>
      <w:bookmarkStart w:id="17" w:name="_DV_M16"/>
      <w:bookmarkEnd w:id="17"/>
      <w:r>
        <w:rPr>
          <w:sz w:val="22"/>
          <w:szCs w:val="22"/>
          <w:lang w:val="en-GB"/>
        </w:rPr>
        <w:t xml:space="preserve"> is a ratified member of the Organization for Economic Co-Operation and Development, or by the government of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  <w:lang w:val="en-GB"/>
            </w:rPr>
            <w:t>Singapore</w:t>
          </w:r>
        </w:smartTag>
      </w:smartTag>
      <w:r>
        <w:rPr>
          <w:sz w:val="22"/>
          <w:szCs w:val="22"/>
          <w:lang w:val="en-GB"/>
        </w:rPr>
        <w:t>.</w:t>
      </w:r>
      <w:bookmarkStart w:id="18" w:name="_DV_M17"/>
      <w:bookmarkStart w:id="19" w:name="_DV_M18"/>
      <w:bookmarkStart w:id="20" w:name="_DV_M19"/>
      <w:bookmarkStart w:id="21" w:name="_DV_M20"/>
      <w:bookmarkStart w:id="22" w:name="_DV_M21"/>
      <w:bookmarkStart w:id="23" w:name="_DV_M22"/>
      <w:bookmarkStart w:id="24" w:name="_DV_M23"/>
      <w:bookmarkStart w:id="25" w:name="_DV_M24"/>
      <w:bookmarkStart w:id="26" w:name="_DV_M25"/>
      <w:bookmarkStart w:id="27" w:name="_DV_M26"/>
      <w:bookmarkStart w:id="28" w:name="_DV_M27"/>
      <w:bookmarkStart w:id="29" w:name="_DV_M28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rFonts w:hAnsi="Times New Roman"/>
          <w:sz w:val="22"/>
          <w:szCs w:val="22"/>
          <w:lang w:val="en-GB"/>
        </w:rPr>
        <w:t xml:space="preserve"> Debt obligations and securities issued by a</w:t>
      </w:r>
      <w:r w:rsidRPr="00E6534D">
        <w:rPr>
          <w:rFonts w:hAnsi="Times New Roman"/>
          <w:sz w:val="22"/>
          <w:szCs w:val="22"/>
          <w:lang w:val="en-GB"/>
        </w:rPr>
        <w:t xml:space="preserve">gencies </w:t>
      </w:r>
      <w:r>
        <w:rPr>
          <w:rFonts w:hAnsi="Times New Roman"/>
          <w:sz w:val="22"/>
          <w:szCs w:val="22"/>
          <w:lang w:val="en-GB"/>
        </w:rPr>
        <w:t>and</w:t>
      </w:r>
      <w:r w:rsidRPr="00E6534D">
        <w:rPr>
          <w:rFonts w:hAnsi="Times New Roman"/>
          <w:sz w:val="22"/>
          <w:szCs w:val="22"/>
          <w:lang w:val="en-GB"/>
        </w:rPr>
        <w:t xml:space="preserve"> in</w:t>
      </w:r>
      <w:r>
        <w:rPr>
          <w:rFonts w:hAnsi="Times New Roman"/>
          <w:sz w:val="22"/>
          <w:szCs w:val="22"/>
          <w:lang w:val="en-GB"/>
        </w:rPr>
        <w:t>s</w:t>
      </w:r>
      <w:r w:rsidRPr="00E6534D">
        <w:rPr>
          <w:rFonts w:hAnsi="Times New Roman"/>
          <w:sz w:val="22"/>
          <w:szCs w:val="22"/>
          <w:lang w:val="en-GB"/>
        </w:rPr>
        <w:t>trumentalities of the</w:t>
      </w:r>
      <w:r>
        <w:rPr>
          <w:rFonts w:hAnsi="Times New Roman"/>
          <w:sz w:val="22"/>
          <w:szCs w:val="22"/>
          <w:lang w:val="en-GB"/>
        </w:rPr>
        <w:t>se same</w:t>
      </w:r>
      <w:r w:rsidRPr="00E6534D">
        <w:rPr>
          <w:rFonts w:hAnsi="Times New Roman"/>
          <w:sz w:val="22"/>
          <w:szCs w:val="22"/>
          <w:lang w:val="en-GB"/>
        </w:rPr>
        <w:t xml:space="preserve"> governments are </w:t>
      </w:r>
      <w:r>
        <w:rPr>
          <w:rFonts w:hAnsi="Times New Roman"/>
          <w:sz w:val="22"/>
          <w:szCs w:val="22"/>
          <w:lang w:val="en-GB"/>
        </w:rPr>
        <w:t xml:space="preserve">also </w:t>
      </w:r>
      <w:r w:rsidRPr="00C0022E">
        <w:rPr>
          <w:rFonts w:hAnsi="Times New Roman"/>
          <w:sz w:val="22"/>
          <w:szCs w:val="22"/>
          <w:lang w:val="en-GB"/>
        </w:rPr>
        <w:t>acceptable</w:t>
      </w:r>
      <w:r>
        <w:rPr>
          <w:rFonts w:hAnsi="Times New Roman"/>
          <w:sz w:val="22"/>
          <w:szCs w:val="22"/>
          <w:lang w:val="en-GB"/>
        </w:rPr>
        <w:t>.</w:t>
      </w:r>
      <w:r w:rsidRPr="00E6534D">
        <w:rPr>
          <w:rFonts w:hAnsi="Times New Roman"/>
          <w:sz w:val="22"/>
          <w:szCs w:val="22"/>
          <w:lang w:val="en-GB"/>
        </w:rPr>
        <w:t xml:space="preserve"> </w:t>
      </w:r>
    </w:p>
    <w:p w:rsidR="00545930" w:rsidRDefault="00545930">
      <w:pPr>
        <w:jc w:val="both"/>
        <w:rPr>
          <w:rFonts w:hAnsi="Times New Roman"/>
          <w:sz w:val="22"/>
          <w:szCs w:val="22"/>
          <w:lang w:val="en-GB"/>
        </w:rPr>
      </w:pPr>
      <w:bookmarkStart w:id="30" w:name="_DV_M29"/>
      <w:bookmarkEnd w:id="30"/>
      <w:r>
        <w:rPr>
          <w:rFonts w:hAnsi="Times New Roman"/>
          <w:sz w:val="22"/>
          <w:szCs w:val="22"/>
          <w:lang w:val="en-GB"/>
        </w:rPr>
        <w:tab/>
      </w:r>
      <w:r>
        <w:rPr>
          <w:rFonts w:hAnsi="Times New Roman"/>
          <w:sz w:val="22"/>
          <w:szCs w:val="22"/>
          <w:lang w:val="en-GB"/>
        </w:rPr>
        <w:tab/>
      </w:r>
      <w:r>
        <w:rPr>
          <w:rFonts w:hAnsi="Times New Roman"/>
          <w:sz w:val="22"/>
          <w:szCs w:val="22"/>
          <w:lang w:val="en-GB"/>
        </w:rPr>
        <w:tab/>
      </w:r>
    </w:p>
    <w:p w:rsidR="00545930" w:rsidRPr="00E12251" w:rsidRDefault="00545930" w:rsidP="003E2829">
      <w:pPr>
        <w:pStyle w:val="para"/>
        <w:widowControl/>
        <w:tabs>
          <w:tab w:val="clear" w:pos="0"/>
        </w:tabs>
        <w:suppressAutoHyphens w:val="0"/>
        <w:spacing w:after="0"/>
        <w:ind w:left="720" w:hanging="720"/>
        <w:jc w:val="left"/>
        <w:rPr>
          <w:spacing w:val="0"/>
          <w:sz w:val="22"/>
          <w:szCs w:val="22"/>
          <w:lang w:val="en-GB"/>
        </w:rPr>
      </w:pPr>
      <w:bookmarkStart w:id="31" w:name="_DV_M30"/>
      <w:bookmarkEnd w:id="31"/>
      <w:r>
        <w:rPr>
          <w:sz w:val="22"/>
          <w:szCs w:val="22"/>
          <w:lang w:val="en-GB"/>
        </w:rPr>
        <w:t>8)</w:t>
      </w:r>
      <w:r>
        <w:rPr>
          <w:sz w:val="22"/>
          <w:szCs w:val="22"/>
          <w:lang w:val="en-GB"/>
        </w:rPr>
        <w:tab/>
      </w:r>
      <w:r w:rsidRPr="00E12251">
        <w:rPr>
          <w:sz w:val="22"/>
          <w:szCs w:val="22"/>
          <w:lang w:val="en-GB"/>
        </w:rPr>
        <w:t>Debt obligations issued by the following supranational issuers:</w:t>
      </w:r>
    </w:p>
    <w:p w:rsidR="00545930" w:rsidRPr="00E12251" w:rsidRDefault="00545930">
      <w:pPr>
        <w:ind w:left="720" w:hanging="720"/>
        <w:jc w:val="both"/>
        <w:rPr>
          <w:rFonts w:hAnsi="Times New Roman"/>
          <w:sz w:val="22"/>
          <w:szCs w:val="22"/>
          <w:lang w:val="en-GB"/>
        </w:rPr>
      </w:pPr>
    </w:p>
    <w:p w:rsidR="00545930" w:rsidRPr="00E12251" w:rsidRDefault="00545930">
      <w:pPr>
        <w:ind w:left="720"/>
        <w:rPr>
          <w:rFonts w:hAnsi="Times New Roman"/>
          <w:sz w:val="22"/>
          <w:szCs w:val="22"/>
          <w:lang w:val="en-GB"/>
        </w:rPr>
      </w:pPr>
      <w:bookmarkStart w:id="32" w:name="_DV_M31"/>
      <w:bookmarkEnd w:id="32"/>
      <w:r w:rsidRPr="00E12251">
        <w:rPr>
          <w:rFonts w:hAnsi="Times New Roman"/>
          <w:sz w:val="22"/>
          <w:szCs w:val="22"/>
          <w:lang w:val="en-GB"/>
        </w:rPr>
        <w:t>European Bank for Reconstruction and Development</w:t>
      </w:r>
    </w:p>
    <w:p w:rsidR="00545930" w:rsidRPr="00E12251" w:rsidRDefault="00545930">
      <w:pPr>
        <w:ind w:left="720"/>
        <w:rPr>
          <w:rFonts w:hAnsi="Times New Roman"/>
          <w:sz w:val="22"/>
          <w:szCs w:val="22"/>
          <w:lang w:val="en-GB"/>
        </w:rPr>
      </w:pPr>
      <w:bookmarkStart w:id="33" w:name="_DV_M32"/>
      <w:bookmarkEnd w:id="33"/>
      <w:r w:rsidRPr="00E12251">
        <w:rPr>
          <w:rFonts w:hAnsi="Times New Roman"/>
          <w:sz w:val="22"/>
          <w:szCs w:val="22"/>
          <w:lang w:val="en-GB"/>
        </w:rPr>
        <w:t>European Investment Bank</w:t>
      </w:r>
    </w:p>
    <w:p w:rsidR="00545930" w:rsidRDefault="00545930">
      <w:pPr>
        <w:ind w:left="720"/>
        <w:rPr>
          <w:rFonts w:hAnsi="Times New Roman"/>
          <w:sz w:val="22"/>
          <w:szCs w:val="22"/>
          <w:lang w:val="en-GB"/>
        </w:rPr>
      </w:pPr>
      <w:bookmarkStart w:id="34" w:name="_DV_M33"/>
      <w:bookmarkEnd w:id="34"/>
      <w:r w:rsidRPr="00E12251">
        <w:rPr>
          <w:rFonts w:hAnsi="Times New Roman"/>
          <w:sz w:val="22"/>
          <w:szCs w:val="22"/>
          <w:lang w:val="en-GB"/>
        </w:rPr>
        <w:t>European Union</w:t>
      </w:r>
    </w:p>
    <w:p w:rsidR="0095572D" w:rsidRPr="00E12251" w:rsidRDefault="0095572D">
      <w:pPr>
        <w:ind w:left="720"/>
        <w:rPr>
          <w:rFonts w:hAnsi="Times New Roman"/>
          <w:sz w:val="22"/>
          <w:szCs w:val="22"/>
          <w:lang w:val="en-GB"/>
        </w:rPr>
      </w:pPr>
      <w:r>
        <w:rPr>
          <w:rFonts w:hAnsi="Times New Roman"/>
          <w:sz w:val="22"/>
          <w:szCs w:val="22"/>
          <w:lang w:val="en-GB"/>
        </w:rPr>
        <w:t>European Stability Mechanism</w:t>
      </w:r>
    </w:p>
    <w:p w:rsidR="00545930" w:rsidRPr="00E12251" w:rsidRDefault="00545930">
      <w:pPr>
        <w:ind w:left="720"/>
        <w:rPr>
          <w:rFonts w:hAnsi="Times New Roman"/>
          <w:sz w:val="22"/>
          <w:szCs w:val="22"/>
          <w:lang w:val="en-GB"/>
        </w:rPr>
      </w:pPr>
      <w:bookmarkStart w:id="35" w:name="_DV_M34"/>
      <w:bookmarkEnd w:id="35"/>
      <w:r w:rsidRPr="00E12251">
        <w:rPr>
          <w:rFonts w:hAnsi="Times New Roman"/>
          <w:sz w:val="22"/>
          <w:szCs w:val="22"/>
          <w:lang w:val="en-GB"/>
        </w:rPr>
        <w:t>Inter-American Development Bank</w:t>
      </w:r>
    </w:p>
    <w:p w:rsidR="00545930" w:rsidRPr="00E12251" w:rsidRDefault="00545930">
      <w:pPr>
        <w:ind w:left="720"/>
        <w:rPr>
          <w:rFonts w:hAnsi="Times New Roman"/>
          <w:sz w:val="22"/>
          <w:szCs w:val="22"/>
          <w:lang w:val="en-GB"/>
        </w:rPr>
      </w:pPr>
      <w:bookmarkStart w:id="36" w:name="_DV_M35"/>
      <w:bookmarkEnd w:id="36"/>
      <w:r w:rsidRPr="00E12251">
        <w:rPr>
          <w:rFonts w:hAnsi="Times New Roman"/>
          <w:sz w:val="22"/>
          <w:szCs w:val="22"/>
          <w:lang w:val="en-GB"/>
        </w:rPr>
        <w:t>International Bank for Reconstruction and Development</w:t>
      </w:r>
    </w:p>
    <w:p w:rsidR="00545930" w:rsidRPr="00E12251" w:rsidRDefault="00545930">
      <w:pPr>
        <w:ind w:left="720"/>
        <w:rPr>
          <w:rFonts w:hAnsi="Times New Roman"/>
          <w:sz w:val="22"/>
          <w:szCs w:val="22"/>
          <w:lang w:val="en-GB"/>
        </w:rPr>
      </w:pPr>
      <w:bookmarkStart w:id="37" w:name="_DV_M36"/>
      <w:bookmarkEnd w:id="37"/>
      <w:r w:rsidRPr="00E12251">
        <w:rPr>
          <w:rFonts w:hAnsi="Times New Roman"/>
          <w:sz w:val="22"/>
          <w:szCs w:val="22"/>
          <w:lang w:val="en-GB"/>
        </w:rPr>
        <w:t>International Finance Corporation</w:t>
      </w:r>
    </w:p>
    <w:p w:rsidR="00545930" w:rsidRPr="00E12251" w:rsidRDefault="00545930">
      <w:pPr>
        <w:ind w:left="720"/>
        <w:rPr>
          <w:rFonts w:hAnsi="Times New Roman"/>
          <w:sz w:val="22"/>
          <w:szCs w:val="22"/>
          <w:lang w:val="en-GB"/>
        </w:rPr>
      </w:pPr>
      <w:bookmarkStart w:id="38" w:name="_DV_M37"/>
      <w:bookmarkEnd w:id="38"/>
      <w:r w:rsidRPr="00E12251">
        <w:rPr>
          <w:rFonts w:hAnsi="Times New Roman"/>
          <w:sz w:val="22"/>
          <w:szCs w:val="22"/>
          <w:lang w:val="en-GB"/>
        </w:rPr>
        <w:t>European Financial Stability Facility</w:t>
      </w:r>
    </w:p>
    <w:p w:rsidR="00545930" w:rsidRPr="00E12251" w:rsidRDefault="00545930">
      <w:pPr>
        <w:ind w:left="720"/>
        <w:rPr>
          <w:rFonts w:hAnsi="Times New Roman"/>
          <w:sz w:val="22"/>
          <w:szCs w:val="22"/>
          <w:lang w:val="en-GB"/>
        </w:rPr>
      </w:pPr>
      <w:proofErr w:type="spellStart"/>
      <w:r w:rsidRPr="00E12251">
        <w:rPr>
          <w:rFonts w:hAnsi="Times New Roman"/>
          <w:sz w:val="22"/>
          <w:szCs w:val="22"/>
          <w:lang w:val="en-GB"/>
        </w:rPr>
        <w:t>Eurofima</w:t>
      </w:r>
      <w:proofErr w:type="spellEnd"/>
    </w:p>
    <w:p w:rsidR="00545930" w:rsidRDefault="00545930">
      <w:pPr>
        <w:ind w:left="720"/>
        <w:rPr>
          <w:rFonts w:hAnsi="Times New Roman"/>
          <w:sz w:val="22"/>
          <w:szCs w:val="22"/>
          <w:lang w:val="en-GB"/>
        </w:rPr>
      </w:pPr>
      <w:r w:rsidRPr="00E12251">
        <w:rPr>
          <w:rFonts w:hAnsi="Times New Roman"/>
          <w:sz w:val="22"/>
          <w:szCs w:val="22"/>
          <w:lang w:val="en-GB"/>
        </w:rPr>
        <w:t>Council of Europe Development Bank</w:t>
      </w:r>
    </w:p>
    <w:p w:rsidR="00545930" w:rsidRPr="00144911" w:rsidRDefault="00545930" w:rsidP="00BD2B36">
      <w:pPr>
        <w:ind w:left="720"/>
        <w:rPr>
          <w:rFonts w:hAnsi="Times New Roman"/>
          <w:sz w:val="22"/>
          <w:szCs w:val="22"/>
          <w:lang w:val="en-GB"/>
        </w:rPr>
      </w:pPr>
      <w:r w:rsidRPr="00144911">
        <w:rPr>
          <w:rFonts w:hAnsi="Times New Roman"/>
          <w:sz w:val="22"/>
          <w:szCs w:val="22"/>
          <w:lang w:val="en-GB"/>
        </w:rPr>
        <w:t>Eutelsat</w:t>
      </w:r>
    </w:p>
    <w:p w:rsidR="00545930" w:rsidRPr="00144911" w:rsidRDefault="00545930" w:rsidP="00BD2B36">
      <w:pPr>
        <w:ind w:left="720"/>
        <w:rPr>
          <w:rFonts w:hAnsi="Times New Roman"/>
          <w:sz w:val="22"/>
          <w:szCs w:val="22"/>
          <w:lang w:val="en-GB"/>
        </w:rPr>
      </w:pPr>
      <w:r w:rsidRPr="00144911">
        <w:rPr>
          <w:rFonts w:hAnsi="Times New Roman"/>
          <w:sz w:val="22"/>
          <w:szCs w:val="22"/>
          <w:lang w:val="en-GB"/>
        </w:rPr>
        <w:t>Organisation for Economic Co-operation and Development</w:t>
      </w:r>
    </w:p>
    <w:p w:rsidR="00545930" w:rsidRPr="00144911" w:rsidRDefault="00545930" w:rsidP="00BD2B36">
      <w:pPr>
        <w:ind w:left="720"/>
        <w:rPr>
          <w:rFonts w:hAnsi="Times New Roman"/>
          <w:sz w:val="22"/>
          <w:szCs w:val="22"/>
          <w:lang w:val="en-GB"/>
        </w:rPr>
      </w:pPr>
      <w:r w:rsidRPr="00144911">
        <w:rPr>
          <w:rFonts w:hAnsi="Times New Roman"/>
          <w:sz w:val="22"/>
          <w:szCs w:val="22"/>
          <w:lang w:val="en-GB"/>
        </w:rPr>
        <w:t>African Development Bank</w:t>
      </w:r>
    </w:p>
    <w:p w:rsidR="00545930" w:rsidRPr="00144911" w:rsidRDefault="00545930" w:rsidP="00BD2B36">
      <w:pPr>
        <w:ind w:left="720"/>
        <w:rPr>
          <w:rFonts w:hAnsi="Times New Roman"/>
          <w:sz w:val="22"/>
          <w:szCs w:val="22"/>
          <w:lang w:val="en-GB"/>
        </w:rPr>
      </w:pPr>
      <w:r w:rsidRPr="00144911">
        <w:rPr>
          <w:rFonts w:hAnsi="Times New Roman"/>
          <w:sz w:val="22"/>
          <w:szCs w:val="22"/>
          <w:lang w:val="en-GB"/>
        </w:rPr>
        <w:t>Asian Development Bank</w:t>
      </w:r>
    </w:p>
    <w:p w:rsidR="00545930" w:rsidRPr="00144911" w:rsidRDefault="00545930" w:rsidP="00BD2B36">
      <w:pPr>
        <w:ind w:left="720"/>
        <w:rPr>
          <w:rFonts w:hAnsi="Times New Roman"/>
          <w:sz w:val="22"/>
          <w:szCs w:val="22"/>
          <w:lang w:val="en-GB"/>
        </w:rPr>
      </w:pPr>
      <w:r w:rsidRPr="00144911">
        <w:rPr>
          <w:rFonts w:hAnsi="Times New Roman"/>
          <w:sz w:val="22"/>
          <w:szCs w:val="22"/>
          <w:lang w:val="en-GB"/>
        </w:rPr>
        <w:t>Bank for International Settlements</w:t>
      </w:r>
    </w:p>
    <w:p w:rsidR="00545930" w:rsidRPr="00144911" w:rsidRDefault="00545930" w:rsidP="00BD2B36">
      <w:pPr>
        <w:ind w:left="720"/>
        <w:rPr>
          <w:rFonts w:hAnsi="Times New Roman"/>
          <w:sz w:val="22"/>
          <w:szCs w:val="22"/>
          <w:lang w:val="en-GB"/>
        </w:rPr>
      </w:pPr>
      <w:proofErr w:type="spellStart"/>
      <w:r w:rsidRPr="00144911">
        <w:rPr>
          <w:rFonts w:hAnsi="Times New Roman"/>
          <w:sz w:val="22"/>
          <w:szCs w:val="22"/>
          <w:lang w:val="en-GB"/>
        </w:rPr>
        <w:t>Euratom</w:t>
      </w:r>
      <w:proofErr w:type="spellEnd"/>
    </w:p>
    <w:p w:rsidR="00545930" w:rsidRPr="00144911" w:rsidRDefault="00545930" w:rsidP="00BD2B36">
      <w:pPr>
        <w:ind w:left="720"/>
        <w:rPr>
          <w:rFonts w:hAnsi="Times New Roman"/>
          <w:sz w:val="22"/>
          <w:szCs w:val="22"/>
          <w:lang w:val="en-GB"/>
        </w:rPr>
      </w:pPr>
      <w:r w:rsidRPr="00144911">
        <w:rPr>
          <w:rFonts w:hAnsi="Times New Roman"/>
          <w:sz w:val="22"/>
          <w:szCs w:val="22"/>
          <w:lang w:val="en-GB"/>
        </w:rPr>
        <w:t>European Coal and Steel Community</w:t>
      </w:r>
    </w:p>
    <w:p w:rsidR="00545930" w:rsidRPr="00144911" w:rsidRDefault="00545930" w:rsidP="00BD2B36">
      <w:pPr>
        <w:ind w:left="720"/>
        <w:rPr>
          <w:rFonts w:hAnsi="Times New Roman"/>
          <w:sz w:val="22"/>
          <w:szCs w:val="22"/>
          <w:lang w:val="en-GB"/>
        </w:rPr>
      </w:pPr>
      <w:r w:rsidRPr="00144911">
        <w:rPr>
          <w:rFonts w:hAnsi="Times New Roman"/>
          <w:sz w:val="22"/>
          <w:szCs w:val="22"/>
          <w:lang w:val="en-GB"/>
        </w:rPr>
        <w:t>International Development Association</w:t>
      </w:r>
    </w:p>
    <w:p w:rsidR="00545930" w:rsidRPr="00144911" w:rsidRDefault="00545930" w:rsidP="00BD2B36">
      <w:pPr>
        <w:ind w:left="720"/>
        <w:rPr>
          <w:rFonts w:hAnsi="Times New Roman"/>
          <w:sz w:val="22"/>
          <w:szCs w:val="22"/>
          <w:lang w:val="en-GB"/>
        </w:rPr>
      </w:pPr>
      <w:r w:rsidRPr="00144911">
        <w:rPr>
          <w:rFonts w:hAnsi="Times New Roman"/>
          <w:sz w:val="22"/>
          <w:szCs w:val="22"/>
          <w:lang w:val="en-GB"/>
        </w:rPr>
        <w:t>International Monetary Fund</w:t>
      </w:r>
    </w:p>
    <w:p w:rsidR="00545930" w:rsidRPr="00144911" w:rsidRDefault="00545930" w:rsidP="00BD2B36">
      <w:pPr>
        <w:ind w:left="720"/>
        <w:rPr>
          <w:rFonts w:hAnsi="Times New Roman"/>
          <w:sz w:val="22"/>
          <w:szCs w:val="22"/>
          <w:lang w:val="en-GB"/>
        </w:rPr>
      </w:pPr>
      <w:r w:rsidRPr="00144911">
        <w:rPr>
          <w:rFonts w:hAnsi="Times New Roman"/>
          <w:sz w:val="22"/>
          <w:szCs w:val="22"/>
          <w:lang w:val="en-GB"/>
        </w:rPr>
        <w:t>Nordic Investment Bank</w:t>
      </w:r>
      <w:r w:rsidR="0095572D">
        <w:rPr>
          <w:rFonts w:hAnsi="Times New Roman"/>
          <w:sz w:val="22"/>
          <w:szCs w:val="22"/>
          <w:lang w:val="en-GB"/>
        </w:rPr>
        <w:br/>
      </w:r>
      <w:r w:rsidR="0095572D">
        <w:rPr>
          <w:rFonts w:hAnsi="Times New Roman"/>
          <w:sz w:val="22"/>
          <w:szCs w:val="22"/>
          <w:lang w:val="en-GB"/>
        </w:rPr>
        <w:br/>
      </w:r>
    </w:p>
    <w:p w:rsidR="00545930" w:rsidRPr="007C148E" w:rsidRDefault="00545930">
      <w:pPr>
        <w:ind w:left="720"/>
        <w:rPr>
          <w:rFonts w:hAnsi="Times New Roman"/>
          <w:color w:val="FF0000"/>
          <w:sz w:val="22"/>
          <w:szCs w:val="22"/>
          <w:lang w:val="en-GB"/>
        </w:rPr>
      </w:pPr>
      <w:r w:rsidRPr="007C148E">
        <w:rPr>
          <w:rFonts w:hAnsi="Times New Roman"/>
          <w:color w:val="FF0000"/>
          <w:sz w:val="22"/>
          <w:szCs w:val="22"/>
          <w:lang w:val="en-GB"/>
        </w:rPr>
        <w:t xml:space="preserve"> </w:t>
      </w:r>
    </w:p>
    <w:p w:rsidR="00545930" w:rsidRPr="00DF611E" w:rsidRDefault="00545930" w:rsidP="003E2829">
      <w:pPr>
        <w:pStyle w:val="ListParagraph"/>
        <w:spacing w:before="240"/>
        <w:ind w:hanging="720"/>
        <w:jc w:val="both"/>
        <w:rPr>
          <w:sz w:val="22"/>
          <w:szCs w:val="22"/>
          <w:lang w:val="en-GB"/>
        </w:rPr>
      </w:pPr>
      <w:bookmarkStart w:id="39" w:name="_DV_M38"/>
      <w:bookmarkEnd w:id="39"/>
      <w:r>
        <w:rPr>
          <w:sz w:val="22"/>
          <w:szCs w:val="22"/>
          <w:lang w:val="en-GB"/>
        </w:rPr>
        <w:lastRenderedPageBreak/>
        <w:t>9)</w:t>
      </w:r>
      <w:r>
        <w:rPr>
          <w:sz w:val="22"/>
          <w:szCs w:val="22"/>
          <w:lang w:val="en-GB"/>
        </w:rPr>
        <w:tab/>
        <w:t>Equity securities</w:t>
      </w:r>
      <w:r w:rsidRPr="00DF611E">
        <w:rPr>
          <w:sz w:val="22"/>
          <w:szCs w:val="22"/>
          <w:lang w:val="en-GB"/>
        </w:rPr>
        <w:t xml:space="preserve"> </w:t>
      </w:r>
      <w:bookmarkStart w:id="40" w:name="_DV_C10"/>
      <w:r w:rsidRPr="00DF611E">
        <w:rPr>
          <w:rStyle w:val="DeltaViewInsertion"/>
          <w:color w:val="auto"/>
          <w:sz w:val="22"/>
          <w:szCs w:val="22"/>
          <w:u w:val="none"/>
          <w:lang w:val="en-GB"/>
        </w:rPr>
        <w:t xml:space="preserve">listed on the following indices </w:t>
      </w:r>
      <w:bookmarkStart w:id="41" w:name="_DV_M39"/>
      <w:bookmarkEnd w:id="40"/>
      <w:bookmarkEnd w:id="41"/>
      <w:r w:rsidRPr="00DF611E">
        <w:rPr>
          <w:sz w:val="22"/>
          <w:szCs w:val="22"/>
          <w:lang w:val="en-GB"/>
        </w:rPr>
        <w:t>(including Depositary Receipt</w:t>
      </w:r>
      <w:bookmarkStart w:id="42" w:name="_DV_C12"/>
      <w:r>
        <w:rPr>
          <w:rStyle w:val="DeltaViewInsertion"/>
          <w:color w:val="auto"/>
          <w:sz w:val="22"/>
          <w:szCs w:val="22"/>
          <w:u w:val="none"/>
          <w:lang w:val="en-GB"/>
        </w:rPr>
        <w:t>s w</w:t>
      </w:r>
      <w:r w:rsidRPr="00DF611E">
        <w:rPr>
          <w:rStyle w:val="DeltaViewInsertion"/>
          <w:color w:val="auto"/>
          <w:sz w:val="22"/>
          <w:szCs w:val="22"/>
          <w:u w:val="none"/>
          <w:lang w:val="en-GB"/>
        </w:rPr>
        <w:t>here the</w:t>
      </w:r>
      <w:bookmarkStart w:id="43" w:name="_DV_M40"/>
      <w:bookmarkEnd w:id="42"/>
      <w:bookmarkEnd w:id="43"/>
      <w:r w:rsidRPr="00DF611E">
        <w:rPr>
          <w:sz w:val="22"/>
          <w:szCs w:val="22"/>
          <w:lang w:val="en-GB"/>
        </w:rPr>
        <w:t xml:space="preserve"> underlying equity</w:t>
      </w:r>
      <w:bookmarkStart w:id="44" w:name="_DV_C13"/>
      <w:r>
        <w:rPr>
          <w:sz w:val="22"/>
          <w:szCs w:val="22"/>
          <w:lang w:val="en-GB"/>
        </w:rPr>
        <w:t xml:space="preserve"> </w:t>
      </w:r>
      <w:bookmarkStart w:id="45" w:name="_DV_C14"/>
      <w:bookmarkEnd w:id="44"/>
      <w:r w:rsidRPr="00DF611E">
        <w:rPr>
          <w:rStyle w:val="DeltaViewInsertion"/>
          <w:color w:val="auto"/>
          <w:sz w:val="22"/>
          <w:szCs w:val="22"/>
          <w:u w:val="none"/>
          <w:lang w:val="en-GB"/>
        </w:rPr>
        <w:t>security is</w:t>
      </w:r>
      <w:bookmarkEnd w:id="45"/>
      <w:r w:rsidRPr="00DF611E">
        <w:rPr>
          <w:sz w:val="22"/>
          <w:szCs w:val="22"/>
          <w:lang w:val="en-GB"/>
        </w:rPr>
        <w:t xml:space="preserve"> listed on the following indices</w:t>
      </w:r>
      <w:bookmarkStart w:id="46" w:name="_DV_C15"/>
      <w:r>
        <w:rPr>
          <w:sz w:val="22"/>
          <w:szCs w:val="22"/>
          <w:lang w:val="en-GB"/>
        </w:rPr>
        <w:t>)</w:t>
      </w:r>
      <w:bookmarkStart w:id="47" w:name="_DV_M42"/>
      <w:bookmarkEnd w:id="46"/>
      <w:bookmarkEnd w:id="47"/>
      <w:r w:rsidRPr="00DF611E">
        <w:rPr>
          <w:sz w:val="22"/>
          <w:szCs w:val="22"/>
          <w:lang w:val="en-GB"/>
        </w:rPr>
        <w:t>:</w:t>
      </w:r>
    </w:p>
    <w:p w:rsidR="00545930" w:rsidRPr="00DF611E" w:rsidRDefault="00545930">
      <w:pPr>
        <w:jc w:val="both"/>
        <w:rPr>
          <w:rFonts w:hAnsi="Times New Roman"/>
          <w:sz w:val="22"/>
          <w:szCs w:val="22"/>
          <w:lang w:val="en-GB"/>
        </w:rPr>
      </w:pPr>
      <w:bookmarkStart w:id="48" w:name="_DV_M43"/>
      <w:bookmarkEnd w:id="48"/>
      <w:r w:rsidRPr="00DF611E">
        <w:rPr>
          <w:rFonts w:hAnsi="Times New Roman"/>
          <w:sz w:val="22"/>
          <w:szCs w:val="22"/>
          <w:lang w:val="en-GB"/>
        </w:rPr>
        <w:t xml:space="preserve"> </w:t>
      </w:r>
    </w:p>
    <w:p w:rsidR="00545930" w:rsidRDefault="00545930">
      <w:pPr>
        <w:jc w:val="both"/>
        <w:rPr>
          <w:rFonts w:hAnsi="Times New Roman"/>
          <w:sz w:val="22"/>
          <w:szCs w:val="22"/>
          <w:lang w:val="fr-FR"/>
        </w:rPr>
      </w:pPr>
      <w:bookmarkStart w:id="49" w:name="_DV_M44"/>
      <w:bookmarkEnd w:id="49"/>
      <w:r>
        <w:rPr>
          <w:rFonts w:hAnsi="Times New Roman"/>
          <w:sz w:val="22"/>
          <w:szCs w:val="22"/>
          <w:lang w:val="en-GB"/>
        </w:rPr>
        <w:tab/>
      </w:r>
      <w:r>
        <w:rPr>
          <w:rFonts w:hAnsi="Times New Roman"/>
          <w:sz w:val="22"/>
          <w:szCs w:val="22"/>
          <w:lang w:val="fr-FR"/>
        </w:rPr>
        <w:t>AEX 25  (</w:t>
      </w:r>
      <w:proofErr w:type="spellStart"/>
      <w:r>
        <w:rPr>
          <w:rFonts w:hAnsi="Times New Roman"/>
          <w:sz w:val="22"/>
          <w:szCs w:val="22"/>
          <w:lang w:val="fr-FR"/>
        </w:rPr>
        <w:t>Netherlands</w:t>
      </w:r>
      <w:proofErr w:type="spellEnd"/>
      <w:r>
        <w:rPr>
          <w:rFonts w:hAnsi="Times New Roman"/>
          <w:sz w:val="22"/>
          <w:szCs w:val="22"/>
          <w:lang w:val="fr-FR"/>
        </w:rPr>
        <w:t>)</w:t>
      </w:r>
    </w:p>
    <w:p w:rsidR="00545930" w:rsidRDefault="00545930">
      <w:pPr>
        <w:ind w:firstLine="720"/>
        <w:jc w:val="both"/>
        <w:rPr>
          <w:rFonts w:hAnsi="Times New Roman"/>
          <w:sz w:val="22"/>
          <w:szCs w:val="22"/>
          <w:lang w:val="fr-FR"/>
        </w:rPr>
      </w:pPr>
      <w:bookmarkStart w:id="50" w:name="_DV_M45"/>
      <w:bookmarkEnd w:id="50"/>
      <w:r>
        <w:rPr>
          <w:rFonts w:hAnsi="Times New Roman"/>
          <w:sz w:val="22"/>
          <w:szCs w:val="22"/>
          <w:lang w:val="fr-FR"/>
        </w:rPr>
        <w:t>CAC 40  (France)</w:t>
      </w:r>
    </w:p>
    <w:p w:rsidR="00545930" w:rsidRDefault="00545930">
      <w:pPr>
        <w:jc w:val="both"/>
        <w:rPr>
          <w:rFonts w:hAnsi="Times New Roman"/>
          <w:sz w:val="22"/>
          <w:szCs w:val="22"/>
          <w:lang w:val="fr-FR"/>
        </w:rPr>
      </w:pPr>
      <w:bookmarkStart w:id="51" w:name="_DV_M46"/>
      <w:bookmarkEnd w:id="51"/>
      <w:r>
        <w:rPr>
          <w:rFonts w:hAnsi="Times New Roman"/>
          <w:sz w:val="22"/>
          <w:szCs w:val="22"/>
          <w:lang w:val="fr-FR"/>
        </w:rPr>
        <w:tab/>
        <w:t>DAX 30  (Germany)</w:t>
      </w:r>
    </w:p>
    <w:p w:rsidR="00545930" w:rsidRDefault="00545930">
      <w:pPr>
        <w:jc w:val="both"/>
        <w:rPr>
          <w:rFonts w:hAnsi="Times New Roman"/>
          <w:sz w:val="22"/>
          <w:szCs w:val="22"/>
          <w:lang w:val="fr-FR"/>
        </w:rPr>
      </w:pPr>
      <w:bookmarkStart w:id="52" w:name="_DV_M47"/>
      <w:bookmarkEnd w:id="52"/>
      <w:r>
        <w:rPr>
          <w:rFonts w:hAnsi="Times New Roman"/>
          <w:sz w:val="22"/>
          <w:szCs w:val="22"/>
          <w:lang w:val="fr-FR"/>
        </w:rPr>
        <w:tab/>
        <w:t>Euro 50  (</w:t>
      </w:r>
      <w:proofErr w:type="spellStart"/>
      <w:r>
        <w:rPr>
          <w:rFonts w:hAnsi="Times New Roman"/>
          <w:sz w:val="22"/>
          <w:szCs w:val="22"/>
          <w:lang w:val="fr-FR"/>
        </w:rPr>
        <w:t>Eurozone</w:t>
      </w:r>
      <w:proofErr w:type="spellEnd"/>
      <w:r>
        <w:rPr>
          <w:rFonts w:hAnsi="Times New Roman"/>
          <w:sz w:val="22"/>
          <w:szCs w:val="22"/>
          <w:lang w:val="fr-FR"/>
        </w:rPr>
        <w:t>)</w:t>
      </w:r>
    </w:p>
    <w:p w:rsidR="00545930" w:rsidRDefault="00545930">
      <w:pPr>
        <w:jc w:val="both"/>
        <w:rPr>
          <w:rFonts w:hAnsi="Times New Roman"/>
          <w:sz w:val="22"/>
          <w:szCs w:val="22"/>
          <w:lang w:val="en-GB"/>
        </w:rPr>
      </w:pPr>
      <w:bookmarkStart w:id="53" w:name="_DV_M48"/>
      <w:bookmarkEnd w:id="53"/>
      <w:r>
        <w:rPr>
          <w:rFonts w:hAnsi="Times New Roman"/>
          <w:sz w:val="22"/>
          <w:szCs w:val="22"/>
          <w:lang w:val="fr-FR"/>
        </w:rPr>
        <w:tab/>
      </w:r>
      <w:r>
        <w:rPr>
          <w:rFonts w:hAnsi="Times New Roman"/>
          <w:sz w:val="22"/>
          <w:szCs w:val="22"/>
          <w:lang w:val="en-GB"/>
        </w:rPr>
        <w:t>FTSE 100 (United Kingdom)</w:t>
      </w:r>
    </w:p>
    <w:p w:rsidR="00545930" w:rsidRDefault="00545930">
      <w:pPr>
        <w:jc w:val="both"/>
        <w:rPr>
          <w:rFonts w:hAnsi="Times New Roman"/>
          <w:sz w:val="22"/>
          <w:szCs w:val="22"/>
          <w:lang w:val="en-GB"/>
        </w:rPr>
      </w:pPr>
      <w:bookmarkStart w:id="54" w:name="_DV_M49"/>
      <w:bookmarkEnd w:id="54"/>
      <w:r>
        <w:rPr>
          <w:rFonts w:hAnsi="Times New Roman"/>
          <w:sz w:val="22"/>
          <w:szCs w:val="22"/>
          <w:lang w:val="en-GB"/>
        </w:rPr>
        <w:tab/>
        <w:t>Nikkei 225 (Japan)</w:t>
      </w:r>
    </w:p>
    <w:p w:rsidR="00545930" w:rsidRDefault="00545930">
      <w:pPr>
        <w:jc w:val="both"/>
        <w:rPr>
          <w:rFonts w:hAnsi="Times New Roman"/>
          <w:sz w:val="22"/>
          <w:szCs w:val="22"/>
          <w:lang w:val="en-GB"/>
        </w:rPr>
      </w:pPr>
      <w:bookmarkStart w:id="55" w:name="_DV_M50"/>
      <w:bookmarkEnd w:id="55"/>
      <w:r>
        <w:rPr>
          <w:rFonts w:hAnsi="Times New Roman"/>
          <w:sz w:val="22"/>
          <w:szCs w:val="22"/>
          <w:lang w:val="en-GB"/>
        </w:rPr>
        <w:tab/>
        <w:t>SMI 20 (Switzerland)</w:t>
      </w:r>
    </w:p>
    <w:p w:rsidR="00545930" w:rsidRDefault="00545930">
      <w:pPr>
        <w:jc w:val="both"/>
        <w:rPr>
          <w:rFonts w:hAnsi="Times New Roman"/>
          <w:sz w:val="22"/>
          <w:szCs w:val="22"/>
          <w:lang w:val="en-GB"/>
        </w:rPr>
      </w:pPr>
      <w:bookmarkStart w:id="56" w:name="_DV_M51"/>
      <w:bookmarkEnd w:id="56"/>
      <w:r>
        <w:rPr>
          <w:rFonts w:hAnsi="Times New Roman"/>
          <w:sz w:val="22"/>
          <w:szCs w:val="22"/>
          <w:lang w:val="en-GB"/>
        </w:rPr>
        <w:tab/>
        <w:t>S&amp;P 500 (United States of America)</w:t>
      </w:r>
    </w:p>
    <w:p w:rsidR="00545930" w:rsidRDefault="00545930">
      <w:pPr>
        <w:jc w:val="both"/>
        <w:rPr>
          <w:rFonts w:hAnsi="Times New Roman"/>
          <w:sz w:val="22"/>
          <w:szCs w:val="22"/>
          <w:lang w:val="en-GB"/>
        </w:rPr>
      </w:pPr>
      <w:bookmarkStart w:id="57" w:name="_DV_M52"/>
      <w:bookmarkEnd w:id="57"/>
      <w:r>
        <w:rPr>
          <w:rFonts w:hAnsi="Times New Roman"/>
          <w:sz w:val="22"/>
          <w:szCs w:val="22"/>
          <w:lang w:val="en-GB"/>
        </w:rPr>
        <w:tab/>
        <w:t>HEX 25 (Finland)</w:t>
      </w:r>
    </w:p>
    <w:p w:rsidR="00545930" w:rsidRDefault="00545930">
      <w:pPr>
        <w:jc w:val="both"/>
        <w:rPr>
          <w:rFonts w:hAnsi="Times New Roman"/>
          <w:sz w:val="22"/>
          <w:szCs w:val="22"/>
          <w:lang w:val="en-GB"/>
        </w:rPr>
      </w:pPr>
      <w:bookmarkStart w:id="58" w:name="_DV_M53"/>
      <w:bookmarkEnd w:id="58"/>
      <w:r>
        <w:rPr>
          <w:rFonts w:hAnsi="Times New Roman"/>
          <w:sz w:val="22"/>
          <w:szCs w:val="22"/>
          <w:lang w:val="en-GB"/>
        </w:rPr>
        <w:tab/>
        <w:t>Copenhagen 20 (Denmark)</w:t>
      </w:r>
    </w:p>
    <w:p w:rsidR="00545930" w:rsidRDefault="00545930">
      <w:pPr>
        <w:jc w:val="both"/>
        <w:rPr>
          <w:rFonts w:hAnsi="Times New Roman"/>
          <w:sz w:val="22"/>
          <w:szCs w:val="22"/>
          <w:lang w:val="en-GB"/>
        </w:rPr>
      </w:pPr>
      <w:bookmarkStart w:id="59" w:name="_DV_M54"/>
      <w:bookmarkEnd w:id="59"/>
      <w:r>
        <w:rPr>
          <w:rFonts w:hAnsi="Times New Roman"/>
          <w:sz w:val="22"/>
          <w:szCs w:val="22"/>
          <w:lang w:val="en-GB"/>
        </w:rPr>
        <w:tab/>
        <w:t>Stockholm 30 (Sweden)</w:t>
      </w:r>
      <w:bookmarkStart w:id="60" w:name="_DV_M55"/>
      <w:bookmarkStart w:id="61" w:name="_DV_M56"/>
      <w:bookmarkEnd w:id="60"/>
      <w:bookmarkEnd w:id="61"/>
      <w:r>
        <w:rPr>
          <w:rFonts w:hAnsi="Times New Roman"/>
          <w:sz w:val="22"/>
          <w:szCs w:val="22"/>
          <w:lang w:val="en-GB"/>
        </w:rPr>
        <w:tab/>
      </w:r>
    </w:p>
    <w:p w:rsidR="00545930" w:rsidRDefault="00545930">
      <w:pPr>
        <w:jc w:val="both"/>
        <w:rPr>
          <w:rFonts w:hAnsi="Times New Roman"/>
          <w:sz w:val="22"/>
          <w:szCs w:val="22"/>
          <w:lang w:val="en-GB"/>
        </w:rPr>
      </w:pPr>
      <w:bookmarkStart w:id="62" w:name="_DV_M57"/>
      <w:bookmarkEnd w:id="62"/>
      <w:r>
        <w:rPr>
          <w:rFonts w:hAnsi="Times New Roman"/>
          <w:sz w:val="22"/>
          <w:szCs w:val="22"/>
          <w:lang w:val="en-GB"/>
        </w:rPr>
        <w:tab/>
        <w:t>IBEX 35 (Spain)</w:t>
      </w:r>
    </w:p>
    <w:p w:rsidR="00545930" w:rsidRDefault="00545930">
      <w:pPr>
        <w:jc w:val="both"/>
        <w:rPr>
          <w:rFonts w:hAnsi="Times New Roman"/>
          <w:sz w:val="22"/>
          <w:szCs w:val="22"/>
          <w:lang w:val="en-GB"/>
        </w:rPr>
      </w:pPr>
      <w:bookmarkStart w:id="63" w:name="_DV_M58"/>
      <w:bookmarkEnd w:id="63"/>
      <w:r>
        <w:rPr>
          <w:rFonts w:hAnsi="Times New Roman"/>
          <w:sz w:val="22"/>
          <w:szCs w:val="22"/>
          <w:lang w:val="en-GB"/>
        </w:rPr>
        <w:tab/>
        <w:t>FTSEMIB (Italy)</w:t>
      </w:r>
      <w:bookmarkStart w:id="64" w:name="_DV_M59"/>
      <w:bookmarkEnd w:id="64"/>
      <w:r>
        <w:rPr>
          <w:rFonts w:hAnsi="Times New Roman"/>
          <w:sz w:val="22"/>
          <w:szCs w:val="22"/>
          <w:lang w:val="en-GB"/>
        </w:rPr>
        <w:tab/>
      </w:r>
    </w:p>
    <w:p w:rsidR="00545930" w:rsidRDefault="00545930">
      <w:pPr>
        <w:jc w:val="both"/>
        <w:rPr>
          <w:rFonts w:hAnsi="Times New Roman"/>
          <w:sz w:val="22"/>
          <w:szCs w:val="22"/>
          <w:lang w:val="en-GB"/>
        </w:rPr>
      </w:pPr>
      <w:bookmarkStart w:id="65" w:name="_DV_M60"/>
      <w:bookmarkEnd w:id="65"/>
      <w:r>
        <w:rPr>
          <w:rFonts w:hAnsi="Times New Roman"/>
          <w:sz w:val="22"/>
          <w:szCs w:val="22"/>
          <w:lang w:val="en-GB"/>
        </w:rPr>
        <w:tab/>
        <w:t>Hang Seng (Hong Kong)</w:t>
      </w:r>
    </w:p>
    <w:p w:rsidR="00545930" w:rsidRDefault="00545930">
      <w:pPr>
        <w:jc w:val="both"/>
        <w:rPr>
          <w:rFonts w:hAnsi="Times New Roman"/>
          <w:sz w:val="22"/>
          <w:szCs w:val="22"/>
          <w:lang w:val="en-GB"/>
        </w:rPr>
      </w:pPr>
      <w:bookmarkStart w:id="66" w:name="_DV_M61"/>
      <w:bookmarkEnd w:id="66"/>
      <w:r>
        <w:rPr>
          <w:rFonts w:hAnsi="Times New Roman"/>
          <w:sz w:val="22"/>
          <w:szCs w:val="22"/>
          <w:lang w:val="en-GB"/>
        </w:rPr>
        <w:tab/>
        <w:t>S&amp;P/ASX 200 (Australia)</w:t>
      </w:r>
    </w:p>
    <w:p w:rsidR="00545930" w:rsidRDefault="00545930">
      <w:pPr>
        <w:jc w:val="both"/>
        <w:rPr>
          <w:rFonts w:hAnsi="Times New Roman"/>
          <w:sz w:val="22"/>
          <w:szCs w:val="22"/>
          <w:lang w:val="en-GB"/>
        </w:rPr>
      </w:pPr>
      <w:bookmarkStart w:id="67" w:name="_DV_M62"/>
      <w:bookmarkEnd w:id="67"/>
      <w:r>
        <w:rPr>
          <w:rFonts w:hAnsi="Times New Roman"/>
          <w:sz w:val="22"/>
          <w:szCs w:val="22"/>
          <w:lang w:val="en-GB"/>
        </w:rPr>
        <w:tab/>
        <w:t>S&amp;P/TSX 60 (Canada)</w:t>
      </w:r>
    </w:p>
    <w:p w:rsidR="00545930" w:rsidRDefault="00545930">
      <w:pPr>
        <w:ind w:firstLine="720"/>
        <w:jc w:val="both"/>
        <w:rPr>
          <w:rFonts w:hAnsi="Times New Roman"/>
          <w:sz w:val="22"/>
          <w:szCs w:val="22"/>
          <w:lang w:val="en-GB"/>
        </w:rPr>
      </w:pPr>
      <w:bookmarkStart w:id="68" w:name="_DV_M63"/>
      <w:bookmarkEnd w:id="68"/>
      <w:r>
        <w:rPr>
          <w:rFonts w:hAnsi="Times New Roman"/>
          <w:sz w:val="22"/>
          <w:szCs w:val="22"/>
          <w:lang w:val="en-GB"/>
        </w:rPr>
        <w:t>Russell 1000 (United States of America)</w:t>
      </w:r>
    </w:p>
    <w:p w:rsidR="00545930" w:rsidRDefault="00545930">
      <w:pPr>
        <w:ind w:firstLine="720"/>
        <w:jc w:val="both"/>
        <w:rPr>
          <w:rFonts w:hAnsi="Times New Roman"/>
          <w:sz w:val="22"/>
          <w:szCs w:val="22"/>
          <w:lang w:val="en-GB"/>
        </w:rPr>
      </w:pPr>
      <w:bookmarkStart w:id="69" w:name="_DV_M64"/>
      <w:bookmarkEnd w:id="69"/>
      <w:r>
        <w:rPr>
          <w:rFonts w:hAnsi="Times New Roman"/>
          <w:sz w:val="22"/>
          <w:szCs w:val="22"/>
          <w:lang w:val="en-GB"/>
        </w:rPr>
        <w:t>OBX (Norway)</w:t>
      </w:r>
    </w:p>
    <w:p w:rsidR="00545930" w:rsidRDefault="00545930">
      <w:pPr>
        <w:ind w:firstLine="720"/>
        <w:jc w:val="both"/>
        <w:rPr>
          <w:rFonts w:hAnsi="Times New Roman"/>
          <w:sz w:val="22"/>
          <w:szCs w:val="22"/>
          <w:lang w:val="en-GB"/>
        </w:rPr>
      </w:pPr>
    </w:p>
    <w:p w:rsidR="00545930" w:rsidRDefault="00545930" w:rsidP="003E2829">
      <w:pPr>
        <w:pStyle w:val="ListParagraph"/>
        <w:ind w:left="0"/>
        <w:jc w:val="both"/>
        <w:rPr>
          <w:sz w:val="22"/>
          <w:szCs w:val="22"/>
          <w:lang w:val="en-GB"/>
        </w:rPr>
      </w:pPr>
      <w:bookmarkStart w:id="70" w:name="_DV_M65"/>
      <w:bookmarkEnd w:id="70"/>
      <w:r>
        <w:rPr>
          <w:sz w:val="22"/>
          <w:szCs w:val="22"/>
          <w:lang w:val="en-GB"/>
        </w:rPr>
        <w:t>10)</w:t>
      </w:r>
      <w:r>
        <w:rPr>
          <w:sz w:val="22"/>
          <w:szCs w:val="22"/>
          <w:lang w:val="en-GB"/>
        </w:rPr>
        <w:tab/>
        <w:t>FTSE100 DBV (Class F10) as defined in the CREST Reference Manual.</w:t>
      </w:r>
    </w:p>
    <w:p w:rsidR="00545930" w:rsidRDefault="00545930">
      <w:pPr>
        <w:ind w:left="720" w:hanging="720"/>
        <w:jc w:val="both"/>
        <w:rPr>
          <w:rFonts w:hAnsi="Times New Roman"/>
          <w:sz w:val="22"/>
          <w:szCs w:val="22"/>
          <w:lang w:val="en-GB"/>
        </w:rPr>
      </w:pPr>
    </w:p>
    <w:p w:rsidR="00545930" w:rsidRDefault="00545930" w:rsidP="003E2829">
      <w:pPr>
        <w:pStyle w:val="ListParagraph"/>
        <w:numPr>
          <w:ilvl w:val="0"/>
          <w:numId w:val="7"/>
        </w:numPr>
        <w:ind w:hanging="720"/>
        <w:jc w:val="both"/>
        <w:rPr>
          <w:sz w:val="22"/>
          <w:szCs w:val="22"/>
          <w:lang w:val="en-GB"/>
        </w:rPr>
      </w:pPr>
      <w:bookmarkStart w:id="71" w:name="_DV_M66"/>
      <w:bookmarkEnd w:id="71"/>
      <w:r>
        <w:rPr>
          <w:sz w:val="22"/>
          <w:szCs w:val="22"/>
          <w:lang w:val="en-GB"/>
        </w:rPr>
        <w:t>Unstripped British Government debt DBV (Class UBG) as defined in the CREST Reference Manual.</w:t>
      </w:r>
    </w:p>
    <w:p w:rsidR="00545930" w:rsidRDefault="00545930">
      <w:pPr>
        <w:jc w:val="both"/>
        <w:rPr>
          <w:rFonts w:hAnsi="Times New Roman"/>
          <w:sz w:val="22"/>
          <w:szCs w:val="22"/>
          <w:lang w:val="en-GB"/>
        </w:rPr>
      </w:pPr>
    </w:p>
    <w:p w:rsidR="00545930" w:rsidRDefault="00545930" w:rsidP="003E2829">
      <w:pPr>
        <w:pStyle w:val="ListParagraph"/>
        <w:numPr>
          <w:ilvl w:val="0"/>
          <w:numId w:val="7"/>
        </w:numPr>
        <w:ind w:hanging="720"/>
        <w:rPr>
          <w:sz w:val="22"/>
          <w:szCs w:val="22"/>
          <w:lang w:val="en-GB"/>
        </w:rPr>
      </w:pPr>
      <w:bookmarkStart w:id="72" w:name="_DV_M67"/>
      <w:bookmarkStart w:id="73" w:name="_DV_M68"/>
      <w:bookmarkStart w:id="74" w:name="_DV_M70"/>
      <w:bookmarkStart w:id="75" w:name="_DV_M71"/>
      <w:bookmarkStart w:id="76" w:name="_DV_M72"/>
      <w:bookmarkStart w:id="77" w:name="_DV_M73"/>
      <w:bookmarkStart w:id="78" w:name="_DV_M74"/>
      <w:bookmarkStart w:id="79" w:name="_DV_M75"/>
      <w:bookmarkStart w:id="80" w:name="_DV_M76"/>
      <w:bookmarkStart w:id="81" w:name="_DV_M77"/>
      <w:bookmarkStart w:id="82" w:name="_DV_M78"/>
      <w:bookmarkStart w:id="83" w:name="_DV_M79"/>
      <w:bookmarkStart w:id="84" w:name="_DV_M80"/>
      <w:bookmarkStart w:id="85" w:name="_DV_M81"/>
      <w:bookmarkStart w:id="86" w:name="_DV_M82"/>
      <w:bookmarkStart w:id="87" w:name="_DV_M83"/>
      <w:bookmarkStart w:id="88" w:name="_DV_M84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>
        <w:rPr>
          <w:sz w:val="22"/>
          <w:szCs w:val="22"/>
          <w:lang w:val="en-GB"/>
        </w:rPr>
        <w:t xml:space="preserve">Corporate </w:t>
      </w:r>
      <w:bookmarkStart w:id="89" w:name="_DV_C20"/>
      <w:r w:rsidRPr="00DF611E">
        <w:rPr>
          <w:rStyle w:val="DeltaViewInsertion"/>
          <w:color w:val="auto"/>
          <w:sz w:val="22"/>
          <w:szCs w:val="22"/>
          <w:u w:val="none"/>
          <w:lang w:val="en-GB"/>
        </w:rPr>
        <w:t>bonds</w:t>
      </w:r>
      <w:bookmarkStart w:id="90" w:name="_DV_M85"/>
      <w:bookmarkEnd w:id="89"/>
      <w:bookmarkEnd w:id="90"/>
      <w:r>
        <w:rPr>
          <w:sz w:val="22"/>
          <w:szCs w:val="22"/>
          <w:lang w:val="en-GB"/>
        </w:rPr>
        <w:t xml:space="preserve"> issued by companies domiciled in one of the following countries</w:t>
      </w:r>
      <w:bookmarkStart w:id="91" w:name="_DV_M86"/>
      <w:bookmarkEnd w:id="91"/>
      <w:r>
        <w:rPr>
          <w:sz w:val="22"/>
          <w:szCs w:val="22"/>
          <w:lang w:val="en-GB"/>
        </w:rPr>
        <w:t xml:space="preserve"> where such corporate </w:t>
      </w:r>
      <w:bookmarkStart w:id="92" w:name="_DV_C23"/>
      <w:r w:rsidRPr="00DF611E">
        <w:rPr>
          <w:rStyle w:val="DeltaViewInsertion"/>
          <w:color w:val="auto"/>
          <w:sz w:val="22"/>
          <w:szCs w:val="22"/>
          <w:u w:val="none"/>
          <w:lang w:val="en-GB"/>
        </w:rPr>
        <w:t xml:space="preserve">bond has </w:t>
      </w:r>
      <w:r>
        <w:rPr>
          <w:rStyle w:val="DeltaViewInsertion"/>
          <w:color w:val="auto"/>
          <w:sz w:val="22"/>
          <w:szCs w:val="22"/>
          <w:u w:val="none"/>
          <w:lang w:val="en-GB"/>
        </w:rPr>
        <w:t xml:space="preserve">an investment grade </w:t>
      </w:r>
      <w:r w:rsidRPr="00DF611E">
        <w:rPr>
          <w:rStyle w:val="DeltaViewInsertion"/>
          <w:color w:val="auto"/>
          <w:sz w:val="22"/>
          <w:szCs w:val="22"/>
          <w:u w:val="none"/>
          <w:lang w:val="en-GB"/>
        </w:rPr>
        <w:t xml:space="preserve">rating </w:t>
      </w:r>
      <w:r>
        <w:rPr>
          <w:rStyle w:val="DeltaViewInsertion"/>
          <w:color w:val="auto"/>
          <w:sz w:val="22"/>
          <w:szCs w:val="22"/>
          <w:u w:val="none"/>
          <w:lang w:val="en-GB"/>
        </w:rPr>
        <w:t>from at least one of</w:t>
      </w:r>
      <w:bookmarkStart w:id="93" w:name="_DV_M87"/>
      <w:bookmarkEnd w:id="92"/>
      <w:bookmarkEnd w:id="93"/>
      <w:r>
        <w:rPr>
          <w:rStyle w:val="DeltaViewInsertion"/>
          <w:color w:val="auto"/>
          <w:sz w:val="22"/>
          <w:szCs w:val="22"/>
          <w:u w:val="none"/>
          <w:lang w:val="en-GB"/>
        </w:rPr>
        <w:t xml:space="preserve"> St</w:t>
      </w:r>
      <w:r>
        <w:rPr>
          <w:sz w:val="22"/>
          <w:szCs w:val="22"/>
          <w:lang w:val="en-GB"/>
        </w:rPr>
        <w:t xml:space="preserve">andard &amp; Poor’s, Fitch, Moody’s or </w:t>
      </w:r>
      <w:bookmarkStart w:id="94" w:name="_DV_M88"/>
      <w:bookmarkEnd w:id="94"/>
      <w:r>
        <w:rPr>
          <w:sz w:val="22"/>
          <w:szCs w:val="22"/>
          <w:lang w:val="en-GB"/>
        </w:rPr>
        <w:t>DBRS.*</w:t>
      </w:r>
    </w:p>
    <w:p w:rsidR="00545930" w:rsidRDefault="00545930">
      <w:pPr>
        <w:ind w:firstLine="720"/>
        <w:jc w:val="both"/>
        <w:rPr>
          <w:rFonts w:hAnsi="Times New Roman"/>
          <w:sz w:val="22"/>
          <w:szCs w:val="22"/>
          <w:lang w:val="en-GB"/>
        </w:rPr>
      </w:pPr>
    </w:p>
    <w:p w:rsidR="00545930" w:rsidRDefault="00545930">
      <w:pPr>
        <w:ind w:left="1320" w:firstLine="120"/>
        <w:jc w:val="both"/>
        <w:rPr>
          <w:rFonts w:hAnsi="Times New Roman"/>
          <w:sz w:val="22"/>
          <w:szCs w:val="22"/>
          <w:lang w:val="en-GB"/>
        </w:rPr>
      </w:pPr>
      <w:bookmarkStart w:id="95" w:name="_DV_M89"/>
      <w:bookmarkEnd w:id="95"/>
      <w:r>
        <w:rPr>
          <w:rFonts w:hAnsi="Times New Roman"/>
          <w:sz w:val="22"/>
          <w:szCs w:val="22"/>
          <w:lang w:val="en-GB"/>
        </w:rPr>
        <w:t>Australia</w:t>
      </w:r>
      <w:r>
        <w:rPr>
          <w:rFonts w:hAnsi="Times New Roman"/>
          <w:sz w:val="22"/>
          <w:szCs w:val="22"/>
          <w:lang w:val="en-GB"/>
        </w:rPr>
        <w:tab/>
      </w:r>
      <w:r>
        <w:rPr>
          <w:rFonts w:hAnsi="Times New Roman"/>
          <w:sz w:val="22"/>
          <w:szCs w:val="22"/>
          <w:lang w:val="en-GB"/>
        </w:rPr>
        <w:tab/>
        <w:t>Luxembourg</w:t>
      </w:r>
    </w:p>
    <w:p w:rsidR="00545930" w:rsidRDefault="00545930">
      <w:pPr>
        <w:pStyle w:val="para"/>
        <w:widowControl/>
        <w:tabs>
          <w:tab w:val="clear" w:pos="0"/>
        </w:tabs>
        <w:suppressAutoHyphens w:val="0"/>
        <w:spacing w:after="0"/>
        <w:ind w:left="600" w:hanging="600"/>
        <w:rPr>
          <w:spacing w:val="0"/>
          <w:sz w:val="22"/>
          <w:szCs w:val="22"/>
          <w:lang w:val="en-GB"/>
        </w:rPr>
      </w:pPr>
      <w:bookmarkStart w:id="96" w:name="_DV_M90"/>
      <w:bookmarkEnd w:id="96"/>
      <w:r>
        <w:rPr>
          <w:spacing w:val="0"/>
          <w:sz w:val="22"/>
          <w:szCs w:val="22"/>
          <w:lang w:val="en-GB"/>
        </w:rPr>
        <w:tab/>
      </w:r>
      <w:r>
        <w:rPr>
          <w:spacing w:val="0"/>
          <w:sz w:val="22"/>
          <w:szCs w:val="22"/>
          <w:lang w:val="en-GB"/>
        </w:rPr>
        <w:tab/>
      </w:r>
      <w:r>
        <w:rPr>
          <w:spacing w:val="0"/>
          <w:sz w:val="22"/>
          <w:szCs w:val="22"/>
          <w:lang w:val="en-GB"/>
        </w:rPr>
        <w:tab/>
        <w:t>Austria</w:t>
      </w:r>
      <w:r>
        <w:rPr>
          <w:spacing w:val="0"/>
          <w:sz w:val="22"/>
          <w:szCs w:val="22"/>
          <w:lang w:val="en-GB"/>
        </w:rPr>
        <w:tab/>
      </w:r>
      <w:r>
        <w:rPr>
          <w:spacing w:val="0"/>
          <w:sz w:val="22"/>
          <w:szCs w:val="22"/>
          <w:lang w:val="en-GB"/>
        </w:rPr>
        <w:tab/>
      </w:r>
      <w:r>
        <w:rPr>
          <w:spacing w:val="0"/>
          <w:sz w:val="22"/>
          <w:szCs w:val="22"/>
          <w:lang w:val="en-GB"/>
        </w:rPr>
        <w:tab/>
        <w:t>Netherlands</w:t>
      </w:r>
    </w:p>
    <w:p w:rsidR="00545930" w:rsidRDefault="00545930">
      <w:pPr>
        <w:ind w:left="600" w:hanging="600"/>
        <w:jc w:val="both"/>
        <w:rPr>
          <w:rFonts w:hAnsi="Times New Roman"/>
          <w:sz w:val="22"/>
          <w:szCs w:val="22"/>
          <w:lang w:val="en-GB"/>
        </w:rPr>
      </w:pPr>
      <w:bookmarkStart w:id="97" w:name="_DV_M91"/>
      <w:bookmarkEnd w:id="97"/>
      <w:r>
        <w:rPr>
          <w:rFonts w:hAnsi="Times New Roman"/>
          <w:sz w:val="22"/>
          <w:szCs w:val="22"/>
          <w:lang w:val="en-GB"/>
        </w:rPr>
        <w:tab/>
      </w:r>
      <w:r>
        <w:rPr>
          <w:rFonts w:hAnsi="Times New Roman"/>
          <w:sz w:val="22"/>
          <w:szCs w:val="22"/>
          <w:lang w:val="en-GB"/>
        </w:rPr>
        <w:tab/>
      </w:r>
      <w:r>
        <w:rPr>
          <w:rFonts w:hAnsi="Times New Roman"/>
          <w:sz w:val="22"/>
          <w:szCs w:val="22"/>
          <w:lang w:val="en-GB"/>
        </w:rPr>
        <w:tab/>
        <w:t>Belgium</w:t>
      </w:r>
      <w:r>
        <w:rPr>
          <w:rFonts w:hAnsi="Times New Roman"/>
          <w:sz w:val="22"/>
          <w:szCs w:val="22"/>
          <w:lang w:val="en-GB"/>
        </w:rPr>
        <w:tab/>
      </w:r>
      <w:r>
        <w:rPr>
          <w:rFonts w:hAnsi="Times New Roman"/>
          <w:sz w:val="22"/>
          <w:szCs w:val="22"/>
          <w:lang w:val="en-GB"/>
        </w:rPr>
        <w:tab/>
        <w:t>New Zealand</w:t>
      </w:r>
    </w:p>
    <w:p w:rsidR="00545930" w:rsidRDefault="00545930">
      <w:pPr>
        <w:ind w:left="600" w:hanging="600"/>
        <w:jc w:val="both"/>
        <w:rPr>
          <w:rFonts w:hAnsi="Times New Roman"/>
          <w:sz w:val="22"/>
          <w:szCs w:val="22"/>
          <w:lang w:val="en-GB"/>
        </w:rPr>
      </w:pPr>
      <w:bookmarkStart w:id="98" w:name="_DV_M92"/>
      <w:bookmarkEnd w:id="98"/>
      <w:r>
        <w:rPr>
          <w:rFonts w:hAnsi="Times New Roman"/>
          <w:sz w:val="22"/>
          <w:szCs w:val="22"/>
          <w:lang w:val="en-GB"/>
        </w:rPr>
        <w:tab/>
      </w:r>
      <w:r>
        <w:rPr>
          <w:rFonts w:hAnsi="Times New Roman"/>
          <w:sz w:val="22"/>
          <w:szCs w:val="22"/>
          <w:lang w:val="en-GB"/>
        </w:rPr>
        <w:tab/>
      </w:r>
      <w:r>
        <w:rPr>
          <w:rFonts w:hAnsi="Times New Roman"/>
          <w:sz w:val="22"/>
          <w:szCs w:val="22"/>
          <w:lang w:val="en-GB"/>
        </w:rPr>
        <w:tab/>
        <w:t>Canada</w:t>
      </w:r>
      <w:r>
        <w:rPr>
          <w:rFonts w:hAnsi="Times New Roman"/>
          <w:sz w:val="22"/>
          <w:szCs w:val="22"/>
          <w:lang w:val="en-GB"/>
        </w:rPr>
        <w:tab/>
      </w:r>
      <w:r>
        <w:rPr>
          <w:rFonts w:hAnsi="Times New Roman"/>
          <w:sz w:val="22"/>
          <w:szCs w:val="22"/>
          <w:lang w:val="en-GB"/>
        </w:rPr>
        <w:tab/>
      </w:r>
      <w:r>
        <w:rPr>
          <w:rFonts w:hAnsi="Times New Roman"/>
          <w:sz w:val="22"/>
          <w:szCs w:val="22"/>
          <w:lang w:val="en-GB"/>
        </w:rPr>
        <w:tab/>
        <w:t>Norway</w:t>
      </w:r>
    </w:p>
    <w:p w:rsidR="00545930" w:rsidRDefault="00545930">
      <w:pPr>
        <w:ind w:left="600" w:hanging="600"/>
        <w:jc w:val="both"/>
        <w:rPr>
          <w:rFonts w:hAnsi="Times New Roman"/>
          <w:sz w:val="22"/>
          <w:szCs w:val="22"/>
          <w:lang w:val="de-DE"/>
        </w:rPr>
      </w:pPr>
      <w:bookmarkStart w:id="99" w:name="_DV_M93"/>
      <w:bookmarkEnd w:id="99"/>
      <w:r>
        <w:rPr>
          <w:rFonts w:hAnsi="Times New Roman"/>
          <w:sz w:val="22"/>
          <w:szCs w:val="22"/>
          <w:lang w:val="en-GB"/>
        </w:rPr>
        <w:tab/>
      </w:r>
      <w:r>
        <w:rPr>
          <w:rFonts w:hAnsi="Times New Roman"/>
          <w:sz w:val="22"/>
          <w:szCs w:val="22"/>
          <w:lang w:val="en-GB"/>
        </w:rPr>
        <w:tab/>
      </w:r>
      <w:r>
        <w:rPr>
          <w:rFonts w:hAnsi="Times New Roman"/>
          <w:sz w:val="22"/>
          <w:szCs w:val="22"/>
          <w:lang w:val="en-GB"/>
        </w:rPr>
        <w:tab/>
      </w:r>
      <w:r>
        <w:rPr>
          <w:rFonts w:hAnsi="Times New Roman"/>
          <w:sz w:val="22"/>
          <w:szCs w:val="22"/>
          <w:lang w:val="de-DE"/>
        </w:rPr>
        <w:t>Denmark</w:t>
      </w:r>
      <w:r>
        <w:rPr>
          <w:rFonts w:hAnsi="Times New Roman"/>
          <w:sz w:val="22"/>
          <w:szCs w:val="22"/>
          <w:lang w:val="de-DE"/>
        </w:rPr>
        <w:tab/>
      </w:r>
      <w:r>
        <w:rPr>
          <w:rFonts w:hAnsi="Times New Roman"/>
          <w:sz w:val="22"/>
          <w:szCs w:val="22"/>
          <w:lang w:val="de-DE"/>
        </w:rPr>
        <w:tab/>
        <w:t>Portugal</w:t>
      </w:r>
    </w:p>
    <w:p w:rsidR="00545930" w:rsidRDefault="00545930">
      <w:pPr>
        <w:jc w:val="both"/>
        <w:rPr>
          <w:rFonts w:hAnsi="Times New Roman"/>
          <w:sz w:val="22"/>
          <w:szCs w:val="22"/>
          <w:lang w:val="de-DE"/>
        </w:rPr>
      </w:pPr>
      <w:bookmarkStart w:id="100" w:name="_DV_M94"/>
      <w:bookmarkEnd w:id="100"/>
      <w:r>
        <w:rPr>
          <w:rFonts w:hAnsi="Times New Roman"/>
          <w:sz w:val="22"/>
          <w:szCs w:val="22"/>
          <w:lang w:val="de-DE"/>
        </w:rPr>
        <w:tab/>
      </w:r>
      <w:r>
        <w:rPr>
          <w:rFonts w:hAnsi="Times New Roman"/>
          <w:sz w:val="22"/>
          <w:szCs w:val="22"/>
          <w:lang w:val="de-DE"/>
        </w:rPr>
        <w:tab/>
        <w:t>Finland</w:t>
      </w:r>
      <w:r>
        <w:rPr>
          <w:rFonts w:hAnsi="Times New Roman"/>
          <w:sz w:val="22"/>
          <w:szCs w:val="22"/>
          <w:lang w:val="de-DE"/>
        </w:rPr>
        <w:tab/>
      </w:r>
      <w:r>
        <w:rPr>
          <w:rFonts w:hAnsi="Times New Roman"/>
          <w:sz w:val="22"/>
          <w:szCs w:val="22"/>
          <w:lang w:val="de-DE"/>
        </w:rPr>
        <w:tab/>
      </w:r>
      <w:r>
        <w:rPr>
          <w:rFonts w:hAnsi="Times New Roman"/>
          <w:sz w:val="22"/>
          <w:szCs w:val="22"/>
          <w:lang w:val="de-DE"/>
        </w:rPr>
        <w:tab/>
        <w:t>Singapore</w:t>
      </w:r>
    </w:p>
    <w:p w:rsidR="00545930" w:rsidRDefault="00545930">
      <w:pPr>
        <w:ind w:left="720" w:firstLine="720"/>
        <w:jc w:val="both"/>
        <w:rPr>
          <w:rFonts w:hAnsi="Times New Roman"/>
          <w:sz w:val="22"/>
          <w:szCs w:val="22"/>
          <w:lang w:val="de-DE"/>
        </w:rPr>
      </w:pPr>
      <w:bookmarkStart w:id="101" w:name="_DV_M95"/>
      <w:bookmarkEnd w:id="101"/>
      <w:r>
        <w:rPr>
          <w:rFonts w:hAnsi="Times New Roman"/>
          <w:sz w:val="22"/>
          <w:szCs w:val="22"/>
          <w:lang w:val="de-DE"/>
        </w:rPr>
        <w:t>France</w:t>
      </w:r>
      <w:r>
        <w:rPr>
          <w:rFonts w:hAnsi="Times New Roman"/>
          <w:sz w:val="22"/>
          <w:szCs w:val="22"/>
          <w:lang w:val="de-DE"/>
        </w:rPr>
        <w:tab/>
      </w:r>
      <w:r>
        <w:rPr>
          <w:rFonts w:hAnsi="Times New Roman"/>
          <w:sz w:val="22"/>
          <w:szCs w:val="22"/>
          <w:lang w:val="de-DE"/>
        </w:rPr>
        <w:tab/>
      </w:r>
      <w:r>
        <w:rPr>
          <w:rFonts w:hAnsi="Times New Roman"/>
          <w:sz w:val="22"/>
          <w:szCs w:val="22"/>
          <w:lang w:val="de-DE"/>
        </w:rPr>
        <w:tab/>
        <w:t>Spain</w:t>
      </w:r>
    </w:p>
    <w:p w:rsidR="00545930" w:rsidRDefault="00545930">
      <w:pPr>
        <w:jc w:val="both"/>
        <w:rPr>
          <w:rFonts w:hAnsi="Times New Roman"/>
          <w:sz w:val="22"/>
          <w:szCs w:val="22"/>
          <w:lang w:val="de-DE"/>
        </w:rPr>
      </w:pPr>
      <w:bookmarkStart w:id="102" w:name="_DV_M96"/>
      <w:bookmarkEnd w:id="102"/>
      <w:r>
        <w:rPr>
          <w:rFonts w:hAnsi="Times New Roman"/>
          <w:sz w:val="22"/>
          <w:szCs w:val="22"/>
          <w:lang w:val="de-DE"/>
        </w:rPr>
        <w:tab/>
      </w:r>
      <w:r>
        <w:rPr>
          <w:rFonts w:hAnsi="Times New Roman"/>
          <w:sz w:val="22"/>
          <w:szCs w:val="22"/>
          <w:lang w:val="de-DE"/>
        </w:rPr>
        <w:tab/>
        <w:t>Germany</w:t>
      </w:r>
      <w:r>
        <w:rPr>
          <w:rFonts w:hAnsi="Times New Roman"/>
          <w:sz w:val="22"/>
          <w:szCs w:val="22"/>
          <w:lang w:val="de-DE"/>
        </w:rPr>
        <w:tab/>
      </w:r>
      <w:r>
        <w:rPr>
          <w:rFonts w:hAnsi="Times New Roman"/>
          <w:sz w:val="22"/>
          <w:szCs w:val="22"/>
          <w:lang w:val="de-DE"/>
        </w:rPr>
        <w:tab/>
        <w:t>Sweden</w:t>
      </w:r>
    </w:p>
    <w:p w:rsidR="00545930" w:rsidRDefault="00545930">
      <w:pPr>
        <w:jc w:val="both"/>
        <w:rPr>
          <w:rFonts w:hAnsi="Times New Roman"/>
          <w:sz w:val="22"/>
          <w:szCs w:val="22"/>
          <w:lang w:val="en-GB"/>
        </w:rPr>
      </w:pPr>
      <w:bookmarkStart w:id="103" w:name="_DV_M97"/>
      <w:bookmarkEnd w:id="103"/>
      <w:r>
        <w:rPr>
          <w:rFonts w:hAnsi="Times New Roman"/>
          <w:sz w:val="22"/>
          <w:szCs w:val="22"/>
          <w:lang w:val="de-DE"/>
        </w:rPr>
        <w:tab/>
      </w:r>
      <w:r>
        <w:rPr>
          <w:rFonts w:hAnsi="Times New Roman"/>
          <w:sz w:val="22"/>
          <w:szCs w:val="22"/>
          <w:lang w:val="de-DE"/>
        </w:rPr>
        <w:tab/>
        <w:t>Ireland</w:t>
      </w:r>
      <w:r>
        <w:rPr>
          <w:rFonts w:hAnsi="Times New Roman"/>
          <w:sz w:val="22"/>
          <w:szCs w:val="22"/>
          <w:lang w:val="en-GB"/>
        </w:rPr>
        <w:tab/>
      </w:r>
      <w:r>
        <w:rPr>
          <w:rFonts w:hAnsi="Times New Roman"/>
          <w:sz w:val="22"/>
          <w:szCs w:val="22"/>
          <w:lang w:val="en-GB"/>
        </w:rPr>
        <w:tab/>
      </w:r>
      <w:r>
        <w:rPr>
          <w:rFonts w:hAnsi="Times New Roman"/>
          <w:sz w:val="22"/>
          <w:szCs w:val="22"/>
          <w:lang w:val="en-GB"/>
        </w:rPr>
        <w:tab/>
        <w:t>Switzerland</w:t>
      </w:r>
    </w:p>
    <w:p w:rsidR="00545930" w:rsidRDefault="00545930">
      <w:pPr>
        <w:jc w:val="both"/>
        <w:rPr>
          <w:rFonts w:hAnsi="Times New Roman"/>
          <w:sz w:val="22"/>
          <w:szCs w:val="22"/>
          <w:lang w:val="en-GB"/>
        </w:rPr>
      </w:pPr>
      <w:bookmarkStart w:id="104" w:name="_DV_M98"/>
      <w:bookmarkEnd w:id="104"/>
      <w:r>
        <w:rPr>
          <w:rFonts w:hAnsi="Times New Roman"/>
          <w:sz w:val="22"/>
          <w:szCs w:val="22"/>
          <w:lang w:val="en-GB"/>
        </w:rPr>
        <w:tab/>
      </w:r>
      <w:r>
        <w:rPr>
          <w:rFonts w:hAnsi="Times New Roman"/>
          <w:sz w:val="22"/>
          <w:szCs w:val="22"/>
          <w:lang w:val="en-GB"/>
        </w:rPr>
        <w:tab/>
        <w:t>Italy</w:t>
      </w:r>
      <w:r>
        <w:rPr>
          <w:rFonts w:hAnsi="Times New Roman"/>
          <w:sz w:val="22"/>
          <w:szCs w:val="22"/>
          <w:lang w:val="en-GB"/>
        </w:rPr>
        <w:tab/>
      </w:r>
      <w:r>
        <w:rPr>
          <w:rFonts w:hAnsi="Times New Roman"/>
          <w:sz w:val="22"/>
          <w:szCs w:val="22"/>
          <w:lang w:val="en-GB"/>
        </w:rPr>
        <w:tab/>
      </w:r>
      <w:r>
        <w:rPr>
          <w:rFonts w:hAnsi="Times New Roman"/>
          <w:sz w:val="22"/>
          <w:szCs w:val="22"/>
          <w:lang w:val="en-GB"/>
        </w:rPr>
        <w:tab/>
        <w:t>United Kingdom</w:t>
      </w:r>
    </w:p>
    <w:p w:rsidR="00545930" w:rsidRDefault="00545930">
      <w:pPr>
        <w:jc w:val="both"/>
        <w:rPr>
          <w:rFonts w:hAnsi="Times New Roman"/>
          <w:sz w:val="22"/>
          <w:szCs w:val="22"/>
          <w:lang w:val="en-GB"/>
        </w:rPr>
      </w:pPr>
      <w:bookmarkStart w:id="105" w:name="_DV_M99"/>
      <w:bookmarkEnd w:id="105"/>
      <w:r>
        <w:rPr>
          <w:rFonts w:hAnsi="Times New Roman"/>
          <w:sz w:val="22"/>
          <w:szCs w:val="22"/>
          <w:lang w:val="en-GB"/>
        </w:rPr>
        <w:tab/>
      </w:r>
      <w:r>
        <w:rPr>
          <w:rFonts w:hAnsi="Times New Roman"/>
          <w:sz w:val="22"/>
          <w:szCs w:val="22"/>
          <w:lang w:val="en-GB"/>
        </w:rPr>
        <w:tab/>
        <w:t>Japan</w:t>
      </w:r>
      <w:r>
        <w:rPr>
          <w:rFonts w:hAnsi="Times New Roman"/>
          <w:sz w:val="22"/>
          <w:szCs w:val="22"/>
          <w:lang w:val="en-GB"/>
        </w:rPr>
        <w:tab/>
      </w:r>
      <w:r>
        <w:rPr>
          <w:rFonts w:hAnsi="Times New Roman"/>
          <w:sz w:val="22"/>
          <w:szCs w:val="22"/>
          <w:lang w:val="en-GB"/>
        </w:rPr>
        <w:tab/>
      </w:r>
      <w:r>
        <w:rPr>
          <w:rFonts w:hAnsi="Times New Roman"/>
          <w:sz w:val="22"/>
          <w:szCs w:val="22"/>
          <w:lang w:val="en-GB"/>
        </w:rPr>
        <w:tab/>
        <w:t>United States of America</w:t>
      </w:r>
    </w:p>
    <w:p w:rsidR="00545930" w:rsidRDefault="00545930">
      <w:pPr>
        <w:ind w:left="600" w:hanging="600"/>
        <w:jc w:val="both"/>
        <w:rPr>
          <w:rFonts w:hAnsi="Times New Roman"/>
          <w:sz w:val="22"/>
          <w:szCs w:val="22"/>
          <w:lang w:val="en-GB"/>
        </w:rPr>
      </w:pPr>
      <w:bookmarkStart w:id="106" w:name="_DV_M100"/>
      <w:bookmarkEnd w:id="106"/>
      <w:r>
        <w:rPr>
          <w:rFonts w:hAnsi="Times New Roman"/>
          <w:color w:val="FF0000"/>
          <w:sz w:val="22"/>
          <w:szCs w:val="22"/>
          <w:lang w:val="en-GB"/>
        </w:rPr>
        <w:tab/>
      </w:r>
      <w:r>
        <w:rPr>
          <w:rFonts w:hAnsi="Times New Roman"/>
          <w:sz w:val="22"/>
          <w:szCs w:val="22"/>
          <w:lang w:val="en-GB"/>
        </w:rPr>
        <w:tab/>
      </w:r>
      <w:r>
        <w:rPr>
          <w:rFonts w:hAnsi="Times New Roman"/>
          <w:sz w:val="22"/>
          <w:szCs w:val="22"/>
          <w:lang w:val="en-GB"/>
        </w:rPr>
        <w:tab/>
      </w:r>
    </w:p>
    <w:p w:rsidR="00545930" w:rsidRDefault="00545930" w:rsidP="003E2829">
      <w:pPr>
        <w:pStyle w:val="ListParagraph"/>
        <w:numPr>
          <w:ilvl w:val="0"/>
          <w:numId w:val="7"/>
        </w:numPr>
        <w:ind w:hanging="720"/>
        <w:rPr>
          <w:sz w:val="22"/>
          <w:szCs w:val="22"/>
          <w:lang w:val="en-GB"/>
        </w:rPr>
      </w:pPr>
      <w:bookmarkStart w:id="107" w:name="_DV_M101"/>
      <w:bookmarkEnd w:id="107"/>
      <w:r>
        <w:rPr>
          <w:sz w:val="22"/>
          <w:szCs w:val="22"/>
          <w:lang w:val="en-GB"/>
        </w:rPr>
        <w:t>Convertible securities that are immediately convertible into, or exchangeable for, securities of the same issuer, class, type and term (if applicable)</w:t>
      </w:r>
      <w:bookmarkStart w:id="108" w:name="_DV_M102"/>
      <w:bookmarkEnd w:id="108"/>
      <w:r>
        <w:rPr>
          <w:sz w:val="22"/>
          <w:szCs w:val="22"/>
          <w:lang w:val="en-GB"/>
        </w:rPr>
        <w:t xml:space="preserve"> as the securities that are being loaned, and in at least the same number of those loaned.</w:t>
      </w:r>
      <w:r>
        <w:rPr>
          <w:sz w:val="22"/>
          <w:szCs w:val="22"/>
          <w:lang w:val="en-GB"/>
        </w:rPr>
        <w:br/>
      </w:r>
    </w:p>
    <w:p w:rsidR="00545930" w:rsidRDefault="00545930" w:rsidP="003E2829">
      <w:pPr>
        <w:pStyle w:val="ListParagraph"/>
        <w:numPr>
          <w:ilvl w:val="0"/>
          <w:numId w:val="7"/>
        </w:numPr>
        <w:ind w:hanging="720"/>
        <w:rPr>
          <w:sz w:val="22"/>
          <w:szCs w:val="22"/>
          <w:lang w:val="en-GB"/>
        </w:rPr>
      </w:pPr>
      <w:r w:rsidRPr="00512309">
        <w:rPr>
          <w:sz w:val="22"/>
          <w:szCs w:val="22"/>
          <w:lang w:val="en-GB"/>
        </w:rPr>
        <w:t>Debt obligations and securities issued by Canadian Provincial governments where such Provincial government has a rating of (i) A or better by Standard &amp; Poor’s or (ii) A or better by Fitch or (iii) A2 or better by Moody’s or (iv) A or better by DBRS</w:t>
      </w:r>
      <w:r>
        <w:rPr>
          <w:sz w:val="22"/>
          <w:szCs w:val="22"/>
          <w:lang w:val="en-GB"/>
        </w:rPr>
        <w:t>.*</w:t>
      </w:r>
      <w:r>
        <w:rPr>
          <w:sz w:val="22"/>
          <w:szCs w:val="22"/>
          <w:lang w:val="en-GB"/>
        </w:rPr>
        <w:br/>
        <w:t xml:space="preserve">  </w:t>
      </w:r>
    </w:p>
    <w:p w:rsidR="00545930" w:rsidRDefault="00545930" w:rsidP="003E2829">
      <w:pPr>
        <w:pStyle w:val="ListParagraph"/>
        <w:ind w:hanging="720"/>
      </w:pPr>
      <w:r>
        <w:rPr>
          <w:lang w:val="en-GB"/>
        </w:rPr>
        <w:t>*</w:t>
      </w:r>
      <w:r>
        <w:rPr>
          <w:lang w:val="en-GB"/>
        </w:rPr>
        <w:tab/>
      </w:r>
      <w:r w:rsidRPr="00DF611E">
        <w:rPr>
          <w:rStyle w:val="DeltaViewInsertion"/>
          <w:color w:val="auto"/>
          <w:sz w:val="22"/>
          <w:szCs w:val="22"/>
          <w:u w:val="none"/>
          <w:lang w:val="en-GB"/>
        </w:rPr>
        <w:t xml:space="preserve">Instruments which are eligible at the time of acceptance, but </w:t>
      </w:r>
      <w:r>
        <w:rPr>
          <w:rStyle w:val="DeltaViewInsertion"/>
          <w:color w:val="auto"/>
          <w:sz w:val="22"/>
          <w:szCs w:val="22"/>
          <w:u w:val="none"/>
          <w:lang w:val="en-GB"/>
        </w:rPr>
        <w:t>with respect</w:t>
      </w:r>
      <w:bookmarkStart w:id="109" w:name="_DV_M103"/>
      <w:bookmarkStart w:id="110" w:name="_DV_M104"/>
      <w:bookmarkStart w:id="111" w:name="_DV_M105"/>
      <w:bookmarkEnd w:id="109"/>
      <w:bookmarkEnd w:id="110"/>
      <w:bookmarkEnd w:id="111"/>
      <w:r>
        <w:rPr>
          <w:rStyle w:val="DeltaViewInsertion"/>
          <w:color w:val="auto"/>
          <w:sz w:val="22"/>
          <w:szCs w:val="22"/>
          <w:u w:val="none"/>
          <w:lang w:val="en-GB"/>
        </w:rPr>
        <w:t xml:space="preserve"> to which the issuer of the instrument or the instrument itself (as applicable) is subsequently downgraded below the minimum applicable rating level, will be replaced in a prudent manner, but will remain eligible until replaced.</w:t>
      </w:r>
    </w:p>
    <w:sectPr w:rsidR="00545930" w:rsidSect="00FD1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930" w:rsidRDefault="00545930">
      <w:pPr>
        <w:rPr>
          <w:rFonts w:hAnsi="Times New Roman"/>
          <w:szCs w:val="24"/>
        </w:rPr>
      </w:pPr>
      <w:r>
        <w:rPr>
          <w:rFonts w:hAnsi="Times New Roman"/>
          <w:szCs w:val="24"/>
        </w:rPr>
        <w:separator/>
      </w:r>
    </w:p>
  </w:endnote>
  <w:endnote w:type="continuationSeparator" w:id="0">
    <w:p w:rsidR="00545930" w:rsidRDefault="00545930">
      <w:pPr>
        <w:rPr>
          <w:rFonts w:hAnsi="Times New Roman"/>
          <w:szCs w:val="24"/>
        </w:rPr>
      </w:pPr>
      <w:r>
        <w:rPr>
          <w:rFonts w:hAnsi="Times New Roman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930" w:rsidRDefault="005459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930" w:rsidRDefault="00545930">
    <w:pPr>
      <w:rPr>
        <w:rFonts w:hAnsi="Times New Roman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930" w:rsidRDefault="005459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930" w:rsidRDefault="00545930">
      <w:pPr>
        <w:rPr>
          <w:rFonts w:hAnsi="Times New Roman"/>
          <w:szCs w:val="24"/>
        </w:rPr>
      </w:pPr>
      <w:r>
        <w:rPr>
          <w:rFonts w:hAnsi="Times New Roman"/>
          <w:szCs w:val="24"/>
        </w:rPr>
        <w:separator/>
      </w:r>
    </w:p>
  </w:footnote>
  <w:footnote w:type="continuationSeparator" w:id="0">
    <w:p w:rsidR="00545930" w:rsidRDefault="00545930">
      <w:pPr>
        <w:rPr>
          <w:rFonts w:hAnsi="Times New Roman"/>
          <w:szCs w:val="24"/>
        </w:rPr>
      </w:pPr>
      <w:r>
        <w:rPr>
          <w:rFonts w:hAnsi="Times New Roman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930" w:rsidRDefault="005459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930" w:rsidRDefault="00545930">
    <w:pPr>
      <w:rPr>
        <w:rFonts w:hAnsi="Times New Roman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930" w:rsidRDefault="00545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606375A"/>
    <w:lvl w:ilvl="0" w:tplc="08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2696B80E"/>
    <w:lvl w:ilvl="0" w:tplc="08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32569CBA"/>
    <w:lvl w:ilvl="0" w:tplc="08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9EC0CE3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05"/>
    <w:multiLevelType w:val="hybridMultilevel"/>
    <w:tmpl w:val="40C2A98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eastAsia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hybridMultilevel"/>
    <w:tmpl w:val="DA84AEB0"/>
    <w:lvl w:ilvl="0" w:tplc="79F4F8F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E974CC"/>
    <w:multiLevelType w:val="hybridMultilevel"/>
    <w:tmpl w:val="3838162A"/>
    <w:lvl w:ilvl="0" w:tplc="040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5A"/>
    <w:rsid w:val="00001BF0"/>
    <w:rsid w:val="0001592A"/>
    <w:rsid w:val="00020498"/>
    <w:rsid w:val="000469A4"/>
    <w:rsid w:val="00050A33"/>
    <w:rsid w:val="00051E70"/>
    <w:rsid w:val="000765A3"/>
    <w:rsid w:val="00086ABC"/>
    <w:rsid w:val="000B153A"/>
    <w:rsid w:val="000E52CF"/>
    <w:rsid w:val="00105AE2"/>
    <w:rsid w:val="00122347"/>
    <w:rsid w:val="00123D42"/>
    <w:rsid w:val="001324DF"/>
    <w:rsid w:val="00132D90"/>
    <w:rsid w:val="00140D8B"/>
    <w:rsid w:val="00144911"/>
    <w:rsid w:val="001733C2"/>
    <w:rsid w:val="001744F2"/>
    <w:rsid w:val="00196D0B"/>
    <w:rsid w:val="0019708C"/>
    <w:rsid w:val="00197AB6"/>
    <w:rsid w:val="001A6E02"/>
    <w:rsid w:val="001C42E6"/>
    <w:rsid w:val="001C57E4"/>
    <w:rsid w:val="001C6628"/>
    <w:rsid w:val="001D1451"/>
    <w:rsid w:val="001E673C"/>
    <w:rsid w:val="00211231"/>
    <w:rsid w:val="002169D9"/>
    <w:rsid w:val="00236464"/>
    <w:rsid w:val="002411D1"/>
    <w:rsid w:val="002518A6"/>
    <w:rsid w:val="0027740D"/>
    <w:rsid w:val="00283464"/>
    <w:rsid w:val="00290648"/>
    <w:rsid w:val="002A35AE"/>
    <w:rsid w:val="002B007D"/>
    <w:rsid w:val="002C2CBE"/>
    <w:rsid w:val="002C5EBC"/>
    <w:rsid w:val="002C69B7"/>
    <w:rsid w:val="002D3A6C"/>
    <w:rsid w:val="0032719B"/>
    <w:rsid w:val="0034031C"/>
    <w:rsid w:val="003403C8"/>
    <w:rsid w:val="00366E44"/>
    <w:rsid w:val="003A7883"/>
    <w:rsid w:val="003B5027"/>
    <w:rsid w:val="003C0BAF"/>
    <w:rsid w:val="003E2829"/>
    <w:rsid w:val="003E4990"/>
    <w:rsid w:val="003F4B1D"/>
    <w:rsid w:val="0040029A"/>
    <w:rsid w:val="00424D28"/>
    <w:rsid w:val="00442013"/>
    <w:rsid w:val="00460D97"/>
    <w:rsid w:val="00463264"/>
    <w:rsid w:val="00467318"/>
    <w:rsid w:val="00472C9F"/>
    <w:rsid w:val="00482265"/>
    <w:rsid w:val="0048490D"/>
    <w:rsid w:val="004A4850"/>
    <w:rsid w:val="004A75D3"/>
    <w:rsid w:val="004D0BC5"/>
    <w:rsid w:val="0050190D"/>
    <w:rsid w:val="00512309"/>
    <w:rsid w:val="00514753"/>
    <w:rsid w:val="00545930"/>
    <w:rsid w:val="00546957"/>
    <w:rsid w:val="005636E9"/>
    <w:rsid w:val="00581DC7"/>
    <w:rsid w:val="005901DC"/>
    <w:rsid w:val="005A6ADF"/>
    <w:rsid w:val="005B5ACF"/>
    <w:rsid w:val="005C0210"/>
    <w:rsid w:val="005C4C6D"/>
    <w:rsid w:val="005C58FD"/>
    <w:rsid w:val="005E1303"/>
    <w:rsid w:val="005E14D9"/>
    <w:rsid w:val="0061476D"/>
    <w:rsid w:val="00616EC2"/>
    <w:rsid w:val="00617D05"/>
    <w:rsid w:val="00626029"/>
    <w:rsid w:val="0064630C"/>
    <w:rsid w:val="00664AF6"/>
    <w:rsid w:val="00676AA8"/>
    <w:rsid w:val="00677CFD"/>
    <w:rsid w:val="0068489E"/>
    <w:rsid w:val="006D649B"/>
    <w:rsid w:val="006D785D"/>
    <w:rsid w:val="00731B3E"/>
    <w:rsid w:val="00743925"/>
    <w:rsid w:val="007551F4"/>
    <w:rsid w:val="00766826"/>
    <w:rsid w:val="007715F6"/>
    <w:rsid w:val="007A09C7"/>
    <w:rsid w:val="007A485A"/>
    <w:rsid w:val="007B1784"/>
    <w:rsid w:val="007B20C8"/>
    <w:rsid w:val="007C148E"/>
    <w:rsid w:val="007C60B7"/>
    <w:rsid w:val="007E6549"/>
    <w:rsid w:val="007F5B45"/>
    <w:rsid w:val="007F7FED"/>
    <w:rsid w:val="00807961"/>
    <w:rsid w:val="00810601"/>
    <w:rsid w:val="008231B5"/>
    <w:rsid w:val="00873AEA"/>
    <w:rsid w:val="00891015"/>
    <w:rsid w:val="008922A1"/>
    <w:rsid w:val="008B219A"/>
    <w:rsid w:val="008C6D4B"/>
    <w:rsid w:val="008D229D"/>
    <w:rsid w:val="008F6B35"/>
    <w:rsid w:val="009105C1"/>
    <w:rsid w:val="00910860"/>
    <w:rsid w:val="009114FD"/>
    <w:rsid w:val="00921C36"/>
    <w:rsid w:val="00924C06"/>
    <w:rsid w:val="00925C0E"/>
    <w:rsid w:val="00940D7F"/>
    <w:rsid w:val="0095572D"/>
    <w:rsid w:val="00956228"/>
    <w:rsid w:val="00964029"/>
    <w:rsid w:val="00965A0D"/>
    <w:rsid w:val="00975B4E"/>
    <w:rsid w:val="00976898"/>
    <w:rsid w:val="009918B8"/>
    <w:rsid w:val="009924DF"/>
    <w:rsid w:val="0099323A"/>
    <w:rsid w:val="009A166B"/>
    <w:rsid w:val="009A2B0F"/>
    <w:rsid w:val="009A49CD"/>
    <w:rsid w:val="009A6BE9"/>
    <w:rsid w:val="009B0E85"/>
    <w:rsid w:val="009B12EB"/>
    <w:rsid w:val="009B6688"/>
    <w:rsid w:val="009B6FAC"/>
    <w:rsid w:val="009E186A"/>
    <w:rsid w:val="009E55B8"/>
    <w:rsid w:val="009F322C"/>
    <w:rsid w:val="009F6458"/>
    <w:rsid w:val="009F64FD"/>
    <w:rsid w:val="00A00AA6"/>
    <w:rsid w:val="00A10059"/>
    <w:rsid w:val="00A27AAF"/>
    <w:rsid w:val="00A307B1"/>
    <w:rsid w:val="00A43755"/>
    <w:rsid w:val="00A47C5D"/>
    <w:rsid w:val="00A60511"/>
    <w:rsid w:val="00A65395"/>
    <w:rsid w:val="00A70512"/>
    <w:rsid w:val="00A90E1B"/>
    <w:rsid w:val="00AB41E8"/>
    <w:rsid w:val="00AB4787"/>
    <w:rsid w:val="00AB6A3E"/>
    <w:rsid w:val="00AD2501"/>
    <w:rsid w:val="00AE5B18"/>
    <w:rsid w:val="00AF7F29"/>
    <w:rsid w:val="00B034F8"/>
    <w:rsid w:val="00B24256"/>
    <w:rsid w:val="00B26502"/>
    <w:rsid w:val="00B316B0"/>
    <w:rsid w:val="00B319DF"/>
    <w:rsid w:val="00B4393C"/>
    <w:rsid w:val="00B70E5E"/>
    <w:rsid w:val="00B72F16"/>
    <w:rsid w:val="00B76E0B"/>
    <w:rsid w:val="00B81140"/>
    <w:rsid w:val="00B8185A"/>
    <w:rsid w:val="00B8652F"/>
    <w:rsid w:val="00B9774D"/>
    <w:rsid w:val="00BB1CD5"/>
    <w:rsid w:val="00BC07C0"/>
    <w:rsid w:val="00BD2B36"/>
    <w:rsid w:val="00BD30E9"/>
    <w:rsid w:val="00BF5748"/>
    <w:rsid w:val="00BF57C1"/>
    <w:rsid w:val="00C0022E"/>
    <w:rsid w:val="00C1232C"/>
    <w:rsid w:val="00C14CBD"/>
    <w:rsid w:val="00C33136"/>
    <w:rsid w:val="00C3560E"/>
    <w:rsid w:val="00C45C31"/>
    <w:rsid w:val="00C4751C"/>
    <w:rsid w:val="00C5267F"/>
    <w:rsid w:val="00C64795"/>
    <w:rsid w:val="00C73F58"/>
    <w:rsid w:val="00C90FBA"/>
    <w:rsid w:val="00CA325D"/>
    <w:rsid w:val="00CA520C"/>
    <w:rsid w:val="00CA544B"/>
    <w:rsid w:val="00CC4C59"/>
    <w:rsid w:val="00CD7973"/>
    <w:rsid w:val="00CF2AC4"/>
    <w:rsid w:val="00D1003B"/>
    <w:rsid w:val="00D10140"/>
    <w:rsid w:val="00D1070C"/>
    <w:rsid w:val="00D12111"/>
    <w:rsid w:val="00D14A8D"/>
    <w:rsid w:val="00D1620D"/>
    <w:rsid w:val="00D27721"/>
    <w:rsid w:val="00D367F1"/>
    <w:rsid w:val="00D40ECC"/>
    <w:rsid w:val="00D46FD8"/>
    <w:rsid w:val="00D505CD"/>
    <w:rsid w:val="00D515F8"/>
    <w:rsid w:val="00D64B1E"/>
    <w:rsid w:val="00D67ECF"/>
    <w:rsid w:val="00D75F72"/>
    <w:rsid w:val="00D77B1F"/>
    <w:rsid w:val="00D812A8"/>
    <w:rsid w:val="00D87EB5"/>
    <w:rsid w:val="00D9560E"/>
    <w:rsid w:val="00DB747B"/>
    <w:rsid w:val="00DD21BE"/>
    <w:rsid w:val="00DD3B4F"/>
    <w:rsid w:val="00DE18C0"/>
    <w:rsid w:val="00DE7F01"/>
    <w:rsid w:val="00DF5345"/>
    <w:rsid w:val="00DF611E"/>
    <w:rsid w:val="00DF6AC8"/>
    <w:rsid w:val="00E12251"/>
    <w:rsid w:val="00E310D0"/>
    <w:rsid w:val="00E3505A"/>
    <w:rsid w:val="00E6386C"/>
    <w:rsid w:val="00E65253"/>
    <w:rsid w:val="00E6534D"/>
    <w:rsid w:val="00E77D52"/>
    <w:rsid w:val="00EB1145"/>
    <w:rsid w:val="00EB1DFC"/>
    <w:rsid w:val="00EB2B91"/>
    <w:rsid w:val="00EB493D"/>
    <w:rsid w:val="00ED13AE"/>
    <w:rsid w:val="00EF1038"/>
    <w:rsid w:val="00EF42E1"/>
    <w:rsid w:val="00F01879"/>
    <w:rsid w:val="00F142C6"/>
    <w:rsid w:val="00F2481C"/>
    <w:rsid w:val="00F27E02"/>
    <w:rsid w:val="00F600F3"/>
    <w:rsid w:val="00F608B5"/>
    <w:rsid w:val="00F6220F"/>
    <w:rsid w:val="00F664AB"/>
    <w:rsid w:val="00F752FF"/>
    <w:rsid w:val="00F75A5F"/>
    <w:rsid w:val="00F80090"/>
    <w:rsid w:val="00FA3244"/>
    <w:rsid w:val="00FA6323"/>
    <w:rsid w:val="00FB78A2"/>
    <w:rsid w:val="00FC62C7"/>
    <w:rsid w:val="00FD1E68"/>
    <w:rsid w:val="00FD5460"/>
    <w:rsid w:val="00FE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D8AB4755-4F2E-4D03-AEB6-E3DE569D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E68"/>
    <w:pPr>
      <w:autoSpaceDE w:val="0"/>
      <w:autoSpaceDN w:val="0"/>
      <w:adjustRightInd w:val="0"/>
    </w:pPr>
    <w:rPr>
      <w:rFonts w:ascii="Times New Roman" w:hAnsi="Cambria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1E68"/>
    <w:pPr>
      <w:keepNext/>
      <w:tabs>
        <w:tab w:val="center" w:pos="4680"/>
      </w:tabs>
      <w:suppressAutoHyphens/>
      <w:jc w:val="center"/>
      <w:outlineLvl w:val="0"/>
    </w:pPr>
    <w:rPr>
      <w:rFonts w:ascii="Cambria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1E68"/>
    <w:rPr>
      <w:rFonts w:ascii="Cambria" w:hAnsi="Cambria" w:cs="Times New Roman"/>
      <w:b/>
      <w:kern w:val="32"/>
      <w:sz w:val="32"/>
      <w:lang w:val="en-US"/>
    </w:rPr>
  </w:style>
  <w:style w:type="paragraph" w:customStyle="1" w:styleId="para">
    <w:name w:val="para"/>
    <w:basedOn w:val="Normal"/>
    <w:uiPriority w:val="99"/>
    <w:rsid w:val="00FD1E68"/>
    <w:pPr>
      <w:widowControl w:val="0"/>
      <w:tabs>
        <w:tab w:val="left" w:pos="0"/>
      </w:tabs>
      <w:suppressAutoHyphens/>
      <w:spacing w:after="240"/>
      <w:jc w:val="both"/>
    </w:pPr>
    <w:rPr>
      <w:rFonts w:hAnsi="Times New Roman"/>
      <w:spacing w:val="-2"/>
      <w:sz w:val="20"/>
    </w:rPr>
  </w:style>
  <w:style w:type="character" w:styleId="Emphasis">
    <w:name w:val="Emphasis"/>
    <w:basedOn w:val="DefaultParagraphFont"/>
    <w:uiPriority w:val="99"/>
    <w:qFormat/>
    <w:rsid w:val="00FD1E68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rsid w:val="00FD1E6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D1E68"/>
    <w:rPr>
      <w:rFonts w:ascii="Tahoma" w:hAnsi="Tahoma" w:cs="Times New Roman"/>
      <w:sz w:val="16"/>
      <w:lang w:val="en-US"/>
    </w:rPr>
  </w:style>
  <w:style w:type="paragraph" w:styleId="NoSpacing">
    <w:name w:val="No Spacing"/>
    <w:uiPriority w:val="99"/>
    <w:qFormat/>
    <w:rsid w:val="00FD1E68"/>
    <w:pPr>
      <w:autoSpaceDE w:val="0"/>
      <w:autoSpaceDN w:val="0"/>
      <w:adjustRightInd w:val="0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FD1E68"/>
    <w:pPr>
      <w:ind w:left="720"/>
      <w:contextualSpacing/>
    </w:pPr>
    <w:rPr>
      <w:rFonts w:hAnsi="Times New Roman"/>
    </w:rPr>
  </w:style>
  <w:style w:type="paragraph" w:styleId="EndnoteText">
    <w:name w:val="endnote text"/>
    <w:basedOn w:val="Normal"/>
    <w:link w:val="EndnoteTextChar"/>
    <w:uiPriority w:val="99"/>
    <w:rsid w:val="00FD1E68"/>
    <w:rPr>
      <w:rFonts w:hAnsi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D1E68"/>
    <w:rPr>
      <w:rFonts w:ascii="Times New Roman" w:hAnsi="Times New Roman" w:cs="Times New Roman"/>
      <w:sz w:val="20"/>
      <w:lang w:val="en-US"/>
    </w:rPr>
  </w:style>
  <w:style w:type="character" w:styleId="EndnoteReference">
    <w:name w:val="endnote reference"/>
    <w:basedOn w:val="DefaultParagraphFont"/>
    <w:uiPriority w:val="99"/>
    <w:rsid w:val="00FD1E68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FD1E68"/>
    <w:pPr>
      <w:widowControl w:val="0"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120" w:line="480" w:lineRule="auto"/>
      <w:jc w:val="both"/>
    </w:pPr>
    <w:rPr>
      <w:rFonts w:ascii="Tahoma" w:hAnsi="Tahoma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D1E68"/>
    <w:rPr>
      <w:rFonts w:ascii="Tahoma" w:hAnsi="Tahoma" w:cs="Times New Roman"/>
      <w:sz w:val="20"/>
    </w:rPr>
  </w:style>
  <w:style w:type="paragraph" w:styleId="Header">
    <w:name w:val="header"/>
    <w:basedOn w:val="Normal"/>
    <w:link w:val="HeaderChar"/>
    <w:uiPriority w:val="99"/>
    <w:rsid w:val="00FD1E68"/>
    <w:pPr>
      <w:widowControl w:val="0"/>
      <w:tabs>
        <w:tab w:val="left" w:pos="0"/>
        <w:tab w:val="right" w:pos="8324"/>
      </w:tabs>
      <w:jc w:val="right"/>
    </w:pPr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1E68"/>
    <w:rPr>
      <w:rFonts w:ascii="Tahoma" w:hAnsi="Tahoma" w:cs="Times New Roman"/>
      <w:sz w:val="16"/>
    </w:rPr>
  </w:style>
  <w:style w:type="paragraph" w:customStyle="1" w:styleId="DeltaViewTableHeading">
    <w:name w:val="DeltaView Table Heading"/>
    <w:basedOn w:val="Normal"/>
    <w:uiPriority w:val="99"/>
    <w:rsid w:val="00FD1E68"/>
    <w:pPr>
      <w:spacing w:after="120"/>
    </w:pPr>
    <w:rPr>
      <w:rFonts w:ascii="Arial" w:hAnsi="Arial"/>
      <w:b/>
      <w:szCs w:val="24"/>
    </w:rPr>
  </w:style>
  <w:style w:type="paragraph" w:customStyle="1" w:styleId="DeltaViewTableBody">
    <w:name w:val="DeltaView Table Body"/>
    <w:basedOn w:val="Normal"/>
    <w:uiPriority w:val="99"/>
    <w:rsid w:val="00FD1E68"/>
    <w:rPr>
      <w:rFonts w:ascii="Arial" w:hAnsi="Arial"/>
      <w:szCs w:val="24"/>
    </w:rPr>
  </w:style>
  <w:style w:type="paragraph" w:customStyle="1" w:styleId="DeltaViewAnnounce">
    <w:name w:val="DeltaView Announce"/>
    <w:uiPriority w:val="99"/>
    <w:rsid w:val="00FD1E68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rsid w:val="00FD1E68"/>
    <w:rPr>
      <w:rFonts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FD1E68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1E68"/>
    <w:rPr>
      <w:rFonts w:ascii="Times New Roman" w:eastAsia="Times New Roman" w:hAnsi="Cambria" w:cs="Times New Roman"/>
      <w:sz w:val="20"/>
    </w:rPr>
  </w:style>
  <w:style w:type="character" w:customStyle="1" w:styleId="DeltaViewInsertion">
    <w:name w:val="DeltaView Insertion"/>
    <w:uiPriority w:val="99"/>
    <w:rsid w:val="00FD1E68"/>
    <w:rPr>
      <w:color w:val="0000FF"/>
      <w:u w:val="double"/>
    </w:rPr>
  </w:style>
  <w:style w:type="character" w:customStyle="1" w:styleId="DeltaViewDeletion">
    <w:name w:val="DeltaView Deletion"/>
    <w:uiPriority w:val="99"/>
    <w:rsid w:val="00FD1E68"/>
    <w:rPr>
      <w:strike/>
      <w:color w:val="FF0000"/>
    </w:rPr>
  </w:style>
  <w:style w:type="character" w:customStyle="1" w:styleId="DeltaViewMoveSource">
    <w:name w:val="DeltaView Move Source"/>
    <w:uiPriority w:val="99"/>
    <w:rsid w:val="00FD1E68"/>
    <w:rPr>
      <w:strike/>
      <w:color w:val="00C000"/>
    </w:rPr>
  </w:style>
  <w:style w:type="character" w:customStyle="1" w:styleId="DeltaViewMoveDestination">
    <w:name w:val="DeltaView Move Destination"/>
    <w:uiPriority w:val="99"/>
    <w:rsid w:val="00FD1E68"/>
    <w:rPr>
      <w:color w:val="00C000"/>
      <w:u w:val="double"/>
    </w:rPr>
  </w:style>
  <w:style w:type="paragraph" w:styleId="CommentText">
    <w:name w:val="annotation text"/>
    <w:basedOn w:val="Normal"/>
    <w:link w:val="CommentTextChar"/>
    <w:uiPriority w:val="99"/>
    <w:rsid w:val="00FD1E6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1E68"/>
    <w:rPr>
      <w:rFonts w:ascii="Times New Roman" w:eastAsia="Times New Roman" w:hAnsi="Cambria" w:cs="Times New Roman"/>
      <w:sz w:val="20"/>
    </w:rPr>
  </w:style>
  <w:style w:type="character" w:customStyle="1" w:styleId="DeltaViewChangeNumber">
    <w:name w:val="DeltaView Change Number"/>
    <w:uiPriority w:val="99"/>
    <w:rsid w:val="00FD1E68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FD1E68"/>
  </w:style>
  <w:style w:type="paragraph" w:styleId="DocumentMap">
    <w:name w:val="Document Map"/>
    <w:basedOn w:val="Normal"/>
    <w:next w:val="Header"/>
    <w:link w:val="DocumentMapChar"/>
    <w:uiPriority w:val="99"/>
    <w:rsid w:val="00FD1E68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D1E68"/>
    <w:rPr>
      <w:rFonts w:ascii="Tahoma" w:hAnsi="Tahoma" w:cs="Times New Roman"/>
      <w:sz w:val="16"/>
    </w:rPr>
  </w:style>
  <w:style w:type="character" w:customStyle="1" w:styleId="DeltaViewFormatChange">
    <w:name w:val="DeltaView Format Change"/>
    <w:uiPriority w:val="99"/>
    <w:rsid w:val="00FD1E68"/>
    <w:rPr>
      <w:color w:val="000000"/>
    </w:rPr>
  </w:style>
  <w:style w:type="character" w:customStyle="1" w:styleId="DeltaViewMovedDeletion">
    <w:name w:val="DeltaView Moved Deletion"/>
    <w:uiPriority w:val="99"/>
    <w:rsid w:val="00FD1E68"/>
    <w:rPr>
      <w:strike/>
      <w:color w:val="C08080"/>
    </w:rPr>
  </w:style>
  <w:style w:type="character" w:customStyle="1" w:styleId="DeltaViewComment">
    <w:name w:val="DeltaView Comment"/>
    <w:uiPriority w:val="99"/>
    <w:rsid w:val="00FD1E68"/>
    <w:rPr>
      <w:color w:val="000000"/>
    </w:rPr>
  </w:style>
  <w:style w:type="character" w:customStyle="1" w:styleId="DeltaViewStyleChangeText">
    <w:name w:val="DeltaView Style Change Text"/>
    <w:uiPriority w:val="99"/>
    <w:rsid w:val="00FD1E68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FD1E68"/>
    <w:rPr>
      <w:color w:val="000000"/>
    </w:rPr>
  </w:style>
  <w:style w:type="character" w:customStyle="1" w:styleId="DeltaViewInsertedComment">
    <w:name w:val="DeltaView Inserted Comment"/>
    <w:uiPriority w:val="99"/>
    <w:rsid w:val="00FD1E68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FD1E68"/>
    <w:rPr>
      <w:strike/>
      <w:color w:val="FF0000"/>
    </w:rPr>
  </w:style>
  <w:style w:type="paragraph" w:styleId="Footer">
    <w:name w:val="footer"/>
    <w:basedOn w:val="Normal"/>
    <w:link w:val="FooterChar"/>
    <w:uiPriority w:val="99"/>
    <w:locked/>
    <w:rsid w:val="00A47C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26E"/>
    <w:rPr>
      <w:rFonts w:ascii="Times New Roman" w:hAnsi="Cambr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Colombo, Janice</dc:creator>
  <cp:lastModifiedBy>Rochell, Sandra</cp:lastModifiedBy>
  <cp:revision>2</cp:revision>
  <dcterms:created xsi:type="dcterms:W3CDTF">2017-04-25T18:07:00Z</dcterms:created>
  <dcterms:modified xsi:type="dcterms:W3CDTF">2017-04-25T18:07:00Z</dcterms:modified>
</cp:coreProperties>
</file>