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42" w:rsidRDefault="007D3F40" w:rsidP="002270F3">
      <w:pPr>
        <w:jc w:val="center"/>
        <w:rPr>
          <w:sz w:val="20"/>
          <w:szCs w:val="20"/>
        </w:rPr>
      </w:pPr>
      <w:r>
        <w:rPr>
          <w:sz w:val="20"/>
          <w:szCs w:val="20"/>
        </w:rPr>
        <w:t>Questions and Answers for Oklahoma Tobacco Custody Search</w:t>
      </w:r>
    </w:p>
    <w:p w:rsidR="002270F3" w:rsidRDefault="002270F3">
      <w:pPr>
        <w:rPr>
          <w:sz w:val="20"/>
          <w:szCs w:val="20"/>
        </w:rPr>
      </w:pPr>
    </w:p>
    <w:p w:rsidR="002B39D2" w:rsidRPr="002B39D2" w:rsidRDefault="002B39D2" w:rsidP="002B39D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 xml:space="preserve">Account Structure – For the SMAs within US Equity and US Fixed Income; is it possible to send the number of holdings (securities) for each?  Is it possible to breakdown the fixed income holdings volume by type (i.e. </w:t>
      </w:r>
      <w:proofErr w:type="spellStart"/>
      <w:r w:rsidRPr="002B39D2">
        <w:rPr>
          <w:sz w:val="20"/>
          <w:szCs w:val="20"/>
        </w:rPr>
        <w:t>corp</w:t>
      </w:r>
      <w:proofErr w:type="spellEnd"/>
      <w:r w:rsidRPr="002B39D2">
        <w:rPr>
          <w:sz w:val="20"/>
          <w:szCs w:val="20"/>
        </w:rPr>
        <w:t xml:space="preserve"> bonds, </w:t>
      </w:r>
      <w:proofErr w:type="spellStart"/>
      <w:r w:rsidRPr="002B39D2">
        <w:rPr>
          <w:sz w:val="20"/>
          <w:szCs w:val="20"/>
        </w:rPr>
        <w:t>govt</w:t>
      </w:r>
      <w:proofErr w:type="spellEnd"/>
      <w:r w:rsidRPr="002B39D2">
        <w:rPr>
          <w:sz w:val="20"/>
          <w:szCs w:val="20"/>
        </w:rPr>
        <w:t xml:space="preserve"> bonds, agency bonds, municipal bonds)?</w:t>
      </w:r>
      <w:r>
        <w:rPr>
          <w:sz w:val="20"/>
          <w:szCs w:val="20"/>
        </w:rPr>
        <w:t xml:space="preserve"> </w:t>
      </w:r>
      <w:r>
        <w:rPr>
          <w:color w:val="0042C7" w:themeColor="accent3" w:themeTint="BF"/>
          <w:sz w:val="20"/>
          <w:szCs w:val="20"/>
        </w:rPr>
        <w:t xml:space="preserve">See excel template posted on website titled </w:t>
      </w:r>
      <w:r w:rsidR="008E76D6">
        <w:rPr>
          <w:color w:val="0042C7" w:themeColor="accent3" w:themeTint="BF"/>
          <w:sz w:val="20"/>
          <w:szCs w:val="20"/>
        </w:rPr>
        <w:t>“Answer to Question 1”</w:t>
      </w:r>
      <w:r>
        <w:rPr>
          <w:color w:val="0042C7" w:themeColor="accent3" w:themeTint="BF"/>
          <w:sz w:val="20"/>
          <w:szCs w:val="20"/>
        </w:rPr>
        <w:t xml:space="preserve"> for this question and parts a through e below</w:t>
      </w:r>
    </w:p>
    <w:p w:rsidR="002B39D2" w:rsidRPr="002B39D2" w:rsidRDefault="002B39D2" w:rsidP="002B39D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>The Non-US SMA, Schroders; will need the breakdown by country; mkt value, # of holdings and transactions for each.</w:t>
      </w:r>
      <w:r>
        <w:rPr>
          <w:sz w:val="20"/>
          <w:szCs w:val="20"/>
        </w:rPr>
        <w:t xml:space="preserve"> </w:t>
      </w:r>
    </w:p>
    <w:p w:rsidR="002B39D2" w:rsidRPr="002B39D2" w:rsidRDefault="002B39D2" w:rsidP="002B39D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>For the Real Estate and Private Equity – they are listed as SMAs.  Are they not just funds?  Are these structured as ‘one account per fund’?</w:t>
      </w:r>
    </w:p>
    <w:p w:rsidR="002B39D2" w:rsidRPr="002B39D2" w:rsidRDefault="002B39D2" w:rsidP="002B39D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>Is the CF for Columbus just one fund in one account?</w:t>
      </w:r>
    </w:p>
    <w:p w:rsidR="002B39D2" w:rsidRPr="002B39D2" w:rsidRDefault="002B39D2" w:rsidP="002B39D2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02B39D2">
        <w:rPr>
          <w:sz w:val="20"/>
          <w:szCs w:val="20"/>
        </w:rPr>
        <w:t>Are</w:t>
      </w:r>
      <w:proofErr w:type="gramEnd"/>
      <w:r w:rsidRPr="002B39D2">
        <w:rPr>
          <w:sz w:val="20"/>
          <w:szCs w:val="20"/>
        </w:rPr>
        <w:t xml:space="preserve"> the MFs GMO and PIMCO just one fund in one account each?  If not, how many reside in an account?</w:t>
      </w:r>
    </w:p>
    <w:p w:rsidR="002B39D2" w:rsidRDefault="002B39D2" w:rsidP="002B39D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>Which account(s) hold the derivatives?</w:t>
      </w:r>
    </w:p>
    <w:p w:rsidR="00EA6BB3" w:rsidRPr="002B39D2" w:rsidRDefault="00EA6BB3" w:rsidP="00EA6BB3">
      <w:pPr>
        <w:pStyle w:val="ListParagraph"/>
        <w:ind w:left="1440"/>
        <w:rPr>
          <w:sz w:val="20"/>
          <w:szCs w:val="20"/>
        </w:rPr>
      </w:pPr>
    </w:p>
    <w:p w:rsidR="002270F3" w:rsidRPr="00EA6BB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Are performance measurement services required?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EA6BB3" w:rsidRPr="00EA6BB3" w:rsidRDefault="002270F3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Are daily valuation services required?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Pr="00EA6BB3" w:rsidRDefault="00EA6BB3" w:rsidP="00EA6BB3">
      <w:pPr>
        <w:pStyle w:val="ListParagraph"/>
        <w:rPr>
          <w:sz w:val="20"/>
          <w:szCs w:val="20"/>
        </w:rPr>
      </w:pPr>
    </w:p>
    <w:p w:rsidR="00EA6BB3" w:rsidRPr="00EA6BB3" w:rsidRDefault="002270F3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Will the custodian be considered for FX?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Yes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EA6BB3" w:rsidRPr="00EA6BB3" w:rsidRDefault="002270F3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When is the expected conversion occurring?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9/30/2017</w:t>
      </w:r>
    </w:p>
    <w:p w:rsidR="00EA6BB3" w:rsidRP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Does the fund own any illiquid securities in the securities lending program?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Are benefit payments services required?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Who is the current </w:t>
      </w:r>
      <w:r w:rsidR="002B39D2">
        <w:rPr>
          <w:sz w:val="20"/>
          <w:szCs w:val="20"/>
        </w:rPr>
        <w:t>record-keeper</w:t>
      </w:r>
      <w:r>
        <w:rPr>
          <w:sz w:val="20"/>
          <w:szCs w:val="20"/>
        </w:rPr>
        <w:t>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There is no record-keeper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Please provide the daily market value of the ETD’s and OTC’s</w:t>
      </w:r>
      <w:r w:rsidR="002B39D2">
        <w:rPr>
          <w:sz w:val="20"/>
          <w:szCs w:val="20"/>
        </w:rPr>
        <w:t xml:space="preserve">. </w:t>
      </w:r>
      <w:r w:rsidR="002B39D2" w:rsidRPr="002B39D2">
        <w:rPr>
          <w:color w:val="0042C7" w:themeColor="accent3" w:themeTint="BF"/>
          <w:sz w:val="20"/>
          <w:szCs w:val="20"/>
        </w:rPr>
        <w:t>They are not priced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ETD margin frequency?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Margin is daily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OTC margin frequency?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There is no collateral movement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270F3" w:rsidRDefault="002270F3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Are you seeking brokerage services</w:t>
      </w:r>
      <w:r w:rsidR="000D675F">
        <w:rPr>
          <w:sz w:val="20"/>
          <w:szCs w:val="20"/>
        </w:rPr>
        <w:t>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0D675F" w:rsidRDefault="000D675F" w:rsidP="000D67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the RFP be submitted in our own format?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2B39D2" w:rsidRPr="002B39D2" w:rsidRDefault="002B39D2" w:rsidP="002B39D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39D2">
        <w:rPr>
          <w:sz w:val="20"/>
          <w:szCs w:val="20"/>
        </w:rPr>
        <w:t>Please identify any restrictions currently in place on the securities lending program, such as borrower restrictions, concentration limits, asset class restrictions, collateral restrictions etc.</w:t>
      </w:r>
    </w:p>
    <w:p w:rsidR="002B39D2" w:rsidRPr="002B39D2" w:rsidRDefault="002B39D2" w:rsidP="002B39D2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2B39D2">
        <w:rPr>
          <w:color w:val="0042C7" w:themeColor="accent3" w:themeTint="BF"/>
          <w:sz w:val="20"/>
          <w:szCs w:val="20"/>
        </w:rPr>
        <w:t>Investment-standard securities with no more that 5% of the fund invested in the debt of any single issuer, no more that 25% invested in any single corporate of financial industry.</w:t>
      </w:r>
    </w:p>
    <w:p w:rsidR="002B39D2" w:rsidRPr="002B39D2" w:rsidRDefault="002B39D2" w:rsidP="002B39D2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2B39D2">
        <w:rPr>
          <w:color w:val="0042C7" w:themeColor="accent3" w:themeTint="BF"/>
          <w:sz w:val="20"/>
          <w:szCs w:val="20"/>
        </w:rPr>
        <w:t>Maximum percentage in commercial paper is 50%.</w:t>
      </w:r>
    </w:p>
    <w:p w:rsidR="002B39D2" w:rsidRPr="002B39D2" w:rsidRDefault="002B39D2" w:rsidP="002B39D2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2B39D2">
        <w:rPr>
          <w:color w:val="0042C7" w:themeColor="accent3" w:themeTint="BF"/>
          <w:sz w:val="20"/>
          <w:szCs w:val="20"/>
        </w:rPr>
        <w:t>Cannot invest in unsecured broker deal commercial paper</w:t>
      </w:r>
    </w:p>
    <w:p w:rsidR="002B39D2" w:rsidRPr="002B39D2" w:rsidRDefault="002B39D2" w:rsidP="002B39D2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2B39D2">
        <w:rPr>
          <w:color w:val="0042C7" w:themeColor="accent3" w:themeTint="BF"/>
          <w:sz w:val="20"/>
          <w:szCs w:val="20"/>
        </w:rPr>
        <w:lastRenderedPageBreak/>
        <w:t>Maturities-No maturity limit on government and OECE securities, maximum final maturity for a security no more than one year at time of purchase</w:t>
      </w:r>
    </w:p>
    <w:p w:rsidR="002B39D2" w:rsidRPr="002B39D2" w:rsidRDefault="002B39D2" w:rsidP="002B39D2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2B39D2">
        <w:rPr>
          <w:color w:val="0042C7" w:themeColor="accent3" w:themeTint="BF"/>
          <w:sz w:val="20"/>
          <w:szCs w:val="20"/>
        </w:rPr>
        <w:t>Cannot invest in securities issued by companies engaged in the manufacture of tobacco products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0D675F" w:rsidRPr="00B45E92" w:rsidRDefault="000D675F" w:rsidP="002B39D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 there some dissatisfaction with Bank of Oklahoma?</w:t>
      </w:r>
      <w:r w:rsidR="002B39D2">
        <w:rPr>
          <w:sz w:val="20"/>
          <w:szCs w:val="20"/>
        </w:rPr>
        <w:t xml:space="preserve"> </w:t>
      </w:r>
      <w:r w:rsidR="002B39D2" w:rsidRPr="002B39D2">
        <w:rPr>
          <w:color w:val="0042C7" w:themeColor="accent3" w:themeTint="BF"/>
          <w:sz w:val="20"/>
          <w:szCs w:val="20"/>
        </w:rPr>
        <w:t>No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B45E92" w:rsidRPr="00B45E92" w:rsidRDefault="00B45E92" w:rsidP="00B45E9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>Who is being used today for 3rd party FX?</w:t>
      </w:r>
      <w:r>
        <w:rPr>
          <w:sz w:val="20"/>
          <w:szCs w:val="20"/>
        </w:rPr>
        <w:t xml:space="preserve">  </w:t>
      </w:r>
      <w:r w:rsidRPr="00B45E92">
        <w:rPr>
          <w:color w:val="0042C7" w:themeColor="text2" w:themeTint="BF"/>
          <w:sz w:val="20"/>
          <w:szCs w:val="20"/>
        </w:rPr>
        <w:t>Each manager is calculating the FX on their trades except for restricted markets.  Bank of New York Mellon calculates the FX for restricted markets.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 xml:space="preserve">Please provide cash collateral guidelines and acceptable types of non-cash collateral and </w:t>
      </w:r>
      <w:proofErr w:type="gramStart"/>
      <w:r w:rsidRPr="005742AC">
        <w:rPr>
          <w:sz w:val="20"/>
          <w:szCs w:val="20"/>
        </w:rPr>
        <w:t>an excel</w:t>
      </w:r>
      <w:proofErr w:type="gramEnd"/>
      <w:r w:rsidRPr="005742AC">
        <w:rPr>
          <w:sz w:val="20"/>
          <w:szCs w:val="20"/>
        </w:rPr>
        <w:t xml:space="preserve"> based asset list including security identifiers, security description, shares/par value, currency, and market value for securities lending.</w:t>
      </w:r>
      <w:r>
        <w:rPr>
          <w:sz w:val="20"/>
          <w:szCs w:val="20"/>
        </w:rPr>
        <w:t xml:space="preserve">  </w:t>
      </w:r>
      <w:r>
        <w:rPr>
          <w:color w:val="0042C7" w:themeColor="text2" w:themeTint="BF"/>
          <w:sz w:val="20"/>
          <w:szCs w:val="20"/>
        </w:rPr>
        <w:t>See word document</w:t>
      </w:r>
      <w:r w:rsidR="00EA6BB3">
        <w:rPr>
          <w:color w:val="0042C7" w:themeColor="text2" w:themeTint="BF"/>
          <w:sz w:val="20"/>
          <w:szCs w:val="20"/>
        </w:rPr>
        <w:t>s</w:t>
      </w:r>
      <w:r>
        <w:rPr>
          <w:color w:val="0042C7" w:themeColor="text2" w:themeTint="BF"/>
          <w:sz w:val="20"/>
          <w:szCs w:val="20"/>
        </w:rPr>
        <w:t xml:space="preserve"> posted on website</w:t>
      </w:r>
      <w:r w:rsidR="00EA6BB3">
        <w:rPr>
          <w:color w:val="0042C7" w:themeColor="text2" w:themeTint="BF"/>
          <w:sz w:val="20"/>
          <w:szCs w:val="20"/>
        </w:rPr>
        <w:t xml:space="preserve"> (</w:t>
      </w:r>
      <w:r>
        <w:rPr>
          <w:color w:val="0042C7" w:themeColor="text2" w:themeTint="BF"/>
          <w:sz w:val="20"/>
          <w:szCs w:val="20"/>
        </w:rPr>
        <w:t>titled</w:t>
      </w:r>
      <w:r w:rsidR="00EA6BB3">
        <w:rPr>
          <w:color w:val="0042C7" w:themeColor="text2" w:themeTint="BF"/>
          <w:sz w:val="20"/>
          <w:szCs w:val="20"/>
        </w:rPr>
        <w:t xml:space="preserve"> “TERM Guidelines” and “Non ERISA Collateral Schedule”)</w:t>
      </w:r>
      <w:r>
        <w:rPr>
          <w:color w:val="0042C7" w:themeColor="text2" w:themeTint="BF"/>
          <w:sz w:val="20"/>
          <w:szCs w:val="20"/>
        </w:rPr>
        <w:t xml:space="preserve"> and excel spreadsheet </w:t>
      </w:r>
      <w:r w:rsidR="00EA6BB3">
        <w:rPr>
          <w:color w:val="0042C7" w:themeColor="text2" w:themeTint="BF"/>
          <w:sz w:val="20"/>
          <w:szCs w:val="20"/>
        </w:rPr>
        <w:t>(</w:t>
      </w:r>
      <w:r>
        <w:rPr>
          <w:color w:val="0042C7" w:themeColor="text2" w:themeTint="BF"/>
          <w:sz w:val="20"/>
          <w:szCs w:val="20"/>
        </w:rPr>
        <w:t xml:space="preserve">titled </w:t>
      </w:r>
      <w:r w:rsidR="00EA6BB3">
        <w:rPr>
          <w:color w:val="0042C7" w:themeColor="text2" w:themeTint="BF"/>
          <w:sz w:val="20"/>
          <w:szCs w:val="20"/>
        </w:rPr>
        <w:t>“Lendable Holdings”)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 xml:space="preserve">What is the current accounting deadline?  On what business day is </w:t>
      </w:r>
      <w:r w:rsidR="00CD6693">
        <w:rPr>
          <w:sz w:val="20"/>
          <w:szCs w:val="20"/>
        </w:rPr>
        <w:t>the</w:t>
      </w:r>
      <w:r w:rsidRPr="005742AC">
        <w:rPr>
          <w:sz w:val="20"/>
          <w:szCs w:val="20"/>
        </w:rPr>
        <w:t xml:space="preserve"> audited accounting package received by the client? </w:t>
      </w:r>
      <w:r w:rsidR="00CD6693">
        <w:rPr>
          <w:sz w:val="20"/>
          <w:szCs w:val="20"/>
        </w:rPr>
        <w:t xml:space="preserve"> </w:t>
      </w:r>
      <w:r w:rsidRPr="00EA6BB3">
        <w:rPr>
          <w:color w:val="0042C7" w:themeColor="text2" w:themeTint="BF"/>
          <w:sz w:val="20"/>
          <w:szCs w:val="20"/>
        </w:rPr>
        <w:t xml:space="preserve">Monthly statements </w:t>
      </w:r>
      <w:r w:rsidR="00CD6693">
        <w:rPr>
          <w:color w:val="0042C7" w:themeColor="text2" w:themeTint="BF"/>
          <w:sz w:val="20"/>
          <w:szCs w:val="20"/>
        </w:rPr>
        <w:t>are</w:t>
      </w:r>
      <w:r w:rsidRPr="00EA6BB3">
        <w:rPr>
          <w:color w:val="0042C7" w:themeColor="text2" w:themeTint="BF"/>
          <w:sz w:val="20"/>
          <w:szCs w:val="20"/>
        </w:rPr>
        <w:t xml:space="preserve"> available online on the 10th business day.  This is contingent upon timely trade notifications of derivative trades.</w:t>
      </w:r>
    </w:p>
    <w:p w:rsidR="00EA6BB3" w:rsidRDefault="00EA6BB3" w:rsidP="00EA6BB3">
      <w:pPr>
        <w:pStyle w:val="ListParagraph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BB3">
        <w:rPr>
          <w:sz w:val="20"/>
          <w:szCs w:val="20"/>
        </w:rPr>
        <w:t xml:space="preserve">Do the 24,164 equity/fixed income transactions represent just buy/sell trading activity? </w:t>
      </w:r>
      <w:r w:rsidRPr="00EA6BB3">
        <w:rPr>
          <w:color w:val="0042C7" w:themeColor="text2" w:themeTint="BF"/>
          <w:sz w:val="20"/>
          <w:szCs w:val="20"/>
        </w:rPr>
        <w:t>This is an estimated average of all transactions</w:t>
      </w:r>
      <w:r w:rsidR="00CD6693">
        <w:rPr>
          <w:color w:val="0042C7" w:themeColor="text2" w:themeTint="BF"/>
          <w:sz w:val="20"/>
          <w:szCs w:val="20"/>
        </w:rPr>
        <w:t>.</w:t>
      </w:r>
    </w:p>
    <w:p w:rsidR="00B45E92" w:rsidRPr="005742AC" w:rsidRDefault="00B45E92" w:rsidP="00B45E92">
      <w:pPr>
        <w:pStyle w:val="ListParagraph"/>
        <w:ind w:left="1515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>What are the five largest global countries on a percentage basis?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proofErr w:type="spellStart"/>
      <w:r w:rsidRPr="00EA6BB3">
        <w:rPr>
          <w:color w:val="0042C7" w:themeColor="accent3" w:themeTint="BF"/>
          <w:sz w:val="20"/>
          <w:szCs w:val="20"/>
        </w:rPr>
        <w:t>Euroclear</w:t>
      </w:r>
      <w:proofErr w:type="spellEnd"/>
      <w:r w:rsidRPr="00EA6BB3">
        <w:rPr>
          <w:color w:val="0042C7" w:themeColor="accent3" w:themeTint="BF"/>
          <w:sz w:val="20"/>
          <w:szCs w:val="20"/>
        </w:rPr>
        <w:t xml:space="preserve"> – 36%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Japan – 11%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Great Britain – 10%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Germany – 9%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China – 6%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Canada – 3%</w:t>
      </w:r>
    </w:p>
    <w:p w:rsidR="00B45E92" w:rsidRPr="005742AC" w:rsidRDefault="00B45E92" w:rsidP="00B45E92">
      <w:pPr>
        <w:pStyle w:val="ListParagraph"/>
        <w:ind w:left="1515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 xml:space="preserve">What type of cash instrument is currently being used by the client? </w:t>
      </w:r>
      <w:r w:rsidRPr="00EA6BB3">
        <w:rPr>
          <w:color w:val="0042C7" w:themeColor="text2" w:themeTint="BF"/>
          <w:sz w:val="20"/>
          <w:szCs w:val="20"/>
        </w:rPr>
        <w:t>Invesco Government &amp; Agency-Resource class</w:t>
      </w:r>
    </w:p>
    <w:p w:rsidR="00B45E92" w:rsidRPr="005742AC" w:rsidRDefault="00B45E92" w:rsidP="00B45E92">
      <w:pPr>
        <w:pStyle w:val="ListParagraph"/>
        <w:ind w:left="1440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 xml:space="preserve">How many of the line items are commingled and how many are mutual funds? 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There are</w:t>
      </w:r>
      <w:bookmarkStart w:id="0" w:name="_GoBack"/>
      <w:bookmarkEnd w:id="0"/>
      <w:r w:rsidRPr="00EA6BB3">
        <w:rPr>
          <w:color w:val="0042C7" w:themeColor="accent3" w:themeTint="BF"/>
          <w:sz w:val="20"/>
          <w:szCs w:val="20"/>
        </w:rPr>
        <w:t xml:space="preserve"> no commingled funds in the relationship</w:t>
      </w:r>
    </w:p>
    <w:p w:rsidR="00B45E92" w:rsidRPr="00EA6BB3" w:rsidRDefault="00B45E92" w:rsidP="00EA6BB3">
      <w:pPr>
        <w:pStyle w:val="ListParagraph"/>
        <w:numPr>
          <w:ilvl w:val="0"/>
          <w:numId w:val="2"/>
        </w:numPr>
        <w:rPr>
          <w:color w:val="0042C7" w:themeColor="accent3" w:themeTint="BF"/>
          <w:sz w:val="20"/>
          <w:szCs w:val="20"/>
        </w:rPr>
      </w:pPr>
      <w:r w:rsidRPr="00EA6BB3">
        <w:rPr>
          <w:color w:val="0042C7" w:themeColor="accent3" w:themeTint="BF"/>
          <w:sz w:val="20"/>
          <w:szCs w:val="20"/>
        </w:rPr>
        <w:t>There are two mutual funds in the relationship</w:t>
      </w:r>
    </w:p>
    <w:p w:rsidR="00B45E92" w:rsidRPr="005742AC" w:rsidRDefault="00B45E92" w:rsidP="00B45E92">
      <w:pPr>
        <w:pStyle w:val="ListParagraph"/>
        <w:ind w:left="1440"/>
        <w:rPr>
          <w:sz w:val="20"/>
          <w:szCs w:val="20"/>
        </w:rPr>
      </w:pPr>
    </w:p>
    <w:p w:rsidR="00B45E92" w:rsidRPr="00EA6BB3" w:rsidRDefault="00B45E92" w:rsidP="00EA6B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2AC">
        <w:rPr>
          <w:sz w:val="20"/>
          <w:szCs w:val="20"/>
        </w:rPr>
        <w:t xml:space="preserve">Can the mutual funds be held as omnibus? </w:t>
      </w:r>
      <w:r w:rsidRPr="00EA6BB3">
        <w:rPr>
          <w:color w:val="0042C7" w:themeColor="text2" w:themeTint="BF"/>
          <w:sz w:val="20"/>
          <w:szCs w:val="20"/>
        </w:rPr>
        <w:t>Yes</w:t>
      </w:r>
    </w:p>
    <w:p w:rsidR="00B45E92" w:rsidRPr="005742AC" w:rsidRDefault="00B45E92" w:rsidP="00B45E92">
      <w:pPr>
        <w:pStyle w:val="ListParagraph"/>
        <w:ind w:left="1440"/>
        <w:rPr>
          <w:sz w:val="20"/>
          <w:szCs w:val="20"/>
        </w:rPr>
      </w:pPr>
    </w:p>
    <w:p w:rsidR="002270F3" w:rsidRPr="00DD6A87" w:rsidRDefault="00B45E92" w:rsidP="002270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D6A87">
        <w:rPr>
          <w:sz w:val="20"/>
          <w:szCs w:val="20"/>
        </w:rPr>
        <w:t>Are the 100 wires incoming or outgoing?</w:t>
      </w:r>
      <w:r w:rsidR="00EA6BB3" w:rsidRPr="00DD6A87">
        <w:rPr>
          <w:sz w:val="20"/>
          <w:szCs w:val="20"/>
        </w:rPr>
        <w:t xml:space="preserve"> </w:t>
      </w:r>
      <w:r w:rsidRPr="00DD6A87">
        <w:rPr>
          <w:color w:val="0042C7" w:themeColor="text2" w:themeTint="BF"/>
          <w:sz w:val="20"/>
          <w:szCs w:val="20"/>
        </w:rPr>
        <w:t>Both</w:t>
      </w:r>
    </w:p>
    <w:sectPr w:rsidR="002270F3" w:rsidRPr="00DD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81"/>
    <w:multiLevelType w:val="hybridMultilevel"/>
    <w:tmpl w:val="69EC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1849"/>
    <w:multiLevelType w:val="hybridMultilevel"/>
    <w:tmpl w:val="C5B2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261"/>
    <w:multiLevelType w:val="hybridMultilevel"/>
    <w:tmpl w:val="46CED884"/>
    <w:lvl w:ilvl="0" w:tplc="DFE028D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247BD"/>
    <w:multiLevelType w:val="hybridMultilevel"/>
    <w:tmpl w:val="BE5C52E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71E34AF"/>
    <w:multiLevelType w:val="hybridMultilevel"/>
    <w:tmpl w:val="756AC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8439A2"/>
    <w:multiLevelType w:val="hybridMultilevel"/>
    <w:tmpl w:val="E496F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40"/>
    <w:rsid w:val="000D675F"/>
    <w:rsid w:val="002270F3"/>
    <w:rsid w:val="002B39D2"/>
    <w:rsid w:val="002F5882"/>
    <w:rsid w:val="003322EC"/>
    <w:rsid w:val="003638A6"/>
    <w:rsid w:val="00393A42"/>
    <w:rsid w:val="00426636"/>
    <w:rsid w:val="005343A4"/>
    <w:rsid w:val="00587401"/>
    <w:rsid w:val="007D3F40"/>
    <w:rsid w:val="008E76D6"/>
    <w:rsid w:val="00B05F1C"/>
    <w:rsid w:val="00B45E92"/>
    <w:rsid w:val="00C947C7"/>
    <w:rsid w:val="00CD6693"/>
    <w:rsid w:val="00D16A4A"/>
    <w:rsid w:val="00DD6A87"/>
    <w:rsid w:val="00E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NEPC_Theme">
  <a:themeElements>
    <a:clrScheme name="NEPC 2015 Colors">
      <a:dk1>
        <a:srgbClr val="4D4E54"/>
      </a:dk1>
      <a:lt1>
        <a:srgbClr val="FFFFFF"/>
      </a:lt1>
      <a:dk2>
        <a:srgbClr val="002060"/>
      </a:dk2>
      <a:lt2>
        <a:srgbClr val="EEECE1"/>
      </a:lt2>
      <a:accent1>
        <a:srgbClr val="A0AC1B"/>
      </a:accent1>
      <a:accent2>
        <a:srgbClr val="D0D68F"/>
      </a:accent2>
      <a:accent3>
        <a:srgbClr val="002060"/>
      </a:accent3>
      <a:accent4>
        <a:srgbClr val="A0BDC0"/>
      </a:accent4>
      <a:accent5>
        <a:srgbClr val="993300"/>
      </a:accent5>
      <a:accent6>
        <a:srgbClr val="CC9900"/>
      </a:accent6>
      <a:hlink>
        <a:srgbClr val="A0AC1B"/>
      </a:hlink>
      <a:folHlink>
        <a:srgbClr val="A0AC1B"/>
      </a:folHlink>
    </a:clrScheme>
    <a:fontScheme name="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NEPC, LLC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Stracke, Don C.</dc:creator>
  <cp:lastModifiedBy>McMurray, Stephanie</cp:lastModifiedBy>
  <cp:revision>10</cp:revision>
  <dcterms:created xsi:type="dcterms:W3CDTF">2017-04-25T21:55:00Z</dcterms:created>
  <dcterms:modified xsi:type="dcterms:W3CDTF">2017-04-25T22:09:00Z</dcterms:modified>
</cp:coreProperties>
</file>