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00262" w14:textId="77777777" w:rsidR="006537AF" w:rsidRPr="00742CE5" w:rsidRDefault="006537AF" w:rsidP="007F04B2">
      <w:pPr>
        <w:tabs>
          <w:tab w:val="left" w:pos="288"/>
          <w:tab w:val="left" w:pos="540"/>
          <w:tab w:val="left" w:pos="1080"/>
          <w:tab w:val="left" w:pos="1620"/>
          <w:tab w:val="left" w:pos="2160"/>
          <w:tab w:val="left" w:pos="2700"/>
          <w:tab w:val="left" w:pos="3240"/>
          <w:tab w:val="left" w:pos="3780"/>
          <w:tab w:val="left" w:pos="4320"/>
          <w:tab w:val="left" w:pos="8190"/>
        </w:tabs>
        <w:jc w:val="center"/>
        <w:outlineLvl w:val="0"/>
        <w:rPr>
          <w:b/>
          <w:spacing w:val="-2"/>
          <w:szCs w:val="24"/>
          <w:u w:val="single"/>
        </w:rPr>
      </w:pPr>
      <w:bookmarkStart w:id="0" w:name="_GoBack"/>
      <w:bookmarkEnd w:id="0"/>
      <w:r w:rsidRPr="00742CE5">
        <w:rPr>
          <w:b/>
          <w:spacing w:val="-2"/>
          <w:szCs w:val="24"/>
          <w:u w:val="single"/>
        </w:rPr>
        <w:t>SECURITIES LENDING CASH COLLATERAL INVESTMENT GUIDELINES</w:t>
      </w:r>
    </w:p>
    <w:p w14:paraId="10200263" w14:textId="77777777" w:rsidR="006537AF" w:rsidRPr="00742CE5" w:rsidRDefault="006537AF" w:rsidP="007F04B2">
      <w:pPr>
        <w:tabs>
          <w:tab w:val="left" w:pos="288"/>
          <w:tab w:val="left" w:pos="540"/>
          <w:tab w:val="left" w:pos="1080"/>
          <w:tab w:val="left" w:pos="1620"/>
          <w:tab w:val="left" w:pos="2160"/>
          <w:tab w:val="left" w:pos="2700"/>
          <w:tab w:val="left" w:pos="3240"/>
          <w:tab w:val="left" w:pos="3780"/>
          <w:tab w:val="left" w:pos="4320"/>
          <w:tab w:val="left" w:pos="8190"/>
        </w:tabs>
        <w:jc w:val="center"/>
        <w:outlineLvl w:val="0"/>
        <w:rPr>
          <w:b/>
          <w:spacing w:val="-2"/>
          <w:szCs w:val="24"/>
          <w:u w:val="single"/>
        </w:rPr>
      </w:pPr>
    </w:p>
    <w:p w14:paraId="10200264" w14:textId="77777777" w:rsidR="006537AF" w:rsidRPr="00742CE5" w:rsidRDefault="006537AF" w:rsidP="007F04B2">
      <w:pPr>
        <w:tabs>
          <w:tab w:val="left" w:pos="288"/>
          <w:tab w:val="left" w:pos="5184"/>
        </w:tabs>
        <w:jc w:val="center"/>
        <w:rPr>
          <w:b/>
          <w:spacing w:val="-2"/>
          <w:szCs w:val="24"/>
        </w:rPr>
      </w:pPr>
    </w:p>
    <w:p w14:paraId="10200265" w14:textId="77777777" w:rsidR="006537AF" w:rsidRPr="00742CE5" w:rsidRDefault="006537AF" w:rsidP="00FF558F">
      <w:pPr>
        <w:tabs>
          <w:tab w:val="center" w:pos="4680"/>
        </w:tabs>
        <w:suppressAutoHyphens/>
        <w:jc w:val="both"/>
        <w:rPr>
          <w:szCs w:val="24"/>
        </w:rPr>
      </w:pPr>
      <w:r w:rsidRPr="00742CE5">
        <w:rPr>
          <w:spacing w:val="-3"/>
          <w:szCs w:val="24"/>
        </w:rPr>
        <w:t>In accordance with the Agreement</w:t>
      </w:r>
      <w:r>
        <w:rPr>
          <w:spacing w:val="-3"/>
          <w:szCs w:val="24"/>
        </w:rPr>
        <w:t xml:space="preserve"> between the Lender and Bank</w:t>
      </w:r>
      <w:r w:rsidRPr="00742CE5">
        <w:rPr>
          <w:spacing w:val="-3"/>
          <w:szCs w:val="24"/>
        </w:rPr>
        <w:t xml:space="preserve">, Cash Collateral received by the </w:t>
      </w:r>
      <w:r>
        <w:rPr>
          <w:spacing w:val="-3"/>
          <w:szCs w:val="24"/>
        </w:rPr>
        <w:t>Bank</w:t>
      </w:r>
      <w:r w:rsidRPr="00742CE5">
        <w:rPr>
          <w:spacing w:val="-3"/>
          <w:szCs w:val="24"/>
        </w:rPr>
        <w:t xml:space="preserve"> on behalf of the </w:t>
      </w:r>
      <w:r>
        <w:rPr>
          <w:spacing w:val="-3"/>
          <w:szCs w:val="24"/>
        </w:rPr>
        <w:t xml:space="preserve">Lender </w:t>
      </w:r>
      <w:r w:rsidRPr="00742CE5">
        <w:rPr>
          <w:spacing w:val="-3"/>
          <w:szCs w:val="24"/>
        </w:rPr>
        <w:t xml:space="preserve">shall be held and maintained in a separately managed Cash Collateral </w:t>
      </w:r>
      <w:r>
        <w:rPr>
          <w:spacing w:val="-3"/>
          <w:szCs w:val="24"/>
        </w:rPr>
        <w:t>A</w:t>
      </w:r>
      <w:r w:rsidRPr="00742CE5">
        <w:rPr>
          <w:spacing w:val="-3"/>
          <w:szCs w:val="24"/>
        </w:rPr>
        <w:t xml:space="preserve">ccount established and maintained by the </w:t>
      </w:r>
      <w:r>
        <w:rPr>
          <w:spacing w:val="-3"/>
          <w:szCs w:val="24"/>
        </w:rPr>
        <w:t>Bank</w:t>
      </w:r>
      <w:r w:rsidRPr="00742CE5">
        <w:rPr>
          <w:spacing w:val="-3"/>
          <w:szCs w:val="24"/>
        </w:rPr>
        <w:t xml:space="preserve"> for the </w:t>
      </w:r>
      <w:r>
        <w:rPr>
          <w:spacing w:val="-3"/>
          <w:szCs w:val="24"/>
        </w:rPr>
        <w:t>Lender</w:t>
      </w:r>
      <w:r w:rsidRPr="00742CE5">
        <w:rPr>
          <w:spacing w:val="-3"/>
          <w:szCs w:val="24"/>
        </w:rPr>
        <w:t xml:space="preserve"> (the “Cash Collateral Account”)</w:t>
      </w:r>
      <w:r>
        <w:rPr>
          <w:spacing w:val="-3"/>
          <w:szCs w:val="24"/>
        </w:rPr>
        <w:t>,</w:t>
      </w:r>
      <w:r w:rsidRPr="00742CE5">
        <w:rPr>
          <w:spacing w:val="-3"/>
          <w:szCs w:val="24"/>
        </w:rPr>
        <w:t xml:space="preserve"> the assets of which shall be invested and reinvested in </w:t>
      </w:r>
      <w:r>
        <w:rPr>
          <w:spacing w:val="-3"/>
          <w:szCs w:val="24"/>
        </w:rPr>
        <w:t xml:space="preserve">one or more of </w:t>
      </w:r>
      <w:r w:rsidRPr="00742CE5">
        <w:rPr>
          <w:spacing w:val="-3"/>
          <w:szCs w:val="24"/>
        </w:rPr>
        <w:t xml:space="preserve">the </w:t>
      </w:r>
      <w:r>
        <w:rPr>
          <w:spacing w:val="-3"/>
          <w:szCs w:val="24"/>
        </w:rPr>
        <w:t>Approved Investments below.</w:t>
      </w:r>
      <w:r w:rsidRPr="00742CE5">
        <w:rPr>
          <w:szCs w:val="24"/>
        </w:rPr>
        <w:t xml:space="preserve"> </w:t>
      </w:r>
    </w:p>
    <w:p w14:paraId="10200266" w14:textId="77777777" w:rsidR="006537AF" w:rsidRDefault="006537AF" w:rsidP="00FF558F">
      <w:pPr>
        <w:tabs>
          <w:tab w:val="center" w:pos="4680"/>
        </w:tabs>
        <w:suppressAutoHyphens/>
        <w:jc w:val="both"/>
        <w:rPr>
          <w:szCs w:val="24"/>
        </w:rPr>
      </w:pPr>
    </w:p>
    <w:p w14:paraId="10200267" w14:textId="77777777" w:rsidR="006537AF" w:rsidRPr="00253987" w:rsidRDefault="006537AF" w:rsidP="00FF558F">
      <w:pPr>
        <w:pStyle w:val="ListNumber"/>
        <w:tabs>
          <w:tab w:val="clear" w:pos="720"/>
        </w:tabs>
        <w:spacing w:after="0"/>
        <w:ind w:left="0" w:firstLine="0"/>
        <w:jc w:val="both"/>
        <w:rPr>
          <w:szCs w:val="24"/>
        </w:rPr>
      </w:pPr>
      <w:r w:rsidRPr="00253987">
        <w:rPr>
          <w:spacing w:val="-3"/>
          <w:szCs w:val="24"/>
        </w:rPr>
        <w:t>While the Cash Collateral Account will be operated on a cost bas</w:t>
      </w:r>
      <w:r>
        <w:rPr>
          <w:spacing w:val="-3"/>
          <w:szCs w:val="24"/>
        </w:rPr>
        <w:t xml:space="preserve">is, there is no guarantee that </w:t>
      </w:r>
      <w:r w:rsidRPr="00253987">
        <w:rPr>
          <w:spacing w:val="-3"/>
          <w:szCs w:val="24"/>
        </w:rPr>
        <w:t xml:space="preserve">there will not be differences from time to time between the cost and the underlying fair market value of the assets held in the Cash Collateral Account.  </w:t>
      </w:r>
      <w:r w:rsidRPr="00253987">
        <w:t xml:space="preserve">The </w:t>
      </w:r>
      <w:r>
        <w:t xml:space="preserve">cost or </w:t>
      </w:r>
      <w:r w:rsidRPr="00253987">
        <w:t xml:space="preserve">book value of the investment assets held in the Cash Collateral Account and their fair market value may differ from time to time.  </w:t>
      </w:r>
      <w:r>
        <w:t>This difference may result in a loss, which is the responsibility of the Lender.</w:t>
      </w:r>
    </w:p>
    <w:p w14:paraId="10200268" w14:textId="77777777" w:rsidR="006537AF" w:rsidRPr="00742CE5" w:rsidRDefault="006537AF" w:rsidP="00FF558F">
      <w:pPr>
        <w:tabs>
          <w:tab w:val="center" w:pos="4680"/>
        </w:tabs>
        <w:suppressAutoHyphens/>
        <w:jc w:val="both"/>
        <w:rPr>
          <w:szCs w:val="24"/>
        </w:rPr>
      </w:pPr>
    </w:p>
    <w:p w14:paraId="10200269" w14:textId="77777777" w:rsidR="006537AF" w:rsidRDefault="006537AF" w:rsidP="00FF558F">
      <w:pPr>
        <w:jc w:val="both"/>
        <w:rPr>
          <w:szCs w:val="24"/>
        </w:rPr>
      </w:pPr>
      <w:r w:rsidRPr="005E3CDC">
        <w:rPr>
          <w:szCs w:val="24"/>
        </w:rPr>
        <w:t>All Approved Investment</w:t>
      </w:r>
      <w:r>
        <w:rPr>
          <w:szCs w:val="24"/>
        </w:rPr>
        <w:t>,</w:t>
      </w:r>
      <w:r w:rsidRPr="005E3CDC">
        <w:rPr>
          <w:szCs w:val="24"/>
        </w:rPr>
        <w:t xml:space="preserve"> </w:t>
      </w:r>
      <w:r>
        <w:rPr>
          <w:szCs w:val="24"/>
        </w:rPr>
        <w:t xml:space="preserve">Credit Quality, Concentration and Liquidity guidelines </w:t>
      </w:r>
      <w:r w:rsidRPr="005E3CDC">
        <w:rPr>
          <w:szCs w:val="24"/>
        </w:rPr>
        <w:t>set forth herein shall be applicable only at time of purchase (i.e., trade date)</w:t>
      </w:r>
      <w:r>
        <w:rPr>
          <w:szCs w:val="24"/>
        </w:rPr>
        <w:t>.</w:t>
      </w:r>
    </w:p>
    <w:p w14:paraId="1020026A" w14:textId="77777777" w:rsidR="006537AF" w:rsidRDefault="006537AF" w:rsidP="00FF558F">
      <w:pPr>
        <w:jc w:val="both"/>
        <w:rPr>
          <w:szCs w:val="24"/>
        </w:rPr>
      </w:pPr>
    </w:p>
    <w:p w14:paraId="1020026B" w14:textId="77777777" w:rsidR="006537AF" w:rsidRPr="002F08DA" w:rsidRDefault="006537AF" w:rsidP="00FF558F">
      <w:pPr>
        <w:jc w:val="both"/>
        <w:rPr>
          <w:b/>
          <w:szCs w:val="24"/>
        </w:rPr>
      </w:pPr>
      <w:r>
        <w:rPr>
          <w:szCs w:val="24"/>
        </w:rPr>
        <w:t>Approved Investments may have fixed or floating interest rate provisions.  Floating rate notes will reset no less frequently than quarterly.</w:t>
      </w:r>
    </w:p>
    <w:p w14:paraId="1020026C" w14:textId="77777777" w:rsidR="006537AF" w:rsidRDefault="006537AF" w:rsidP="00FF558F">
      <w:pPr>
        <w:pStyle w:val="ListParagraph"/>
        <w:tabs>
          <w:tab w:val="left" w:pos="720"/>
          <w:tab w:val="left" w:pos="8640"/>
        </w:tabs>
        <w:autoSpaceDE w:val="0"/>
        <w:autoSpaceDN w:val="0"/>
        <w:adjustRightInd w:val="0"/>
        <w:ind w:left="0"/>
        <w:jc w:val="both"/>
        <w:rPr>
          <w:rFonts w:ascii="Times New Roman" w:hAnsi="Times New Roman"/>
          <w:szCs w:val="24"/>
        </w:rPr>
      </w:pPr>
    </w:p>
    <w:p w14:paraId="1020026D" w14:textId="77777777" w:rsidR="006537AF" w:rsidRPr="007D239D" w:rsidRDefault="006537AF" w:rsidP="00FF558F">
      <w:pPr>
        <w:pStyle w:val="ListParagraph"/>
        <w:tabs>
          <w:tab w:val="left" w:pos="720"/>
          <w:tab w:val="left" w:pos="8640"/>
        </w:tabs>
        <w:autoSpaceDE w:val="0"/>
        <w:autoSpaceDN w:val="0"/>
        <w:adjustRightInd w:val="0"/>
        <w:ind w:left="0"/>
        <w:jc w:val="both"/>
        <w:rPr>
          <w:rFonts w:ascii="Times New Roman" w:hAnsi="Times New Roman"/>
          <w:color w:val="000000"/>
          <w:szCs w:val="24"/>
        </w:rPr>
      </w:pPr>
      <w:r>
        <w:rPr>
          <w:rFonts w:ascii="Times New Roman" w:hAnsi="Times New Roman"/>
          <w:color w:val="000000"/>
          <w:szCs w:val="24"/>
        </w:rPr>
        <w:t>Bank and/or Bank Affiliates may provide services with respect to Approved Investments, and may receive compensation with respect to these services.  Lender consents to the retention by Bank and Bank Affiliates of such compensation.</w:t>
      </w:r>
    </w:p>
    <w:p w14:paraId="1020026E" w14:textId="77777777" w:rsidR="006537AF" w:rsidRPr="00742CE5" w:rsidRDefault="006537AF" w:rsidP="007F04B2">
      <w:pPr>
        <w:tabs>
          <w:tab w:val="left" w:pos="-720"/>
        </w:tabs>
        <w:suppressAutoHyphens/>
        <w:jc w:val="center"/>
        <w:rPr>
          <w:spacing w:val="-2"/>
          <w:szCs w:val="24"/>
        </w:rPr>
      </w:pPr>
    </w:p>
    <w:p w14:paraId="1020026F" w14:textId="77777777" w:rsidR="006537AF" w:rsidRPr="00742CE5" w:rsidRDefault="006537AF" w:rsidP="007F04B2">
      <w:pPr>
        <w:tabs>
          <w:tab w:val="center" w:pos="4680"/>
        </w:tabs>
        <w:suppressAutoHyphens/>
        <w:jc w:val="both"/>
        <w:rPr>
          <w:szCs w:val="24"/>
        </w:rPr>
      </w:pPr>
    </w:p>
    <w:p w14:paraId="10200270" w14:textId="77777777" w:rsidR="006537AF" w:rsidRDefault="006537AF" w:rsidP="001977D3">
      <w:pPr>
        <w:numPr>
          <w:ilvl w:val="0"/>
          <w:numId w:val="12"/>
        </w:numPr>
        <w:ind w:left="630"/>
        <w:jc w:val="both"/>
        <w:rPr>
          <w:b/>
          <w:szCs w:val="24"/>
        </w:rPr>
      </w:pPr>
      <w:r>
        <w:rPr>
          <w:b/>
          <w:szCs w:val="24"/>
        </w:rPr>
        <w:t>APPROVED</w:t>
      </w:r>
      <w:r w:rsidRPr="00253987">
        <w:rPr>
          <w:b/>
          <w:szCs w:val="24"/>
        </w:rPr>
        <w:t xml:space="preserve"> INVESTMENT</w:t>
      </w:r>
      <w:r>
        <w:rPr>
          <w:b/>
          <w:szCs w:val="24"/>
        </w:rPr>
        <w:t>S</w:t>
      </w:r>
    </w:p>
    <w:p w14:paraId="10200271" w14:textId="77777777" w:rsidR="006537AF" w:rsidRDefault="006537AF" w:rsidP="001977D3">
      <w:pPr>
        <w:ind w:left="1080"/>
        <w:jc w:val="both"/>
        <w:rPr>
          <w:b/>
          <w:szCs w:val="24"/>
        </w:rPr>
      </w:pPr>
    </w:p>
    <w:p w14:paraId="10200272" w14:textId="77777777" w:rsidR="006537AF" w:rsidRPr="00253987" w:rsidRDefault="006537AF" w:rsidP="007F04B2">
      <w:pPr>
        <w:ind w:firstLine="720"/>
        <w:jc w:val="both"/>
        <w:rPr>
          <w:szCs w:val="24"/>
        </w:rPr>
      </w:pPr>
      <w:r w:rsidRPr="00253987">
        <w:rPr>
          <w:szCs w:val="24"/>
        </w:rPr>
        <w:t>1.</w:t>
      </w:r>
      <w:r w:rsidRPr="00253987">
        <w:rPr>
          <w:szCs w:val="24"/>
        </w:rPr>
        <w:tab/>
      </w:r>
      <w:r w:rsidRPr="00253987">
        <w:rPr>
          <w:b/>
          <w:szCs w:val="24"/>
          <w:u w:val="single"/>
        </w:rPr>
        <w:t>Instruments</w:t>
      </w:r>
    </w:p>
    <w:p w14:paraId="10200273" w14:textId="77777777" w:rsidR="006537AF" w:rsidRPr="00253987" w:rsidRDefault="006537AF" w:rsidP="007F04B2">
      <w:pPr>
        <w:ind w:left="720"/>
        <w:jc w:val="both"/>
        <w:rPr>
          <w:szCs w:val="24"/>
        </w:rPr>
      </w:pPr>
    </w:p>
    <w:p w14:paraId="10200274" w14:textId="77777777" w:rsidR="006537AF" w:rsidRPr="00253987" w:rsidRDefault="006537AF" w:rsidP="007F04B2">
      <w:pPr>
        <w:pStyle w:val="ListParagraph"/>
        <w:numPr>
          <w:ilvl w:val="0"/>
          <w:numId w:val="6"/>
        </w:numPr>
        <w:tabs>
          <w:tab w:val="left" w:pos="720"/>
          <w:tab w:val="left" w:pos="8640"/>
        </w:tabs>
        <w:autoSpaceDE w:val="0"/>
        <w:autoSpaceDN w:val="0"/>
        <w:adjustRightInd w:val="0"/>
        <w:rPr>
          <w:rFonts w:ascii="Times New Roman" w:hAnsi="Times New Roman"/>
          <w:color w:val="000000"/>
          <w:szCs w:val="24"/>
        </w:rPr>
      </w:pPr>
      <w:r w:rsidRPr="00253987">
        <w:rPr>
          <w:rFonts w:ascii="Times New Roman" w:hAnsi="Times New Roman"/>
          <w:color w:val="000000"/>
          <w:szCs w:val="24"/>
        </w:rPr>
        <w:t>Obligations of the U</w:t>
      </w:r>
      <w:r>
        <w:rPr>
          <w:rFonts w:ascii="Times New Roman" w:hAnsi="Times New Roman"/>
          <w:color w:val="000000"/>
          <w:szCs w:val="24"/>
        </w:rPr>
        <w:t>.</w:t>
      </w:r>
      <w:r w:rsidRPr="00253987">
        <w:rPr>
          <w:rFonts w:ascii="Times New Roman" w:hAnsi="Times New Roman"/>
          <w:color w:val="000000"/>
          <w:szCs w:val="24"/>
        </w:rPr>
        <w:t>S</w:t>
      </w:r>
      <w:r>
        <w:rPr>
          <w:rFonts w:ascii="Times New Roman" w:hAnsi="Times New Roman"/>
          <w:color w:val="000000"/>
          <w:szCs w:val="24"/>
        </w:rPr>
        <w:t>.</w:t>
      </w:r>
      <w:r w:rsidRPr="00253987">
        <w:rPr>
          <w:rFonts w:ascii="Times New Roman" w:hAnsi="Times New Roman"/>
          <w:color w:val="000000"/>
          <w:szCs w:val="24"/>
        </w:rPr>
        <w:t xml:space="preserve"> Treasury as well as agencies and instrumentalities </w:t>
      </w:r>
      <w:r>
        <w:rPr>
          <w:rFonts w:ascii="Times New Roman" w:hAnsi="Times New Roman"/>
          <w:color w:val="000000"/>
          <w:szCs w:val="24"/>
        </w:rPr>
        <w:t xml:space="preserve">and establishments </w:t>
      </w:r>
      <w:r w:rsidRPr="00253987">
        <w:rPr>
          <w:rFonts w:ascii="Times New Roman" w:hAnsi="Times New Roman"/>
          <w:color w:val="000000"/>
          <w:szCs w:val="24"/>
        </w:rPr>
        <w:t>of the U</w:t>
      </w:r>
      <w:r>
        <w:rPr>
          <w:rFonts w:ascii="Times New Roman" w:hAnsi="Times New Roman"/>
          <w:color w:val="000000"/>
          <w:szCs w:val="24"/>
        </w:rPr>
        <w:t>.</w:t>
      </w:r>
      <w:r w:rsidRPr="00253987">
        <w:rPr>
          <w:rFonts w:ascii="Times New Roman" w:hAnsi="Times New Roman"/>
          <w:color w:val="000000"/>
          <w:szCs w:val="24"/>
        </w:rPr>
        <w:t>S</w:t>
      </w:r>
      <w:r>
        <w:rPr>
          <w:rFonts w:ascii="Times New Roman" w:hAnsi="Times New Roman"/>
          <w:color w:val="000000"/>
          <w:szCs w:val="24"/>
        </w:rPr>
        <w:t>. Government (“U.S. Government Securities”).</w:t>
      </w:r>
    </w:p>
    <w:p w14:paraId="10200275" w14:textId="77777777" w:rsidR="006537AF" w:rsidRPr="00253987" w:rsidRDefault="006537AF" w:rsidP="007F04B2">
      <w:pPr>
        <w:pStyle w:val="ListParagraph"/>
        <w:tabs>
          <w:tab w:val="left" w:pos="720"/>
          <w:tab w:val="left" w:pos="8640"/>
        </w:tabs>
        <w:autoSpaceDE w:val="0"/>
        <w:autoSpaceDN w:val="0"/>
        <w:adjustRightInd w:val="0"/>
        <w:ind w:left="1080"/>
        <w:rPr>
          <w:rFonts w:ascii="Times New Roman" w:hAnsi="Times New Roman"/>
          <w:color w:val="000000"/>
          <w:szCs w:val="24"/>
        </w:rPr>
      </w:pPr>
    </w:p>
    <w:p w14:paraId="10200276" w14:textId="77777777" w:rsidR="00BF5716" w:rsidRDefault="00BF5716" w:rsidP="00BF5716">
      <w:pPr>
        <w:pStyle w:val="ListParagraph"/>
        <w:numPr>
          <w:ilvl w:val="0"/>
          <w:numId w:val="14"/>
        </w:numPr>
        <w:autoSpaceDE w:val="0"/>
        <w:autoSpaceDN w:val="0"/>
        <w:rPr>
          <w:rFonts w:ascii="Times New Roman" w:hAnsi="Times New Roman"/>
          <w:color w:val="000000"/>
          <w:szCs w:val="24"/>
        </w:rPr>
      </w:pPr>
      <w:r>
        <w:rPr>
          <w:rFonts w:ascii="Times New Roman" w:hAnsi="Times New Roman"/>
          <w:color w:val="000000"/>
          <w:szCs w:val="24"/>
        </w:rPr>
        <w:t xml:space="preserve">Repurchase transactions (including tri-party repurchase transactions) collateralized at 102% or greater at time of purchase and marked to market on each business day.  Collateral will consist of one or more Approved Investments described herein without limitation on maturity, including equity securities, which are approved only as collateral for repurchase transactions.  Equity securities will consist of securities from major global indices. </w:t>
      </w:r>
    </w:p>
    <w:p w14:paraId="10200277" w14:textId="77777777" w:rsidR="006537AF" w:rsidRDefault="006537AF" w:rsidP="003D62D1">
      <w:pPr>
        <w:pStyle w:val="ListParagraph"/>
        <w:rPr>
          <w:rFonts w:ascii="Times New Roman" w:hAnsi="Times New Roman"/>
          <w:color w:val="000000"/>
          <w:szCs w:val="24"/>
        </w:rPr>
      </w:pPr>
    </w:p>
    <w:p w14:paraId="10200278" w14:textId="77777777" w:rsidR="006537AF" w:rsidRDefault="006537AF" w:rsidP="007F04B2">
      <w:pPr>
        <w:pStyle w:val="ListParagraph"/>
        <w:numPr>
          <w:ilvl w:val="0"/>
          <w:numId w:val="6"/>
        </w:numPr>
        <w:tabs>
          <w:tab w:val="left" w:pos="720"/>
          <w:tab w:val="left" w:pos="8640"/>
        </w:tabs>
        <w:autoSpaceDE w:val="0"/>
        <w:autoSpaceDN w:val="0"/>
        <w:adjustRightInd w:val="0"/>
        <w:rPr>
          <w:rFonts w:ascii="Times New Roman" w:hAnsi="Times New Roman"/>
          <w:color w:val="000000"/>
          <w:szCs w:val="24"/>
        </w:rPr>
      </w:pPr>
      <w:r>
        <w:rPr>
          <w:rFonts w:ascii="Times New Roman" w:hAnsi="Times New Roman"/>
          <w:color w:val="000000"/>
          <w:szCs w:val="24"/>
        </w:rPr>
        <w:t>Obligations issued by the central government of any OECD country and any of their respective agencies, instrumentalities or establishments (“OECD Obligations”).</w:t>
      </w:r>
    </w:p>
    <w:p w14:paraId="10200279" w14:textId="77777777" w:rsidR="006537AF" w:rsidRDefault="006537AF" w:rsidP="003D62D1">
      <w:pPr>
        <w:pStyle w:val="ListParagraph"/>
        <w:rPr>
          <w:rFonts w:ascii="Times New Roman" w:hAnsi="Times New Roman"/>
          <w:color w:val="000000"/>
          <w:szCs w:val="24"/>
        </w:rPr>
      </w:pPr>
    </w:p>
    <w:p w14:paraId="1020027A" w14:textId="77777777" w:rsidR="006537AF" w:rsidRDefault="006537AF" w:rsidP="007F04B2">
      <w:pPr>
        <w:pStyle w:val="ListParagraph"/>
        <w:numPr>
          <w:ilvl w:val="0"/>
          <w:numId w:val="6"/>
        </w:numPr>
        <w:tabs>
          <w:tab w:val="left" w:pos="720"/>
          <w:tab w:val="left" w:pos="8640"/>
        </w:tabs>
        <w:autoSpaceDE w:val="0"/>
        <w:autoSpaceDN w:val="0"/>
        <w:adjustRightInd w:val="0"/>
        <w:rPr>
          <w:rFonts w:ascii="Times New Roman" w:hAnsi="Times New Roman"/>
          <w:color w:val="000000"/>
          <w:szCs w:val="24"/>
        </w:rPr>
      </w:pPr>
      <w:r>
        <w:rPr>
          <w:rFonts w:ascii="Times New Roman" w:hAnsi="Times New Roman"/>
          <w:color w:val="000000"/>
          <w:szCs w:val="24"/>
        </w:rPr>
        <w:t xml:space="preserve">Obligations issued by ‘supranational organizations’, including but not limited to African Development Bank, Asian Development Bank, Council of Europe, </w:t>
      </w:r>
      <w:proofErr w:type="spellStart"/>
      <w:r>
        <w:rPr>
          <w:rFonts w:ascii="Times New Roman" w:hAnsi="Times New Roman"/>
          <w:color w:val="000000"/>
          <w:szCs w:val="24"/>
        </w:rPr>
        <w:t>Eurofima</w:t>
      </w:r>
      <w:proofErr w:type="spellEnd"/>
      <w:r>
        <w:rPr>
          <w:rFonts w:ascii="Times New Roman" w:hAnsi="Times New Roman"/>
          <w:color w:val="000000"/>
          <w:szCs w:val="24"/>
        </w:rPr>
        <w:t>, European Bank for Reconstruction and Development, European Investment Bank, Inter-American Development Bank, International Bank for Reconstruction and Development (World Bank), International Finance Corporation, and Nordic Investment Bank.</w:t>
      </w:r>
    </w:p>
    <w:p w14:paraId="1020027B" w14:textId="77777777" w:rsidR="006537AF" w:rsidRDefault="006537AF" w:rsidP="00012958">
      <w:pPr>
        <w:pStyle w:val="ListParagraph"/>
        <w:rPr>
          <w:rFonts w:ascii="Times New Roman" w:hAnsi="Times New Roman"/>
          <w:color w:val="000000"/>
          <w:szCs w:val="24"/>
        </w:rPr>
      </w:pPr>
    </w:p>
    <w:p w14:paraId="1020027C" w14:textId="77777777" w:rsidR="006537AF" w:rsidRDefault="006537AF" w:rsidP="00C71C9A">
      <w:pPr>
        <w:pStyle w:val="ListParagraph"/>
        <w:numPr>
          <w:ilvl w:val="0"/>
          <w:numId w:val="6"/>
        </w:numPr>
        <w:tabs>
          <w:tab w:val="left" w:pos="720"/>
          <w:tab w:val="left" w:pos="8640"/>
        </w:tabs>
        <w:autoSpaceDE w:val="0"/>
        <w:autoSpaceDN w:val="0"/>
        <w:adjustRightInd w:val="0"/>
        <w:rPr>
          <w:rFonts w:ascii="Times New Roman" w:hAnsi="Times New Roman"/>
          <w:color w:val="000000"/>
          <w:szCs w:val="24"/>
        </w:rPr>
      </w:pPr>
      <w:r>
        <w:rPr>
          <w:rFonts w:ascii="Times New Roman" w:hAnsi="Times New Roman"/>
          <w:color w:val="000000"/>
          <w:szCs w:val="24"/>
        </w:rPr>
        <w:t>Commercial paper, notes, bonds and other debt obligations (including funding agreements and guaranteed investment contracts), whether or not registered under the Securities Act of 1933, as amended.</w:t>
      </w:r>
    </w:p>
    <w:p w14:paraId="1020027D" w14:textId="77777777" w:rsidR="006537AF" w:rsidRDefault="006537AF" w:rsidP="00012958">
      <w:pPr>
        <w:pStyle w:val="ListParagraph"/>
        <w:rPr>
          <w:rFonts w:ascii="Times New Roman" w:hAnsi="Times New Roman"/>
          <w:color w:val="000000"/>
          <w:szCs w:val="24"/>
        </w:rPr>
      </w:pPr>
    </w:p>
    <w:p w14:paraId="1020027E" w14:textId="77777777" w:rsidR="006537AF" w:rsidRDefault="006537AF" w:rsidP="00C71C9A">
      <w:pPr>
        <w:pStyle w:val="ListParagraph"/>
        <w:numPr>
          <w:ilvl w:val="0"/>
          <w:numId w:val="6"/>
        </w:numPr>
        <w:tabs>
          <w:tab w:val="left" w:pos="720"/>
          <w:tab w:val="left" w:pos="8640"/>
        </w:tabs>
        <w:autoSpaceDE w:val="0"/>
        <w:autoSpaceDN w:val="0"/>
        <w:adjustRightInd w:val="0"/>
        <w:rPr>
          <w:rFonts w:ascii="Times New Roman" w:hAnsi="Times New Roman"/>
          <w:color w:val="000000"/>
          <w:szCs w:val="24"/>
        </w:rPr>
      </w:pPr>
      <w:r>
        <w:rPr>
          <w:rFonts w:ascii="Times New Roman" w:hAnsi="Times New Roman"/>
          <w:color w:val="000000"/>
          <w:szCs w:val="24"/>
        </w:rPr>
        <w:t>Certificates of deposit, time deposits and other bank obligations.</w:t>
      </w:r>
    </w:p>
    <w:p w14:paraId="1020027F" w14:textId="77777777" w:rsidR="006537AF" w:rsidRDefault="006537AF" w:rsidP="00012958">
      <w:pPr>
        <w:pStyle w:val="ListParagraph"/>
        <w:rPr>
          <w:rFonts w:ascii="Times New Roman" w:hAnsi="Times New Roman"/>
          <w:color w:val="000000"/>
          <w:szCs w:val="24"/>
        </w:rPr>
      </w:pPr>
    </w:p>
    <w:p w14:paraId="10200280" w14:textId="77777777" w:rsidR="006537AF" w:rsidRDefault="006537AF" w:rsidP="00C71C9A">
      <w:pPr>
        <w:pStyle w:val="ListParagraph"/>
        <w:numPr>
          <w:ilvl w:val="0"/>
          <w:numId w:val="6"/>
        </w:numPr>
        <w:tabs>
          <w:tab w:val="left" w:pos="720"/>
          <w:tab w:val="left" w:pos="8640"/>
        </w:tabs>
        <w:autoSpaceDE w:val="0"/>
        <w:autoSpaceDN w:val="0"/>
        <w:adjustRightInd w:val="0"/>
        <w:rPr>
          <w:rFonts w:ascii="Times New Roman" w:hAnsi="Times New Roman"/>
          <w:color w:val="000000"/>
          <w:szCs w:val="24"/>
        </w:rPr>
      </w:pPr>
      <w:r>
        <w:rPr>
          <w:rFonts w:ascii="Times New Roman" w:hAnsi="Times New Roman"/>
          <w:color w:val="000000"/>
          <w:szCs w:val="24"/>
        </w:rPr>
        <w:t>Asset-backed securities, including asset-backed commercial paper.</w:t>
      </w:r>
    </w:p>
    <w:p w14:paraId="10200281" w14:textId="77777777" w:rsidR="006537AF" w:rsidRDefault="006537AF" w:rsidP="00012958">
      <w:pPr>
        <w:pStyle w:val="ListParagraph"/>
        <w:rPr>
          <w:rFonts w:ascii="Times New Roman" w:hAnsi="Times New Roman"/>
          <w:color w:val="000000"/>
          <w:szCs w:val="24"/>
        </w:rPr>
      </w:pPr>
    </w:p>
    <w:p w14:paraId="10200282" w14:textId="77777777" w:rsidR="006537AF" w:rsidRDefault="006537AF" w:rsidP="00F63260">
      <w:pPr>
        <w:pStyle w:val="ListParagraph"/>
        <w:numPr>
          <w:ilvl w:val="0"/>
          <w:numId w:val="6"/>
        </w:numPr>
        <w:tabs>
          <w:tab w:val="left" w:pos="720"/>
          <w:tab w:val="left" w:pos="8640"/>
        </w:tabs>
        <w:autoSpaceDE w:val="0"/>
        <w:autoSpaceDN w:val="0"/>
        <w:adjustRightInd w:val="0"/>
        <w:jc w:val="both"/>
        <w:rPr>
          <w:rFonts w:ascii="Times New Roman" w:hAnsi="Times New Roman"/>
          <w:color w:val="000000"/>
          <w:szCs w:val="24"/>
        </w:rPr>
      </w:pPr>
      <w:r>
        <w:rPr>
          <w:rFonts w:ascii="Times New Roman" w:hAnsi="Times New Roman"/>
          <w:color w:val="000000"/>
          <w:szCs w:val="24"/>
        </w:rPr>
        <w:t>Shares of money market funds registered with the Securities and Exchange Commission under the Investment Company Act of 1940, including affiliated funds of the Bank. (These shares shall be deemed to have a final maturity of one business day for the purposes of the Maturity Guidelines in paragraph D.)</w:t>
      </w:r>
    </w:p>
    <w:p w14:paraId="10200283" w14:textId="77777777" w:rsidR="006537AF" w:rsidRDefault="006537AF" w:rsidP="00F63260">
      <w:pPr>
        <w:pStyle w:val="ListParagraph"/>
        <w:jc w:val="both"/>
        <w:rPr>
          <w:rFonts w:ascii="Times New Roman" w:hAnsi="Times New Roman"/>
          <w:color w:val="000000"/>
          <w:szCs w:val="24"/>
        </w:rPr>
      </w:pPr>
    </w:p>
    <w:p w14:paraId="10200284" w14:textId="77777777" w:rsidR="006537AF" w:rsidRDefault="006537AF" w:rsidP="00C04D88">
      <w:pPr>
        <w:pStyle w:val="ListParagraph"/>
        <w:numPr>
          <w:ilvl w:val="0"/>
          <w:numId w:val="6"/>
        </w:numPr>
        <w:tabs>
          <w:tab w:val="left" w:pos="720"/>
          <w:tab w:val="left" w:pos="8640"/>
        </w:tabs>
        <w:autoSpaceDE w:val="0"/>
        <w:autoSpaceDN w:val="0"/>
        <w:adjustRightInd w:val="0"/>
        <w:jc w:val="both"/>
        <w:rPr>
          <w:rFonts w:ascii="Times New Roman" w:hAnsi="Times New Roman"/>
          <w:color w:val="000000"/>
          <w:szCs w:val="24"/>
        </w:rPr>
      </w:pPr>
      <w:r>
        <w:rPr>
          <w:rFonts w:ascii="Times New Roman" w:hAnsi="Times New Roman"/>
          <w:color w:val="000000"/>
          <w:szCs w:val="24"/>
        </w:rPr>
        <w:t>Units of unregistered, collective investment vehicles sponsored or advised by the Bank or a Bank Affiliate. (These units shall be deemed to have a final maturity of one business day for the purposes of the Maturity Guidelines in paragraph D.)</w:t>
      </w:r>
    </w:p>
    <w:p w14:paraId="10200285" w14:textId="77777777" w:rsidR="00927F2D" w:rsidRPr="00927F2D" w:rsidRDefault="00927F2D" w:rsidP="00927F2D">
      <w:pPr>
        <w:pStyle w:val="ListParagraph"/>
        <w:rPr>
          <w:rFonts w:ascii="Times New Roman" w:hAnsi="Times New Roman"/>
          <w:color w:val="000000"/>
          <w:szCs w:val="24"/>
        </w:rPr>
      </w:pPr>
    </w:p>
    <w:p w14:paraId="10200286" w14:textId="77777777" w:rsidR="00927F2D" w:rsidRDefault="00927F2D" w:rsidP="00927F2D">
      <w:pPr>
        <w:jc w:val="both"/>
        <w:rPr>
          <w:color w:val="000000"/>
        </w:rPr>
      </w:pPr>
      <w:r w:rsidRPr="009675CB">
        <w:rPr>
          <w:color w:val="000000"/>
        </w:rPr>
        <w:t>Cash Collateral may be deposited at a central bank at the then prevailing overnight interest rate (which may be negative or zero) in the event that the [Lending Agent/Bank] is, acting in good faith and in a commercially reasonable manner, unable to invest such cash Collateral in the other Instruments listed above.</w:t>
      </w:r>
    </w:p>
    <w:p w14:paraId="10200287" w14:textId="77777777" w:rsidR="00047C95" w:rsidRDefault="00047C95" w:rsidP="00927F2D">
      <w:pPr>
        <w:jc w:val="both"/>
        <w:rPr>
          <w:color w:val="000000"/>
        </w:rPr>
      </w:pPr>
    </w:p>
    <w:p w14:paraId="10200288" w14:textId="77777777" w:rsidR="00047C95" w:rsidRDefault="00047C95" w:rsidP="00047C95">
      <w:r>
        <w:t xml:space="preserve">Repurchase transactions may be entered into with counterparties that are also Borrowers of Lender’s securities under terms that permit, among other things, the netting of the payment obligations owed to and by Lender under each of applicable Securities Borrowing Agreements and Master Repurchase Agreements. </w:t>
      </w:r>
    </w:p>
    <w:p w14:paraId="10200289" w14:textId="77777777" w:rsidR="00927F2D" w:rsidRPr="00927F2D" w:rsidRDefault="00927F2D" w:rsidP="00927F2D">
      <w:pPr>
        <w:tabs>
          <w:tab w:val="left" w:pos="720"/>
          <w:tab w:val="left" w:pos="8640"/>
        </w:tabs>
        <w:autoSpaceDE w:val="0"/>
        <w:autoSpaceDN w:val="0"/>
        <w:adjustRightInd w:val="0"/>
        <w:jc w:val="both"/>
        <w:rPr>
          <w:color w:val="000000"/>
          <w:szCs w:val="24"/>
        </w:rPr>
      </w:pPr>
    </w:p>
    <w:p w14:paraId="1020028A" w14:textId="77777777" w:rsidR="006537AF" w:rsidRDefault="006537AF" w:rsidP="00F63260">
      <w:pPr>
        <w:pStyle w:val="ListParagraph"/>
        <w:jc w:val="both"/>
        <w:rPr>
          <w:rFonts w:ascii="Times New Roman" w:hAnsi="Times New Roman"/>
          <w:color w:val="000000"/>
          <w:szCs w:val="24"/>
        </w:rPr>
      </w:pPr>
    </w:p>
    <w:p w14:paraId="1020028B" w14:textId="77777777" w:rsidR="006537AF" w:rsidRPr="00253987" w:rsidRDefault="006537AF" w:rsidP="007F04B2">
      <w:pPr>
        <w:ind w:left="720"/>
        <w:jc w:val="both"/>
        <w:rPr>
          <w:color w:val="000000"/>
          <w:szCs w:val="24"/>
          <w:u w:val="single"/>
        </w:rPr>
      </w:pPr>
      <w:r w:rsidRPr="00253987">
        <w:rPr>
          <w:color w:val="000000"/>
          <w:szCs w:val="24"/>
        </w:rPr>
        <w:t>2.</w:t>
      </w:r>
      <w:r w:rsidRPr="00253987">
        <w:rPr>
          <w:color w:val="000000"/>
          <w:szCs w:val="24"/>
        </w:rPr>
        <w:tab/>
      </w:r>
      <w:r w:rsidRPr="00253987">
        <w:rPr>
          <w:b/>
          <w:color w:val="000000"/>
          <w:szCs w:val="24"/>
          <w:u w:val="single"/>
        </w:rPr>
        <w:t>Currency</w:t>
      </w:r>
    </w:p>
    <w:p w14:paraId="1020028C" w14:textId="77777777" w:rsidR="006537AF" w:rsidRPr="00253987" w:rsidRDefault="006537AF" w:rsidP="007F04B2">
      <w:pPr>
        <w:ind w:left="720"/>
        <w:jc w:val="both"/>
        <w:rPr>
          <w:color w:val="000000"/>
          <w:szCs w:val="24"/>
        </w:rPr>
      </w:pPr>
    </w:p>
    <w:p w14:paraId="1020028D" w14:textId="77777777" w:rsidR="006537AF" w:rsidRPr="00253987" w:rsidRDefault="006537AF" w:rsidP="007F04B2">
      <w:pPr>
        <w:numPr>
          <w:ilvl w:val="0"/>
          <w:numId w:val="7"/>
        </w:numPr>
        <w:tabs>
          <w:tab w:val="clear" w:pos="1004"/>
        </w:tabs>
        <w:ind w:left="1440"/>
        <w:jc w:val="both"/>
        <w:rPr>
          <w:szCs w:val="24"/>
        </w:rPr>
      </w:pPr>
      <w:r w:rsidRPr="00253987">
        <w:rPr>
          <w:color w:val="000000"/>
          <w:szCs w:val="24"/>
        </w:rPr>
        <w:t>Shall be</w:t>
      </w:r>
      <w:r w:rsidRPr="00253987">
        <w:rPr>
          <w:szCs w:val="24"/>
        </w:rPr>
        <w:t xml:space="preserve"> limited to the same currency in which the </w:t>
      </w:r>
      <w:r>
        <w:rPr>
          <w:szCs w:val="24"/>
        </w:rPr>
        <w:t>Cash</w:t>
      </w:r>
      <w:r w:rsidRPr="00253987">
        <w:rPr>
          <w:szCs w:val="24"/>
        </w:rPr>
        <w:t xml:space="preserve"> Collateral </w:t>
      </w:r>
      <w:r>
        <w:rPr>
          <w:szCs w:val="24"/>
        </w:rPr>
        <w:t xml:space="preserve">being invested </w:t>
      </w:r>
      <w:r w:rsidRPr="00253987">
        <w:rPr>
          <w:szCs w:val="24"/>
        </w:rPr>
        <w:t>is denominated.</w:t>
      </w:r>
    </w:p>
    <w:p w14:paraId="1020028E" w14:textId="77777777" w:rsidR="006537AF" w:rsidRDefault="006537AF" w:rsidP="007F04B2">
      <w:pPr>
        <w:ind w:left="720"/>
        <w:jc w:val="both"/>
        <w:rPr>
          <w:szCs w:val="24"/>
        </w:rPr>
      </w:pPr>
    </w:p>
    <w:p w14:paraId="1020028F" w14:textId="77777777" w:rsidR="006537AF" w:rsidRPr="00253987" w:rsidRDefault="006537AF" w:rsidP="007F04B2">
      <w:pPr>
        <w:ind w:left="720"/>
        <w:jc w:val="both"/>
        <w:rPr>
          <w:szCs w:val="24"/>
        </w:rPr>
      </w:pPr>
    </w:p>
    <w:p w14:paraId="10200290" w14:textId="77777777" w:rsidR="00047C95" w:rsidRDefault="00047C95" w:rsidP="007F04B2">
      <w:pPr>
        <w:jc w:val="both"/>
        <w:rPr>
          <w:b/>
          <w:szCs w:val="24"/>
        </w:rPr>
      </w:pPr>
    </w:p>
    <w:p w14:paraId="10200291" w14:textId="77777777" w:rsidR="00047C95" w:rsidRDefault="00047C95">
      <w:pPr>
        <w:rPr>
          <w:b/>
          <w:szCs w:val="24"/>
        </w:rPr>
      </w:pPr>
      <w:r>
        <w:rPr>
          <w:b/>
          <w:szCs w:val="24"/>
        </w:rPr>
        <w:br w:type="page"/>
      </w:r>
    </w:p>
    <w:p w14:paraId="10200292" w14:textId="77777777" w:rsidR="006537AF" w:rsidRPr="00CA3A62" w:rsidRDefault="006537AF" w:rsidP="007F04B2">
      <w:pPr>
        <w:jc w:val="both"/>
        <w:rPr>
          <w:szCs w:val="24"/>
        </w:rPr>
      </w:pPr>
      <w:r>
        <w:rPr>
          <w:b/>
          <w:szCs w:val="24"/>
        </w:rPr>
        <w:lastRenderedPageBreak/>
        <w:t>B</w:t>
      </w:r>
      <w:r w:rsidRPr="00253987">
        <w:rPr>
          <w:b/>
          <w:szCs w:val="24"/>
        </w:rPr>
        <w:t>.</w:t>
      </w:r>
      <w:r w:rsidRPr="00253987">
        <w:rPr>
          <w:b/>
          <w:szCs w:val="24"/>
        </w:rPr>
        <w:tab/>
      </w:r>
      <w:r>
        <w:rPr>
          <w:b/>
          <w:szCs w:val="24"/>
        </w:rPr>
        <w:t xml:space="preserve">CREDIT QUALITY  </w:t>
      </w:r>
    </w:p>
    <w:p w14:paraId="10200293" w14:textId="77777777" w:rsidR="00744C64" w:rsidRDefault="00744C64" w:rsidP="00744C64">
      <w:pPr>
        <w:numPr>
          <w:ilvl w:val="0"/>
          <w:numId w:val="7"/>
        </w:numPr>
        <w:tabs>
          <w:tab w:val="clear" w:pos="1004"/>
        </w:tabs>
        <w:spacing w:before="240"/>
        <w:ind w:left="1440" w:hanging="450"/>
        <w:jc w:val="both"/>
        <w:rPr>
          <w:szCs w:val="24"/>
        </w:rPr>
      </w:pPr>
      <w:r>
        <w:rPr>
          <w:szCs w:val="24"/>
        </w:rPr>
        <w:t>Repurchase transaction counterparties must have executed a written repurchase agreement with BNY Mellon, and will be limited to those counterparties on the BNY Mellon approved repo counterparty list.</w:t>
      </w:r>
    </w:p>
    <w:p w14:paraId="10200294" w14:textId="77777777" w:rsidR="006537AF" w:rsidRDefault="006537AF" w:rsidP="00C40BD8">
      <w:pPr>
        <w:numPr>
          <w:ilvl w:val="0"/>
          <w:numId w:val="7"/>
        </w:numPr>
        <w:tabs>
          <w:tab w:val="clear" w:pos="1004"/>
        </w:tabs>
        <w:spacing w:before="240"/>
        <w:ind w:left="1440" w:hanging="450"/>
        <w:jc w:val="both"/>
        <w:rPr>
          <w:szCs w:val="24"/>
        </w:rPr>
      </w:pPr>
      <w:r>
        <w:rPr>
          <w:szCs w:val="24"/>
        </w:rPr>
        <w:t>Obligations issued by ‘supranational organizations’ must be rated AAA or equivalent by at least one NRSRO.</w:t>
      </w:r>
    </w:p>
    <w:p w14:paraId="10200295" w14:textId="77777777" w:rsidR="006537AF" w:rsidRDefault="006537AF" w:rsidP="00C40BD8">
      <w:pPr>
        <w:numPr>
          <w:ilvl w:val="0"/>
          <w:numId w:val="7"/>
        </w:numPr>
        <w:tabs>
          <w:tab w:val="clear" w:pos="1004"/>
        </w:tabs>
        <w:spacing w:before="240"/>
        <w:ind w:left="1440" w:hanging="450"/>
        <w:jc w:val="both"/>
        <w:rPr>
          <w:szCs w:val="24"/>
        </w:rPr>
      </w:pPr>
      <w:r>
        <w:rPr>
          <w:szCs w:val="24"/>
        </w:rPr>
        <w:t>OECD Obligations, bank obligations, commercial paper (including asset-backed commercial paper)</w:t>
      </w:r>
      <w:r w:rsidRPr="00C40BD8">
        <w:rPr>
          <w:szCs w:val="24"/>
        </w:rPr>
        <w:t xml:space="preserve">, notes, bonds and </w:t>
      </w:r>
      <w:r>
        <w:rPr>
          <w:szCs w:val="24"/>
        </w:rPr>
        <w:t xml:space="preserve">other debt </w:t>
      </w:r>
      <w:r w:rsidRPr="00C40BD8">
        <w:rPr>
          <w:szCs w:val="24"/>
        </w:rPr>
        <w:t xml:space="preserve">obligations must be </w:t>
      </w:r>
      <w:r>
        <w:rPr>
          <w:szCs w:val="24"/>
        </w:rPr>
        <w:t>rated</w:t>
      </w:r>
      <w:r w:rsidRPr="00C40BD8">
        <w:rPr>
          <w:szCs w:val="24"/>
        </w:rPr>
        <w:t xml:space="preserve"> at least A-1, P-1 or F1 </w:t>
      </w:r>
      <w:r>
        <w:rPr>
          <w:szCs w:val="24"/>
        </w:rPr>
        <w:t xml:space="preserve">or equivalent </w:t>
      </w:r>
      <w:r w:rsidRPr="00C40BD8">
        <w:rPr>
          <w:szCs w:val="24"/>
        </w:rPr>
        <w:t xml:space="preserve">by an </w:t>
      </w:r>
      <w:r w:rsidRPr="00C40BD8">
        <w:rPr>
          <w:rFonts w:ascii="CG Times" w:hAnsi="CG Times"/>
        </w:rPr>
        <w:t>NRSRO</w:t>
      </w:r>
      <w:r>
        <w:rPr>
          <w:rFonts w:ascii="CG Times" w:hAnsi="CG Times"/>
        </w:rPr>
        <w:t xml:space="preserve">. Obligations rated </w:t>
      </w:r>
      <w:r w:rsidRPr="00C40BD8">
        <w:rPr>
          <w:szCs w:val="24"/>
        </w:rPr>
        <w:t xml:space="preserve">by more than one </w:t>
      </w:r>
      <w:r w:rsidRPr="00C40BD8">
        <w:rPr>
          <w:rFonts w:ascii="CG Times" w:hAnsi="CG Times"/>
        </w:rPr>
        <w:t>NRSRO</w:t>
      </w:r>
      <w:r>
        <w:rPr>
          <w:rFonts w:ascii="CG Times" w:hAnsi="CG Times"/>
        </w:rPr>
        <w:t xml:space="preserve"> must be </w:t>
      </w:r>
      <w:r w:rsidRPr="00C40BD8">
        <w:rPr>
          <w:szCs w:val="24"/>
        </w:rPr>
        <w:t xml:space="preserve">rated A-1, P-1 or F1 </w:t>
      </w:r>
      <w:r>
        <w:rPr>
          <w:szCs w:val="24"/>
        </w:rPr>
        <w:t xml:space="preserve">or equivalent </w:t>
      </w:r>
      <w:r w:rsidRPr="00C40BD8">
        <w:rPr>
          <w:szCs w:val="24"/>
        </w:rPr>
        <w:t xml:space="preserve">by at least two </w:t>
      </w:r>
      <w:r w:rsidRPr="00C40BD8">
        <w:rPr>
          <w:rFonts w:ascii="CG Times" w:hAnsi="CG Times"/>
        </w:rPr>
        <w:t>NRSROs</w:t>
      </w:r>
      <w:r w:rsidRPr="00C40BD8">
        <w:rPr>
          <w:szCs w:val="24"/>
        </w:rPr>
        <w:t>.</w:t>
      </w:r>
      <w:r>
        <w:rPr>
          <w:szCs w:val="24"/>
        </w:rPr>
        <w:t xml:space="preserve"> Obligations without a short term rating must have a long term rating o</w:t>
      </w:r>
      <w:r w:rsidRPr="00C40BD8">
        <w:rPr>
          <w:szCs w:val="24"/>
        </w:rPr>
        <w:t xml:space="preserve">f at least A, A2 or </w:t>
      </w:r>
      <w:proofErr w:type="gramStart"/>
      <w:r w:rsidRPr="00C40BD8">
        <w:rPr>
          <w:szCs w:val="24"/>
        </w:rPr>
        <w:t xml:space="preserve">A </w:t>
      </w:r>
      <w:r>
        <w:rPr>
          <w:szCs w:val="24"/>
        </w:rPr>
        <w:t>or</w:t>
      </w:r>
      <w:proofErr w:type="gramEnd"/>
      <w:r>
        <w:rPr>
          <w:szCs w:val="24"/>
        </w:rPr>
        <w:t xml:space="preserve"> equivalent </w:t>
      </w:r>
      <w:r w:rsidRPr="00C40BD8">
        <w:rPr>
          <w:szCs w:val="24"/>
        </w:rPr>
        <w:t xml:space="preserve">by </w:t>
      </w:r>
      <w:r>
        <w:rPr>
          <w:szCs w:val="24"/>
        </w:rPr>
        <w:t>an</w:t>
      </w:r>
      <w:r w:rsidRPr="00C40BD8">
        <w:rPr>
          <w:szCs w:val="24"/>
        </w:rPr>
        <w:t xml:space="preserve"> </w:t>
      </w:r>
      <w:r w:rsidRPr="00C40BD8">
        <w:rPr>
          <w:rFonts w:ascii="CG Times" w:hAnsi="CG Times"/>
        </w:rPr>
        <w:t>NRSRO</w:t>
      </w:r>
      <w:r w:rsidRPr="00C40BD8">
        <w:rPr>
          <w:szCs w:val="24"/>
        </w:rPr>
        <w:t xml:space="preserve">.  </w:t>
      </w:r>
      <w:r>
        <w:rPr>
          <w:szCs w:val="24"/>
        </w:rPr>
        <w:t xml:space="preserve">Obligations that have a long term rating from more than one NRSRO (but no short term rating) must be rated </w:t>
      </w:r>
      <w:r w:rsidRPr="00C40BD8">
        <w:rPr>
          <w:szCs w:val="24"/>
        </w:rPr>
        <w:t xml:space="preserve">A, A2 or </w:t>
      </w:r>
      <w:proofErr w:type="gramStart"/>
      <w:r w:rsidRPr="00C40BD8">
        <w:rPr>
          <w:szCs w:val="24"/>
        </w:rPr>
        <w:t xml:space="preserve">A </w:t>
      </w:r>
      <w:r>
        <w:rPr>
          <w:szCs w:val="24"/>
        </w:rPr>
        <w:t>or</w:t>
      </w:r>
      <w:proofErr w:type="gramEnd"/>
      <w:r>
        <w:rPr>
          <w:szCs w:val="24"/>
        </w:rPr>
        <w:t xml:space="preserve"> equivalent </w:t>
      </w:r>
      <w:r w:rsidRPr="00C40BD8">
        <w:rPr>
          <w:szCs w:val="24"/>
        </w:rPr>
        <w:t xml:space="preserve">by at least two </w:t>
      </w:r>
      <w:r w:rsidRPr="00C40BD8">
        <w:rPr>
          <w:rFonts w:ascii="CG Times" w:hAnsi="CG Times"/>
        </w:rPr>
        <w:t>NRSROs</w:t>
      </w:r>
      <w:r w:rsidRPr="00C40BD8">
        <w:rPr>
          <w:szCs w:val="24"/>
        </w:rPr>
        <w:t>.</w:t>
      </w:r>
      <w:r>
        <w:rPr>
          <w:szCs w:val="24"/>
        </w:rPr>
        <w:t xml:space="preserve">  Obligations that are not rated will be Approved Investments if the issuer of the obligation meets the above rating criteria.</w:t>
      </w:r>
    </w:p>
    <w:p w14:paraId="10200296" w14:textId="77777777" w:rsidR="006537AF" w:rsidRPr="00C40BD8" w:rsidRDefault="006537AF" w:rsidP="00C40BD8">
      <w:pPr>
        <w:numPr>
          <w:ilvl w:val="0"/>
          <w:numId w:val="7"/>
        </w:numPr>
        <w:tabs>
          <w:tab w:val="clear" w:pos="1004"/>
        </w:tabs>
        <w:spacing w:before="240"/>
        <w:ind w:left="1440" w:hanging="450"/>
        <w:jc w:val="both"/>
        <w:rPr>
          <w:szCs w:val="24"/>
        </w:rPr>
      </w:pPr>
      <w:r>
        <w:rPr>
          <w:szCs w:val="24"/>
        </w:rPr>
        <w:t xml:space="preserve">Asset-backed securities (other than asset-backed commercial paper) must be rated AAA, </w:t>
      </w:r>
      <w:proofErr w:type="spellStart"/>
      <w:proofErr w:type="gramStart"/>
      <w:r>
        <w:rPr>
          <w:szCs w:val="24"/>
        </w:rPr>
        <w:t>Aaa</w:t>
      </w:r>
      <w:proofErr w:type="spellEnd"/>
      <w:proofErr w:type="gramEnd"/>
      <w:r>
        <w:rPr>
          <w:szCs w:val="24"/>
        </w:rPr>
        <w:t xml:space="preserve"> or AAA by at least one of the following NRSROs: Standard &amp; </w:t>
      </w:r>
      <w:proofErr w:type="spellStart"/>
      <w:r>
        <w:rPr>
          <w:szCs w:val="24"/>
        </w:rPr>
        <w:t>Poors</w:t>
      </w:r>
      <w:proofErr w:type="spellEnd"/>
      <w:r>
        <w:rPr>
          <w:szCs w:val="24"/>
        </w:rPr>
        <w:t xml:space="preserve">, Moody’s or Fitch.  Asset-backed securities (other than asset-backed commercial paper) rated by more than one of the foregoing NRSROs must be rated AAA, </w:t>
      </w:r>
      <w:proofErr w:type="spellStart"/>
      <w:proofErr w:type="gramStart"/>
      <w:r>
        <w:rPr>
          <w:szCs w:val="24"/>
        </w:rPr>
        <w:t>Aaa</w:t>
      </w:r>
      <w:proofErr w:type="spellEnd"/>
      <w:proofErr w:type="gramEnd"/>
      <w:r>
        <w:rPr>
          <w:szCs w:val="24"/>
        </w:rPr>
        <w:t xml:space="preserve"> or AAA by at least two of: Standard &amp; </w:t>
      </w:r>
      <w:proofErr w:type="spellStart"/>
      <w:r>
        <w:rPr>
          <w:szCs w:val="24"/>
        </w:rPr>
        <w:t>Poors</w:t>
      </w:r>
      <w:proofErr w:type="spellEnd"/>
      <w:r>
        <w:rPr>
          <w:szCs w:val="24"/>
        </w:rPr>
        <w:t>, Moody’s and Fitch.  Asset-backed securities (other than asset-backed commercial paper) that have only short term ratings must be rated A-1+, P-1 or F1+ by a NRSRO.  Asset-backed securities (other than asset-backed commercial paper) that have only a short term rating from more than one NRSRO must be rated A-1+, P-1 or F1+ by at least two NRSROs.</w:t>
      </w:r>
    </w:p>
    <w:p w14:paraId="10200297" w14:textId="77777777" w:rsidR="006537AF" w:rsidRDefault="006537AF" w:rsidP="000D2E05">
      <w:pPr>
        <w:ind w:left="990"/>
        <w:jc w:val="both"/>
        <w:rPr>
          <w:szCs w:val="24"/>
        </w:rPr>
      </w:pPr>
    </w:p>
    <w:p w14:paraId="10200298" w14:textId="77777777" w:rsidR="006537AF" w:rsidRDefault="006537AF" w:rsidP="007F04B2">
      <w:pPr>
        <w:numPr>
          <w:ilvl w:val="0"/>
          <w:numId w:val="7"/>
        </w:numPr>
        <w:tabs>
          <w:tab w:val="clear" w:pos="1004"/>
        </w:tabs>
        <w:ind w:left="1440" w:hanging="450"/>
        <w:jc w:val="both"/>
        <w:rPr>
          <w:szCs w:val="24"/>
        </w:rPr>
      </w:pPr>
      <w:r>
        <w:rPr>
          <w:szCs w:val="24"/>
        </w:rPr>
        <w:t xml:space="preserve">Registered money market funds must be rated in the highest category available to such funds by one </w:t>
      </w:r>
      <w:r>
        <w:rPr>
          <w:rFonts w:ascii="CG Times" w:hAnsi="CG Times"/>
        </w:rPr>
        <w:t>NRSRO</w:t>
      </w:r>
      <w:r>
        <w:rPr>
          <w:szCs w:val="24"/>
        </w:rPr>
        <w:t>.</w:t>
      </w:r>
    </w:p>
    <w:p w14:paraId="10200299" w14:textId="77777777" w:rsidR="006537AF" w:rsidRDefault="006537AF" w:rsidP="0073257A">
      <w:pPr>
        <w:pStyle w:val="ListParagraph"/>
        <w:rPr>
          <w:szCs w:val="24"/>
        </w:rPr>
      </w:pPr>
    </w:p>
    <w:p w14:paraId="1020029A" w14:textId="77777777" w:rsidR="006537AF" w:rsidRDefault="006537AF" w:rsidP="007F04B2">
      <w:pPr>
        <w:numPr>
          <w:ilvl w:val="0"/>
          <w:numId w:val="7"/>
        </w:numPr>
        <w:tabs>
          <w:tab w:val="clear" w:pos="1004"/>
        </w:tabs>
        <w:ind w:left="1440" w:hanging="450"/>
        <w:jc w:val="both"/>
        <w:rPr>
          <w:szCs w:val="24"/>
        </w:rPr>
      </w:pPr>
      <w:r>
        <w:rPr>
          <w:szCs w:val="24"/>
        </w:rPr>
        <w:t>Collective investment vehicles sponsored or advised by the Bank or a Bank Affiliate do not require a rating by a NRSRO.</w:t>
      </w:r>
    </w:p>
    <w:p w14:paraId="1020029B" w14:textId="77777777" w:rsidR="006537AF" w:rsidRDefault="006537AF" w:rsidP="00DB4938">
      <w:pPr>
        <w:pStyle w:val="ListParagraph"/>
        <w:rPr>
          <w:szCs w:val="24"/>
        </w:rPr>
      </w:pPr>
    </w:p>
    <w:p w14:paraId="1020029C" w14:textId="77777777" w:rsidR="006537AF" w:rsidRDefault="006537AF" w:rsidP="007F04B2">
      <w:pPr>
        <w:numPr>
          <w:ilvl w:val="0"/>
          <w:numId w:val="7"/>
        </w:numPr>
        <w:tabs>
          <w:tab w:val="clear" w:pos="1004"/>
        </w:tabs>
        <w:ind w:left="1440" w:hanging="450"/>
        <w:jc w:val="both"/>
        <w:rPr>
          <w:szCs w:val="24"/>
        </w:rPr>
      </w:pPr>
      <w:r>
        <w:rPr>
          <w:szCs w:val="24"/>
        </w:rPr>
        <w:t>U.S. Government Securities do not require a rating by a NRSRO.</w:t>
      </w:r>
    </w:p>
    <w:p w14:paraId="1020029D" w14:textId="77777777" w:rsidR="006537AF" w:rsidRPr="00F6296A" w:rsidRDefault="006537AF" w:rsidP="005B5F0A">
      <w:pPr>
        <w:ind w:left="990"/>
        <w:jc w:val="both"/>
        <w:rPr>
          <w:szCs w:val="24"/>
        </w:rPr>
      </w:pPr>
    </w:p>
    <w:p w14:paraId="1020029E" w14:textId="77777777" w:rsidR="006537AF" w:rsidRPr="00253987" w:rsidRDefault="006537AF" w:rsidP="007F04B2">
      <w:pPr>
        <w:ind w:left="1440" w:hanging="450"/>
        <w:jc w:val="both"/>
        <w:rPr>
          <w:b/>
          <w:szCs w:val="24"/>
        </w:rPr>
      </w:pPr>
    </w:p>
    <w:p w14:paraId="1020029F" w14:textId="77777777" w:rsidR="006537AF" w:rsidRDefault="006537AF" w:rsidP="007F04B2">
      <w:pPr>
        <w:jc w:val="both"/>
        <w:rPr>
          <w:szCs w:val="24"/>
        </w:rPr>
      </w:pPr>
      <w:r>
        <w:rPr>
          <w:b/>
          <w:szCs w:val="24"/>
        </w:rPr>
        <w:t>C</w:t>
      </w:r>
      <w:r w:rsidRPr="00253987">
        <w:rPr>
          <w:b/>
          <w:szCs w:val="24"/>
        </w:rPr>
        <w:t>.</w:t>
      </w:r>
      <w:r w:rsidRPr="00253987">
        <w:rPr>
          <w:b/>
          <w:szCs w:val="24"/>
        </w:rPr>
        <w:tab/>
        <w:t>CONCENTRATION GUIDELINES</w:t>
      </w:r>
      <w:r>
        <w:rPr>
          <w:szCs w:val="24"/>
        </w:rPr>
        <w:t xml:space="preserve">  </w:t>
      </w:r>
    </w:p>
    <w:p w14:paraId="102002A0" w14:textId="77777777" w:rsidR="006537AF" w:rsidRDefault="006537AF" w:rsidP="007F04B2">
      <w:pPr>
        <w:jc w:val="both"/>
        <w:rPr>
          <w:szCs w:val="24"/>
        </w:rPr>
      </w:pPr>
    </w:p>
    <w:p w14:paraId="102002A1" w14:textId="77777777" w:rsidR="006537AF" w:rsidRDefault="006537AF" w:rsidP="007F04B2">
      <w:pPr>
        <w:numPr>
          <w:ilvl w:val="0"/>
          <w:numId w:val="9"/>
        </w:numPr>
        <w:tabs>
          <w:tab w:val="clear" w:pos="720"/>
        </w:tabs>
        <w:ind w:left="1260"/>
        <w:jc w:val="both"/>
        <w:rPr>
          <w:szCs w:val="24"/>
        </w:rPr>
      </w:pPr>
      <w:r>
        <w:rPr>
          <w:szCs w:val="24"/>
        </w:rPr>
        <w:t>Excluding U.S. Government S</w:t>
      </w:r>
      <w:r w:rsidRPr="00253987">
        <w:rPr>
          <w:szCs w:val="24"/>
        </w:rPr>
        <w:t xml:space="preserve">ecurities, </w:t>
      </w:r>
      <w:r>
        <w:rPr>
          <w:szCs w:val="24"/>
        </w:rPr>
        <w:t xml:space="preserve">repurchase agreements, shares of money market funds and collective investment vehicles, concentration of any Approved Investment in </w:t>
      </w:r>
      <w:r w:rsidRPr="00253987">
        <w:rPr>
          <w:szCs w:val="24"/>
        </w:rPr>
        <w:t>the</w:t>
      </w:r>
      <w:r>
        <w:rPr>
          <w:szCs w:val="24"/>
        </w:rPr>
        <w:t xml:space="preserve"> Cash Collateral Account</w:t>
      </w:r>
      <w:r w:rsidRPr="00253987">
        <w:rPr>
          <w:szCs w:val="24"/>
        </w:rPr>
        <w:t xml:space="preserve"> will </w:t>
      </w:r>
      <w:r>
        <w:rPr>
          <w:szCs w:val="24"/>
        </w:rPr>
        <w:t xml:space="preserve">not exceed </w:t>
      </w:r>
      <w:r w:rsidRPr="00253987">
        <w:rPr>
          <w:szCs w:val="24"/>
        </w:rPr>
        <w:t>5% per issuer.</w:t>
      </w:r>
    </w:p>
    <w:p w14:paraId="102002A2" w14:textId="77777777" w:rsidR="006537AF" w:rsidRDefault="006537AF" w:rsidP="007F04B2">
      <w:pPr>
        <w:ind w:left="1260"/>
        <w:jc w:val="both"/>
        <w:rPr>
          <w:szCs w:val="24"/>
        </w:rPr>
      </w:pPr>
    </w:p>
    <w:p w14:paraId="102002A3" w14:textId="77777777" w:rsidR="006A2D9D" w:rsidRPr="00047C95" w:rsidRDefault="006537AF" w:rsidP="00047C95">
      <w:pPr>
        <w:numPr>
          <w:ilvl w:val="0"/>
          <w:numId w:val="15"/>
        </w:numPr>
        <w:ind w:left="1260"/>
        <w:jc w:val="both"/>
        <w:rPr>
          <w:b/>
          <w:szCs w:val="24"/>
        </w:rPr>
      </w:pPr>
      <w:r w:rsidRPr="00047C95">
        <w:rPr>
          <w:szCs w:val="24"/>
        </w:rPr>
        <w:t>A maximum of 25% of the Cash Collateral in the Cash Collateral Account may be invested in repurchase transact</w:t>
      </w:r>
      <w:r w:rsidR="006A2D9D" w:rsidRPr="00047C95">
        <w:rPr>
          <w:szCs w:val="24"/>
        </w:rPr>
        <w:t>ions with a single counterparty; provided that this concentration limit shall apply only if the Cash Collateral in the Cash Collateral Account exceeds USD 1,000,000.</w:t>
      </w:r>
    </w:p>
    <w:p w14:paraId="102002A4" w14:textId="77777777" w:rsidR="00047C95" w:rsidRDefault="00047C95" w:rsidP="00047C95">
      <w:pPr>
        <w:jc w:val="both"/>
        <w:rPr>
          <w:szCs w:val="24"/>
        </w:rPr>
      </w:pPr>
    </w:p>
    <w:p w14:paraId="102002A5" w14:textId="77777777" w:rsidR="00047C95" w:rsidRPr="00047C95" w:rsidRDefault="00047C95" w:rsidP="00047C95">
      <w:pPr>
        <w:jc w:val="both"/>
        <w:rPr>
          <w:b/>
          <w:szCs w:val="24"/>
        </w:rPr>
      </w:pPr>
    </w:p>
    <w:p w14:paraId="102002A6" w14:textId="77777777" w:rsidR="006537AF" w:rsidRPr="00253987" w:rsidRDefault="006537AF" w:rsidP="007F04B2">
      <w:pPr>
        <w:jc w:val="both"/>
        <w:rPr>
          <w:b/>
          <w:szCs w:val="24"/>
        </w:rPr>
      </w:pPr>
      <w:r>
        <w:rPr>
          <w:b/>
          <w:szCs w:val="24"/>
        </w:rPr>
        <w:t>D</w:t>
      </w:r>
      <w:r w:rsidRPr="00253987">
        <w:rPr>
          <w:b/>
          <w:szCs w:val="24"/>
        </w:rPr>
        <w:t>.</w:t>
      </w:r>
      <w:r w:rsidRPr="00253987">
        <w:rPr>
          <w:b/>
          <w:szCs w:val="24"/>
        </w:rPr>
        <w:tab/>
        <w:t>MATURITY GUIDELINES</w:t>
      </w:r>
    </w:p>
    <w:p w14:paraId="102002A7" w14:textId="77777777" w:rsidR="006537AF" w:rsidRPr="00253987" w:rsidRDefault="006537AF" w:rsidP="007F04B2">
      <w:pPr>
        <w:jc w:val="both"/>
        <w:rPr>
          <w:b/>
          <w:szCs w:val="24"/>
        </w:rPr>
      </w:pPr>
    </w:p>
    <w:p w14:paraId="102002A8" w14:textId="77777777" w:rsidR="006537AF" w:rsidRDefault="006537AF" w:rsidP="007F04B2">
      <w:pPr>
        <w:numPr>
          <w:ilvl w:val="0"/>
          <w:numId w:val="10"/>
        </w:numPr>
        <w:tabs>
          <w:tab w:val="left" w:pos="720"/>
          <w:tab w:val="left" w:pos="8640"/>
        </w:tabs>
        <w:autoSpaceDE w:val="0"/>
        <w:autoSpaceDN w:val="0"/>
        <w:adjustRightInd w:val="0"/>
        <w:jc w:val="both"/>
        <w:rPr>
          <w:color w:val="000000"/>
          <w:szCs w:val="24"/>
        </w:rPr>
      </w:pPr>
      <w:r>
        <w:rPr>
          <w:color w:val="000000"/>
          <w:szCs w:val="24"/>
        </w:rPr>
        <w:t>Approved Investments will have a maximum final maturity of 3 years from settlement date.  In the case of asset-backed securities, a maximum weighted average life (WAL) of 3 years from settlement date will apply.</w:t>
      </w:r>
    </w:p>
    <w:p w14:paraId="102002A9" w14:textId="77777777" w:rsidR="006537AF" w:rsidRDefault="006537AF" w:rsidP="00BE1CB0">
      <w:pPr>
        <w:tabs>
          <w:tab w:val="left" w:pos="720"/>
          <w:tab w:val="left" w:pos="8640"/>
        </w:tabs>
        <w:autoSpaceDE w:val="0"/>
        <w:autoSpaceDN w:val="0"/>
        <w:adjustRightInd w:val="0"/>
        <w:ind w:left="975"/>
        <w:jc w:val="both"/>
        <w:rPr>
          <w:color w:val="000000"/>
          <w:szCs w:val="24"/>
        </w:rPr>
      </w:pPr>
    </w:p>
    <w:p w14:paraId="102002AA" w14:textId="77777777" w:rsidR="006537AF" w:rsidRDefault="006537AF" w:rsidP="008C72B8">
      <w:pPr>
        <w:numPr>
          <w:ilvl w:val="0"/>
          <w:numId w:val="10"/>
        </w:numPr>
        <w:tabs>
          <w:tab w:val="left" w:pos="720"/>
          <w:tab w:val="left" w:pos="8640"/>
        </w:tabs>
        <w:autoSpaceDE w:val="0"/>
        <w:autoSpaceDN w:val="0"/>
        <w:adjustRightInd w:val="0"/>
        <w:jc w:val="both"/>
        <w:rPr>
          <w:color w:val="000000"/>
          <w:szCs w:val="24"/>
        </w:rPr>
      </w:pPr>
      <w:r>
        <w:rPr>
          <w:color w:val="000000"/>
          <w:szCs w:val="24"/>
        </w:rPr>
        <w:t>The weighted average maturity of Approved Investments in the Cash Collateral Account</w:t>
      </w:r>
      <w:r w:rsidRPr="0067016A">
        <w:rPr>
          <w:color w:val="000000"/>
          <w:szCs w:val="24"/>
        </w:rPr>
        <w:t xml:space="preserve"> </w:t>
      </w:r>
      <w:r>
        <w:rPr>
          <w:color w:val="000000"/>
          <w:szCs w:val="24"/>
        </w:rPr>
        <w:t xml:space="preserve">(based on the shorter of final maturity or days to reset for floating rate obligations) shall not exceed </w:t>
      </w:r>
      <w:r w:rsidR="0023553A">
        <w:rPr>
          <w:color w:val="000000"/>
          <w:szCs w:val="24"/>
        </w:rPr>
        <w:t>90</w:t>
      </w:r>
      <w:r>
        <w:rPr>
          <w:color w:val="000000"/>
          <w:szCs w:val="24"/>
        </w:rPr>
        <w:t xml:space="preserve"> days.</w:t>
      </w:r>
    </w:p>
    <w:p w14:paraId="102002AB" w14:textId="77777777" w:rsidR="006537AF" w:rsidRDefault="006537AF" w:rsidP="007C2DAD">
      <w:pPr>
        <w:tabs>
          <w:tab w:val="left" w:pos="720"/>
          <w:tab w:val="left" w:pos="8640"/>
        </w:tabs>
        <w:autoSpaceDE w:val="0"/>
        <w:autoSpaceDN w:val="0"/>
        <w:adjustRightInd w:val="0"/>
        <w:jc w:val="both"/>
        <w:rPr>
          <w:color w:val="000000"/>
          <w:szCs w:val="24"/>
        </w:rPr>
      </w:pPr>
    </w:p>
    <w:p w14:paraId="102002AC" w14:textId="77777777" w:rsidR="006537AF" w:rsidRPr="0067016A" w:rsidRDefault="006537AF" w:rsidP="0067016A">
      <w:pPr>
        <w:tabs>
          <w:tab w:val="left" w:pos="720"/>
          <w:tab w:val="left" w:pos="8640"/>
        </w:tabs>
        <w:autoSpaceDE w:val="0"/>
        <w:autoSpaceDN w:val="0"/>
        <w:adjustRightInd w:val="0"/>
        <w:ind w:left="1335"/>
        <w:jc w:val="both"/>
        <w:rPr>
          <w:color w:val="000000"/>
          <w:szCs w:val="24"/>
        </w:rPr>
      </w:pPr>
    </w:p>
    <w:p w14:paraId="102002AD" w14:textId="77777777" w:rsidR="006537AF" w:rsidRDefault="006537AF">
      <w:pPr>
        <w:rPr>
          <w:b/>
          <w:color w:val="000000"/>
          <w:szCs w:val="24"/>
        </w:rPr>
      </w:pPr>
      <w:r>
        <w:rPr>
          <w:b/>
          <w:color w:val="000000"/>
          <w:szCs w:val="24"/>
        </w:rPr>
        <w:t>E</w:t>
      </w:r>
      <w:r w:rsidRPr="0067016A">
        <w:rPr>
          <w:b/>
          <w:color w:val="000000"/>
          <w:szCs w:val="24"/>
        </w:rPr>
        <w:t>.</w:t>
      </w:r>
      <w:r w:rsidRPr="0067016A">
        <w:rPr>
          <w:b/>
          <w:color w:val="000000"/>
          <w:szCs w:val="24"/>
        </w:rPr>
        <w:tab/>
        <w:t>LIQUIDITY GUIDELINES</w:t>
      </w:r>
    </w:p>
    <w:p w14:paraId="102002AE" w14:textId="77777777" w:rsidR="006537AF" w:rsidRDefault="006537AF">
      <w:pPr>
        <w:rPr>
          <w:b/>
          <w:color w:val="000000"/>
          <w:szCs w:val="24"/>
        </w:rPr>
      </w:pPr>
    </w:p>
    <w:p w14:paraId="102002AF" w14:textId="77777777" w:rsidR="006537AF" w:rsidRDefault="006537AF" w:rsidP="001C635D">
      <w:pPr>
        <w:numPr>
          <w:ilvl w:val="0"/>
          <w:numId w:val="11"/>
        </w:numPr>
        <w:ind w:left="1350" w:hanging="450"/>
        <w:jc w:val="both"/>
      </w:pPr>
      <w:r w:rsidRPr="0067016A">
        <w:rPr>
          <w:color w:val="000000"/>
          <w:szCs w:val="24"/>
        </w:rPr>
        <w:t xml:space="preserve">All </w:t>
      </w:r>
      <w:r>
        <w:rPr>
          <w:color w:val="000000"/>
          <w:szCs w:val="24"/>
        </w:rPr>
        <w:t>Approved I</w:t>
      </w:r>
      <w:r w:rsidRPr="0067016A">
        <w:rPr>
          <w:color w:val="000000"/>
          <w:szCs w:val="24"/>
        </w:rPr>
        <w:t xml:space="preserve">nvestments </w:t>
      </w:r>
      <w:r>
        <w:rPr>
          <w:color w:val="000000"/>
          <w:szCs w:val="24"/>
        </w:rPr>
        <w:t xml:space="preserve">shall be </w:t>
      </w:r>
      <w:r>
        <w:t>deemed to be liquid at time of purchase,  with the exception of time deposits and repurchase agreements having a final maturity greater than 7 days, which shall be deemed to be illiquid for purposes hereof.</w:t>
      </w:r>
    </w:p>
    <w:p w14:paraId="102002B0" w14:textId="77777777" w:rsidR="006537AF" w:rsidRPr="0067016A" w:rsidRDefault="006537AF">
      <w:pPr>
        <w:rPr>
          <w:b/>
          <w:color w:val="000000"/>
          <w:szCs w:val="24"/>
        </w:rPr>
      </w:pPr>
    </w:p>
    <w:p w14:paraId="102002B1" w14:textId="77777777" w:rsidR="006537AF" w:rsidRDefault="006537AF" w:rsidP="00F63260">
      <w:pPr>
        <w:numPr>
          <w:ilvl w:val="0"/>
          <w:numId w:val="11"/>
        </w:numPr>
        <w:ind w:left="1350" w:hanging="450"/>
        <w:jc w:val="both"/>
      </w:pPr>
      <w:r>
        <w:t>“Illiquid” Approve</w:t>
      </w:r>
      <w:r w:rsidR="00A83EFE">
        <w:t>d Investments shall not exceed 3</w:t>
      </w:r>
      <w:r>
        <w:t>0% of the total amount of Approved Investments in the Cash Collateral Account.</w:t>
      </w:r>
    </w:p>
    <w:p w14:paraId="102002B2" w14:textId="77777777" w:rsidR="006537AF" w:rsidRPr="00F30DEA" w:rsidRDefault="006537AF" w:rsidP="00F63260">
      <w:pPr>
        <w:ind w:left="900"/>
        <w:jc w:val="both"/>
      </w:pPr>
    </w:p>
    <w:p w14:paraId="102002B3" w14:textId="77777777" w:rsidR="006537AF" w:rsidRDefault="006537AF" w:rsidP="00F63260">
      <w:pPr>
        <w:numPr>
          <w:ilvl w:val="0"/>
          <w:numId w:val="11"/>
        </w:numPr>
        <w:ind w:left="1350" w:hanging="450"/>
        <w:jc w:val="both"/>
      </w:pPr>
      <w:r>
        <w:t>No Approved Investment having a final maturity longer than one business day shall be made if, immediately after such investment, the total amount of Approved Investments in the Cash Collateral Account would have less than 10% of total assets maturing in one business day.</w:t>
      </w:r>
    </w:p>
    <w:p w14:paraId="102002B4" w14:textId="77777777" w:rsidR="006537AF" w:rsidRDefault="006537AF" w:rsidP="00F63260">
      <w:pPr>
        <w:ind w:left="900"/>
        <w:jc w:val="both"/>
      </w:pPr>
    </w:p>
    <w:sectPr w:rsidR="006537AF" w:rsidSect="00D57C72">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002B7" w14:textId="77777777" w:rsidR="006537AF" w:rsidRDefault="006537AF" w:rsidP="00007DC8">
      <w:r>
        <w:separator/>
      </w:r>
    </w:p>
  </w:endnote>
  <w:endnote w:type="continuationSeparator" w:id="0">
    <w:p w14:paraId="102002B8" w14:textId="77777777" w:rsidR="006537AF" w:rsidRDefault="006537AF" w:rsidP="0000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002BB" w14:textId="77777777" w:rsidR="00477DB4" w:rsidRDefault="00477D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002BC" w14:textId="77777777" w:rsidR="006537AF" w:rsidRPr="008129BC" w:rsidRDefault="001F3F23" w:rsidP="00446C59">
    <w:pPr>
      <w:pStyle w:val="Footer"/>
      <w:rPr>
        <w:sz w:val="16"/>
        <w:szCs w:val="16"/>
      </w:rPr>
    </w:pPr>
    <w:fldSimple w:instr=" FILENAME  \* MERGEFORMAT ">
      <w:r w:rsidR="006537AF" w:rsidRPr="007B6492">
        <w:rPr>
          <w:noProof/>
          <w:sz w:val="16"/>
          <w:szCs w:val="16"/>
        </w:rPr>
        <w:t>TERM Guidelines</w:t>
      </w:r>
      <w:r w:rsidR="006537AF">
        <w:rPr>
          <w:noProof/>
        </w:rPr>
        <w:t xml:space="preserve"> v2.docx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002BE" w14:textId="77777777" w:rsidR="00477DB4" w:rsidRDefault="00477D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002B5" w14:textId="77777777" w:rsidR="006537AF" w:rsidRDefault="006537AF" w:rsidP="00007DC8">
      <w:r>
        <w:separator/>
      </w:r>
    </w:p>
  </w:footnote>
  <w:footnote w:type="continuationSeparator" w:id="0">
    <w:p w14:paraId="102002B6" w14:textId="77777777" w:rsidR="006537AF" w:rsidRDefault="006537AF" w:rsidP="00007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002B9" w14:textId="77777777" w:rsidR="00477DB4" w:rsidRDefault="00CC0D17">
    <w:pPr>
      <w:pStyle w:val="Header"/>
    </w:pPr>
    <w:r>
      <w:rPr>
        <w:noProof/>
      </w:rPr>
      <w:pict w14:anchorId="102002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519274" o:spid="_x0000_s2050" type="#_x0000_t136" style="position:absolute;margin-left:0;margin-top:0;width:487.25pt;height:121.8pt;rotation:315;z-index:-251655168;mso-position-horizontal:center;mso-position-horizontal-relative:margin;mso-position-vertical:center;mso-position-vertical-relative:margin" o:allowincell="f" fillcolor="black" stroked="f">
          <v:fill opacity=".5"/>
          <v:textpath style="font-family:&quot;Times New Roman&quot;;font-size:1pt" string="EX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002BA" w14:textId="77777777" w:rsidR="00477DB4" w:rsidRDefault="00CC0D17">
    <w:pPr>
      <w:pStyle w:val="Header"/>
    </w:pPr>
    <w:r>
      <w:rPr>
        <w:noProof/>
      </w:rPr>
      <w:pict w14:anchorId="102002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519275" o:spid="_x0000_s2051" type="#_x0000_t136" style="position:absolute;margin-left:0;margin-top:0;width:487.25pt;height:121.8pt;rotation:315;z-index:-251653120;mso-position-horizontal:center;mso-position-horizontal-relative:margin;mso-position-vertical:center;mso-position-vertical-relative:margin" o:allowincell="f" fillcolor="black" stroked="f">
          <v:fill opacity=".5"/>
          <v:textpath style="font-family:&quot;Times New Roman&quot;;font-size:1pt" string="EX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002BD" w14:textId="77777777" w:rsidR="00477DB4" w:rsidRDefault="00CC0D17">
    <w:pPr>
      <w:pStyle w:val="Header"/>
    </w:pPr>
    <w:r>
      <w:rPr>
        <w:noProof/>
      </w:rPr>
      <w:pict w14:anchorId="10200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519273" o:spid="_x0000_s2049" type="#_x0000_t136" style="position:absolute;margin-left:0;margin-top:0;width:487.25pt;height:121.8pt;rotation:315;z-index:-251657216;mso-position-horizontal:center;mso-position-horizontal-relative:margin;mso-position-vertical:center;mso-position-vertical-relative:margin" o:allowincell="f" fillcolor="black" stroked="f">
          <v:fill opacity=".5"/>
          <v:textpath style="font-family:&quot;Times New Roman&quot;;font-size:1pt" string="EX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6CE2C12"/>
    <w:lvl w:ilvl="0">
      <w:start w:val="1"/>
      <w:numFmt w:val="decimal"/>
      <w:lvlText w:val="%1."/>
      <w:lvlJc w:val="left"/>
      <w:pPr>
        <w:tabs>
          <w:tab w:val="num" w:pos="360"/>
        </w:tabs>
        <w:ind w:left="360" w:hanging="360"/>
      </w:pPr>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15DF4734"/>
    <w:multiLevelType w:val="hybridMultilevel"/>
    <w:tmpl w:val="34CCC5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D5F025B"/>
    <w:multiLevelType w:val="hybridMultilevel"/>
    <w:tmpl w:val="24D086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E1626"/>
    <w:multiLevelType w:val="hybridMultilevel"/>
    <w:tmpl w:val="7BA29958"/>
    <w:lvl w:ilvl="0" w:tplc="3A68205A">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4685532"/>
    <w:multiLevelType w:val="hybridMultilevel"/>
    <w:tmpl w:val="722A264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5F451713"/>
    <w:multiLevelType w:val="hybridMultilevel"/>
    <w:tmpl w:val="DDC20C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9CD1B10"/>
    <w:multiLevelType w:val="hybridMultilevel"/>
    <w:tmpl w:val="BA00299E"/>
    <w:lvl w:ilvl="0" w:tplc="04090001">
      <w:start w:val="1"/>
      <w:numFmt w:val="bullet"/>
      <w:lvlText w:val=""/>
      <w:lvlJc w:val="left"/>
      <w:pPr>
        <w:tabs>
          <w:tab w:val="num" w:pos="1335"/>
        </w:tabs>
        <w:ind w:left="1335" w:hanging="360"/>
      </w:pPr>
      <w:rPr>
        <w:rFonts w:ascii="Symbol" w:hAnsi="Symbol" w:hint="default"/>
      </w:rPr>
    </w:lvl>
    <w:lvl w:ilvl="1" w:tplc="04090003" w:tentative="1">
      <w:start w:val="1"/>
      <w:numFmt w:val="bullet"/>
      <w:lvlText w:val="o"/>
      <w:lvlJc w:val="left"/>
      <w:pPr>
        <w:tabs>
          <w:tab w:val="num" w:pos="2055"/>
        </w:tabs>
        <w:ind w:left="2055" w:hanging="360"/>
      </w:pPr>
      <w:rPr>
        <w:rFonts w:ascii="Courier New" w:hAnsi="Courier New" w:hint="default"/>
      </w:rPr>
    </w:lvl>
    <w:lvl w:ilvl="2" w:tplc="04090005" w:tentative="1">
      <w:start w:val="1"/>
      <w:numFmt w:val="bullet"/>
      <w:lvlText w:val=""/>
      <w:lvlJc w:val="left"/>
      <w:pPr>
        <w:tabs>
          <w:tab w:val="num" w:pos="2775"/>
        </w:tabs>
        <w:ind w:left="2775" w:hanging="360"/>
      </w:pPr>
      <w:rPr>
        <w:rFonts w:ascii="Wingdings" w:hAnsi="Wingdings" w:hint="default"/>
      </w:rPr>
    </w:lvl>
    <w:lvl w:ilvl="3" w:tplc="04090001" w:tentative="1">
      <w:start w:val="1"/>
      <w:numFmt w:val="bullet"/>
      <w:lvlText w:val=""/>
      <w:lvlJc w:val="left"/>
      <w:pPr>
        <w:tabs>
          <w:tab w:val="num" w:pos="3495"/>
        </w:tabs>
        <w:ind w:left="3495" w:hanging="360"/>
      </w:pPr>
      <w:rPr>
        <w:rFonts w:ascii="Symbol" w:hAnsi="Symbol" w:hint="default"/>
      </w:rPr>
    </w:lvl>
    <w:lvl w:ilvl="4" w:tplc="04090003" w:tentative="1">
      <w:start w:val="1"/>
      <w:numFmt w:val="bullet"/>
      <w:lvlText w:val="o"/>
      <w:lvlJc w:val="left"/>
      <w:pPr>
        <w:tabs>
          <w:tab w:val="num" w:pos="4215"/>
        </w:tabs>
        <w:ind w:left="4215" w:hanging="360"/>
      </w:pPr>
      <w:rPr>
        <w:rFonts w:ascii="Courier New" w:hAnsi="Courier New" w:hint="default"/>
      </w:rPr>
    </w:lvl>
    <w:lvl w:ilvl="5" w:tplc="04090005" w:tentative="1">
      <w:start w:val="1"/>
      <w:numFmt w:val="bullet"/>
      <w:lvlText w:val=""/>
      <w:lvlJc w:val="left"/>
      <w:pPr>
        <w:tabs>
          <w:tab w:val="num" w:pos="4935"/>
        </w:tabs>
        <w:ind w:left="4935" w:hanging="360"/>
      </w:pPr>
      <w:rPr>
        <w:rFonts w:ascii="Wingdings" w:hAnsi="Wingdings" w:hint="default"/>
      </w:rPr>
    </w:lvl>
    <w:lvl w:ilvl="6" w:tplc="04090001" w:tentative="1">
      <w:start w:val="1"/>
      <w:numFmt w:val="bullet"/>
      <w:lvlText w:val=""/>
      <w:lvlJc w:val="left"/>
      <w:pPr>
        <w:tabs>
          <w:tab w:val="num" w:pos="5655"/>
        </w:tabs>
        <w:ind w:left="5655" w:hanging="360"/>
      </w:pPr>
      <w:rPr>
        <w:rFonts w:ascii="Symbol" w:hAnsi="Symbol" w:hint="default"/>
      </w:rPr>
    </w:lvl>
    <w:lvl w:ilvl="7" w:tplc="04090003" w:tentative="1">
      <w:start w:val="1"/>
      <w:numFmt w:val="bullet"/>
      <w:lvlText w:val="o"/>
      <w:lvlJc w:val="left"/>
      <w:pPr>
        <w:tabs>
          <w:tab w:val="num" w:pos="6375"/>
        </w:tabs>
        <w:ind w:left="6375" w:hanging="360"/>
      </w:pPr>
      <w:rPr>
        <w:rFonts w:ascii="Courier New" w:hAnsi="Courier New" w:hint="default"/>
      </w:rPr>
    </w:lvl>
    <w:lvl w:ilvl="8" w:tplc="04090005" w:tentative="1">
      <w:start w:val="1"/>
      <w:numFmt w:val="bullet"/>
      <w:lvlText w:val=""/>
      <w:lvlJc w:val="left"/>
      <w:pPr>
        <w:tabs>
          <w:tab w:val="num" w:pos="7095"/>
        </w:tabs>
        <w:ind w:left="7095" w:hanging="360"/>
      </w:pPr>
      <w:rPr>
        <w:rFonts w:ascii="Wingdings" w:hAnsi="Wingdings" w:hint="default"/>
      </w:rPr>
    </w:lvl>
  </w:abstractNum>
  <w:abstractNum w:abstractNumId="8" w15:restartNumberingAfterBreak="0">
    <w:nsid w:val="6A410DDA"/>
    <w:multiLevelType w:val="hybridMultilevel"/>
    <w:tmpl w:val="A144341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lvlOverride w:ilvl="0">
      <w:lvl w:ilvl="0">
        <w:start w:val="1"/>
        <w:numFmt w:val="bullet"/>
        <w:lvlText w:val=""/>
        <w:legacy w:legacy="1" w:legacySpace="0" w:legacyIndent="360"/>
        <w:lvlJc w:val="left"/>
        <w:pPr>
          <w:ind w:left="1080" w:hanging="360"/>
        </w:pPr>
        <w:rPr>
          <w:rFonts w:ascii="Symbol" w:hAnsi="Symbol" w:hint="default"/>
          <w:sz w:val="16"/>
        </w:rPr>
      </w:lvl>
    </w:lvlOverride>
  </w:num>
  <w:num w:numId="6">
    <w:abstractNumId w:val="2"/>
  </w:num>
  <w:num w:numId="7">
    <w:abstractNumId w:val="5"/>
  </w:num>
  <w:num w:numId="8">
    <w:abstractNumId w:val="8"/>
  </w:num>
  <w:num w:numId="9">
    <w:abstractNumId w:val="3"/>
  </w:num>
  <w:num w:numId="10">
    <w:abstractNumId w:val="7"/>
  </w:num>
  <w:num w:numId="11">
    <w:abstractNumId w:val="6"/>
  </w:num>
  <w:num w:numId="12">
    <w:abstractNumId w:val="4"/>
  </w:num>
  <w:num w:numId="13">
    <w:abstractNumId w:val="5"/>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B2"/>
    <w:rsid w:val="000072A9"/>
    <w:rsid w:val="00007DC8"/>
    <w:rsid w:val="00012958"/>
    <w:rsid w:val="000207CB"/>
    <w:rsid w:val="000277D0"/>
    <w:rsid w:val="00047C95"/>
    <w:rsid w:val="000573C2"/>
    <w:rsid w:val="000575E7"/>
    <w:rsid w:val="00061281"/>
    <w:rsid w:val="00076331"/>
    <w:rsid w:val="00080D40"/>
    <w:rsid w:val="000861AD"/>
    <w:rsid w:val="000D2E05"/>
    <w:rsid w:val="001252EE"/>
    <w:rsid w:val="00131E3C"/>
    <w:rsid w:val="00132AF1"/>
    <w:rsid w:val="00164622"/>
    <w:rsid w:val="001977D3"/>
    <w:rsid w:val="001C1A3A"/>
    <w:rsid w:val="001C635D"/>
    <w:rsid w:val="001F3F23"/>
    <w:rsid w:val="001F787A"/>
    <w:rsid w:val="00206469"/>
    <w:rsid w:val="00217C24"/>
    <w:rsid w:val="00221722"/>
    <w:rsid w:val="002268B7"/>
    <w:rsid w:val="0023553A"/>
    <w:rsid w:val="00236BDF"/>
    <w:rsid w:val="00237E16"/>
    <w:rsid w:val="00246D12"/>
    <w:rsid w:val="00253987"/>
    <w:rsid w:val="00284B0F"/>
    <w:rsid w:val="0029591B"/>
    <w:rsid w:val="002D4B71"/>
    <w:rsid w:val="002E1F55"/>
    <w:rsid w:val="002E249E"/>
    <w:rsid w:val="002F08DA"/>
    <w:rsid w:val="00303AFA"/>
    <w:rsid w:val="00326898"/>
    <w:rsid w:val="003458FE"/>
    <w:rsid w:val="00354D97"/>
    <w:rsid w:val="0037599A"/>
    <w:rsid w:val="00375DE4"/>
    <w:rsid w:val="00393ACC"/>
    <w:rsid w:val="003B70B2"/>
    <w:rsid w:val="003C257E"/>
    <w:rsid w:val="003D59CA"/>
    <w:rsid w:val="003D62D1"/>
    <w:rsid w:val="003D6A54"/>
    <w:rsid w:val="003D6FF2"/>
    <w:rsid w:val="00431528"/>
    <w:rsid w:val="00434C61"/>
    <w:rsid w:val="00446C59"/>
    <w:rsid w:val="00477DB4"/>
    <w:rsid w:val="00482523"/>
    <w:rsid w:val="004B49AC"/>
    <w:rsid w:val="004B4DE8"/>
    <w:rsid w:val="004C6CF6"/>
    <w:rsid w:val="004F0E14"/>
    <w:rsid w:val="00515479"/>
    <w:rsid w:val="00560280"/>
    <w:rsid w:val="00577FF1"/>
    <w:rsid w:val="005B01B1"/>
    <w:rsid w:val="005B06D6"/>
    <w:rsid w:val="005B5F0A"/>
    <w:rsid w:val="005C33F3"/>
    <w:rsid w:val="005C68B5"/>
    <w:rsid w:val="005D6349"/>
    <w:rsid w:val="005E3CDC"/>
    <w:rsid w:val="005F57F7"/>
    <w:rsid w:val="006122A5"/>
    <w:rsid w:val="006430E5"/>
    <w:rsid w:val="00647D6A"/>
    <w:rsid w:val="006537AF"/>
    <w:rsid w:val="0067016A"/>
    <w:rsid w:val="006A042D"/>
    <w:rsid w:val="006A2D9D"/>
    <w:rsid w:val="006C667E"/>
    <w:rsid w:val="006E28A8"/>
    <w:rsid w:val="007234A5"/>
    <w:rsid w:val="0073257A"/>
    <w:rsid w:val="00742CE5"/>
    <w:rsid w:val="00744C64"/>
    <w:rsid w:val="00760299"/>
    <w:rsid w:val="0076149D"/>
    <w:rsid w:val="007A7633"/>
    <w:rsid w:val="007B6492"/>
    <w:rsid w:val="007C2DAD"/>
    <w:rsid w:val="007C393D"/>
    <w:rsid w:val="007D239D"/>
    <w:rsid w:val="007E2165"/>
    <w:rsid w:val="007F04B2"/>
    <w:rsid w:val="007F2659"/>
    <w:rsid w:val="00811438"/>
    <w:rsid w:val="008129BC"/>
    <w:rsid w:val="00877AFF"/>
    <w:rsid w:val="00892001"/>
    <w:rsid w:val="008A3EE3"/>
    <w:rsid w:val="008C5F44"/>
    <w:rsid w:val="008C72B8"/>
    <w:rsid w:val="009159F4"/>
    <w:rsid w:val="00927F2D"/>
    <w:rsid w:val="00934011"/>
    <w:rsid w:val="0096220D"/>
    <w:rsid w:val="00984D10"/>
    <w:rsid w:val="00990080"/>
    <w:rsid w:val="009A19F9"/>
    <w:rsid w:val="009A40EB"/>
    <w:rsid w:val="009C5D6D"/>
    <w:rsid w:val="009E1130"/>
    <w:rsid w:val="00A34816"/>
    <w:rsid w:val="00A37B08"/>
    <w:rsid w:val="00A67B74"/>
    <w:rsid w:val="00A83EFE"/>
    <w:rsid w:val="00A9630A"/>
    <w:rsid w:val="00AC1A38"/>
    <w:rsid w:val="00AF250C"/>
    <w:rsid w:val="00B055E2"/>
    <w:rsid w:val="00B0594A"/>
    <w:rsid w:val="00B10614"/>
    <w:rsid w:val="00B233AC"/>
    <w:rsid w:val="00B54D03"/>
    <w:rsid w:val="00B650E3"/>
    <w:rsid w:val="00B80BB8"/>
    <w:rsid w:val="00BE1CB0"/>
    <w:rsid w:val="00BF088D"/>
    <w:rsid w:val="00BF0942"/>
    <w:rsid w:val="00BF5716"/>
    <w:rsid w:val="00C04D88"/>
    <w:rsid w:val="00C05C6F"/>
    <w:rsid w:val="00C25ADE"/>
    <w:rsid w:val="00C40BD8"/>
    <w:rsid w:val="00C71C9A"/>
    <w:rsid w:val="00C81FF1"/>
    <w:rsid w:val="00C90491"/>
    <w:rsid w:val="00CA3A62"/>
    <w:rsid w:val="00CC0D17"/>
    <w:rsid w:val="00CC2321"/>
    <w:rsid w:val="00CC2B0A"/>
    <w:rsid w:val="00CD7357"/>
    <w:rsid w:val="00D05E9A"/>
    <w:rsid w:val="00D3210A"/>
    <w:rsid w:val="00D57C72"/>
    <w:rsid w:val="00D82F26"/>
    <w:rsid w:val="00D85B83"/>
    <w:rsid w:val="00D86245"/>
    <w:rsid w:val="00D93B18"/>
    <w:rsid w:val="00DB4938"/>
    <w:rsid w:val="00DC10F4"/>
    <w:rsid w:val="00DF1374"/>
    <w:rsid w:val="00E05670"/>
    <w:rsid w:val="00E14662"/>
    <w:rsid w:val="00E41FF5"/>
    <w:rsid w:val="00E42265"/>
    <w:rsid w:val="00E47F16"/>
    <w:rsid w:val="00E751A2"/>
    <w:rsid w:val="00EE7F2A"/>
    <w:rsid w:val="00EF2404"/>
    <w:rsid w:val="00EF564F"/>
    <w:rsid w:val="00F0564F"/>
    <w:rsid w:val="00F232B7"/>
    <w:rsid w:val="00F30AF4"/>
    <w:rsid w:val="00F30DEA"/>
    <w:rsid w:val="00F6296A"/>
    <w:rsid w:val="00F63260"/>
    <w:rsid w:val="00F64325"/>
    <w:rsid w:val="00F64BF8"/>
    <w:rsid w:val="00F67644"/>
    <w:rsid w:val="00FC6F07"/>
    <w:rsid w:val="00FF16EB"/>
    <w:rsid w:val="00FF5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0200262"/>
  <w15:docId w15:val="{D1DD975C-FA66-4EC5-A192-DB1E7517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4B2"/>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F04B2"/>
    <w:pPr>
      <w:ind w:left="720"/>
      <w:contextualSpacing/>
    </w:pPr>
    <w:rPr>
      <w:rFonts w:ascii="CG Times" w:hAnsi="CG Times"/>
    </w:rPr>
  </w:style>
  <w:style w:type="paragraph" w:styleId="ListNumber">
    <w:name w:val="List Number"/>
    <w:basedOn w:val="Normal"/>
    <w:uiPriority w:val="99"/>
    <w:rsid w:val="007F04B2"/>
    <w:pPr>
      <w:tabs>
        <w:tab w:val="num" w:pos="720"/>
      </w:tabs>
      <w:spacing w:after="240"/>
      <w:ind w:left="720" w:hanging="720"/>
    </w:pPr>
    <w:rPr>
      <w:rFonts w:eastAsia="MS Mincho"/>
    </w:rPr>
  </w:style>
  <w:style w:type="paragraph" w:styleId="BalloonText">
    <w:name w:val="Balloon Text"/>
    <w:basedOn w:val="Normal"/>
    <w:link w:val="BalloonTextChar"/>
    <w:uiPriority w:val="99"/>
    <w:rsid w:val="00BF0942"/>
    <w:rPr>
      <w:rFonts w:ascii="Tahoma" w:hAnsi="Tahoma" w:cs="Tahoma"/>
      <w:sz w:val="16"/>
      <w:szCs w:val="16"/>
    </w:rPr>
  </w:style>
  <w:style w:type="character" w:customStyle="1" w:styleId="BalloonTextChar">
    <w:name w:val="Balloon Text Char"/>
    <w:basedOn w:val="DefaultParagraphFont"/>
    <w:link w:val="BalloonText"/>
    <w:uiPriority w:val="99"/>
    <w:locked/>
    <w:rsid w:val="00BF0942"/>
    <w:rPr>
      <w:rFonts w:ascii="Tahoma" w:hAnsi="Tahoma" w:cs="Tahoma"/>
      <w:sz w:val="16"/>
      <w:szCs w:val="16"/>
    </w:rPr>
  </w:style>
  <w:style w:type="paragraph" w:styleId="Header">
    <w:name w:val="header"/>
    <w:basedOn w:val="Normal"/>
    <w:link w:val="HeaderChar"/>
    <w:uiPriority w:val="99"/>
    <w:rsid w:val="00007DC8"/>
    <w:pPr>
      <w:tabs>
        <w:tab w:val="center" w:pos="4680"/>
        <w:tab w:val="right" w:pos="9360"/>
      </w:tabs>
    </w:pPr>
  </w:style>
  <w:style w:type="character" w:customStyle="1" w:styleId="HeaderChar">
    <w:name w:val="Header Char"/>
    <w:basedOn w:val="DefaultParagraphFont"/>
    <w:link w:val="Header"/>
    <w:uiPriority w:val="99"/>
    <w:locked/>
    <w:rsid w:val="00007DC8"/>
    <w:rPr>
      <w:rFonts w:cs="Times New Roman"/>
      <w:sz w:val="24"/>
    </w:rPr>
  </w:style>
  <w:style w:type="paragraph" w:styleId="Footer">
    <w:name w:val="footer"/>
    <w:basedOn w:val="Normal"/>
    <w:link w:val="FooterChar"/>
    <w:uiPriority w:val="99"/>
    <w:rsid w:val="00007DC8"/>
    <w:pPr>
      <w:tabs>
        <w:tab w:val="center" w:pos="4680"/>
        <w:tab w:val="right" w:pos="9360"/>
      </w:tabs>
    </w:pPr>
  </w:style>
  <w:style w:type="character" w:customStyle="1" w:styleId="FooterChar">
    <w:name w:val="Footer Char"/>
    <w:basedOn w:val="DefaultParagraphFont"/>
    <w:link w:val="Footer"/>
    <w:uiPriority w:val="99"/>
    <w:locked/>
    <w:rsid w:val="00007DC8"/>
    <w:rPr>
      <w:rFonts w:cs="Times New Roman"/>
      <w:sz w:val="24"/>
    </w:rPr>
  </w:style>
  <w:style w:type="character" w:styleId="CommentReference">
    <w:name w:val="annotation reference"/>
    <w:basedOn w:val="DefaultParagraphFont"/>
    <w:uiPriority w:val="99"/>
    <w:rsid w:val="00007DC8"/>
    <w:rPr>
      <w:rFonts w:cs="Times New Roman"/>
      <w:sz w:val="16"/>
      <w:szCs w:val="16"/>
    </w:rPr>
  </w:style>
  <w:style w:type="paragraph" w:styleId="CommentText">
    <w:name w:val="annotation text"/>
    <w:basedOn w:val="Normal"/>
    <w:link w:val="CommentTextChar"/>
    <w:uiPriority w:val="99"/>
    <w:rsid w:val="00007DC8"/>
    <w:rPr>
      <w:sz w:val="20"/>
    </w:rPr>
  </w:style>
  <w:style w:type="character" w:customStyle="1" w:styleId="CommentTextChar">
    <w:name w:val="Comment Text Char"/>
    <w:basedOn w:val="DefaultParagraphFont"/>
    <w:link w:val="CommentText"/>
    <w:uiPriority w:val="99"/>
    <w:locked/>
    <w:rsid w:val="00007DC8"/>
    <w:rPr>
      <w:rFonts w:cs="Times New Roman"/>
    </w:rPr>
  </w:style>
  <w:style w:type="paragraph" w:styleId="CommentSubject">
    <w:name w:val="annotation subject"/>
    <w:basedOn w:val="CommentText"/>
    <w:next w:val="CommentText"/>
    <w:link w:val="CommentSubjectChar"/>
    <w:uiPriority w:val="99"/>
    <w:rsid w:val="00007DC8"/>
    <w:rPr>
      <w:b/>
      <w:bCs/>
    </w:rPr>
  </w:style>
  <w:style w:type="character" w:customStyle="1" w:styleId="CommentSubjectChar">
    <w:name w:val="Comment Subject Char"/>
    <w:basedOn w:val="CommentTextChar"/>
    <w:link w:val="CommentSubject"/>
    <w:uiPriority w:val="99"/>
    <w:locked/>
    <w:rsid w:val="00007DC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64931">
      <w:bodyDiv w:val="1"/>
      <w:marLeft w:val="0"/>
      <w:marRight w:val="0"/>
      <w:marTop w:val="0"/>
      <w:marBottom w:val="0"/>
      <w:divBdr>
        <w:top w:val="none" w:sz="0" w:space="0" w:color="auto"/>
        <w:left w:val="none" w:sz="0" w:space="0" w:color="auto"/>
        <w:bottom w:val="none" w:sz="0" w:space="0" w:color="auto"/>
        <w:right w:val="none" w:sz="0" w:space="0" w:color="auto"/>
      </w:divBdr>
    </w:div>
    <w:div w:id="904803643">
      <w:bodyDiv w:val="1"/>
      <w:marLeft w:val="0"/>
      <w:marRight w:val="0"/>
      <w:marTop w:val="0"/>
      <w:marBottom w:val="0"/>
      <w:divBdr>
        <w:top w:val="none" w:sz="0" w:space="0" w:color="auto"/>
        <w:left w:val="none" w:sz="0" w:space="0" w:color="auto"/>
        <w:bottom w:val="none" w:sz="0" w:space="0" w:color="auto"/>
        <w:right w:val="none" w:sz="0" w:space="0" w:color="auto"/>
      </w:divBdr>
    </w:div>
    <w:div w:id="1502240466">
      <w:bodyDiv w:val="1"/>
      <w:marLeft w:val="0"/>
      <w:marRight w:val="0"/>
      <w:marTop w:val="0"/>
      <w:marBottom w:val="0"/>
      <w:divBdr>
        <w:top w:val="none" w:sz="0" w:space="0" w:color="auto"/>
        <w:left w:val="none" w:sz="0" w:space="0" w:color="auto"/>
        <w:bottom w:val="none" w:sz="0" w:space="0" w:color="auto"/>
        <w:right w:val="none" w:sz="0" w:space="0" w:color="auto"/>
      </w:divBdr>
    </w:div>
    <w:div w:id="198707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67A66E6B30AB4BBB05FD58EF2737EA" ma:contentTypeVersion="0" ma:contentTypeDescription="Create a new document." ma:contentTypeScope="" ma:versionID="07ff30287a8db95581a4f758a358222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1C184-D1F5-4500-ADA0-607E31EDB896}">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22828BC-337C-4BD3-AA68-DCB2A018E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FD53457-E6F5-421D-9D37-E5B2FC05C42E}">
  <ds:schemaRefs>
    <ds:schemaRef ds:uri="http://schemas.microsoft.com/sharepoint/v3/contenttype/forms"/>
  </ds:schemaRefs>
</ds:datastoreItem>
</file>

<file path=customXml/itemProps4.xml><?xml version="1.0" encoding="utf-8"?>
<ds:datastoreItem xmlns:ds="http://schemas.openxmlformats.org/officeDocument/2006/customXml" ds:itemID="{07185C88-0907-4199-9A60-2097ECB2E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1189</Words>
  <Characters>6782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SECURITIES LENDING CASH COLLATERAL INVESTMENT GUIDELINES</vt:lpstr>
    </vt:vector>
  </TitlesOfParts>
  <Company>Mellon Financial Corporation</Company>
  <LinksUpToDate>false</LinksUpToDate>
  <CharactersWithSpaces>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SECURITIES LENDING CASH COLLATERAL INVESTMENT GUIDELINES</dc:title>
  <dc:creator>xdr62vp</dc:creator>
  <cp:lastModifiedBy>Rochell, Sandra</cp:lastModifiedBy>
  <cp:revision>2</cp:revision>
  <cp:lastPrinted>2012-04-04T17:13:00Z</cp:lastPrinted>
  <dcterms:created xsi:type="dcterms:W3CDTF">2017-04-25T18:07:00Z</dcterms:created>
  <dcterms:modified xsi:type="dcterms:W3CDTF">2017-04-25T18:07:00Z</dcterms:modified>
  <cp:category>NONE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pagetofooter">
    <vt:lpwstr>no</vt:lpwstr>
  </property>
  <property fmtid="{D5CDD505-2E9C-101B-9397-08002B2CF9AE}" pid="3" name="ContentTypeId">
    <vt:lpwstr>0x0101002A67A66E6B30AB4BBB05FD58EF2737EA</vt:lpwstr>
  </property>
</Properties>
</file>