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EB" w:rsidRPr="007743EB" w:rsidRDefault="007743EB" w:rsidP="007743EB">
      <w:pPr>
        <w:outlineLvl w:val="0"/>
        <w:rPr>
          <w:rFonts w:ascii="Dax-Regular" w:hAnsi="Dax-Regular"/>
          <w:color w:val="0070C0"/>
        </w:rPr>
      </w:pPr>
      <w:r w:rsidRPr="007743EB">
        <w:rPr>
          <w:rFonts w:ascii="Dax-Regular" w:hAnsi="Dax-Regular"/>
        </w:rPr>
        <w:t xml:space="preserve">CE-Software </w:t>
      </w:r>
      <w:r>
        <w:rPr>
          <w:rFonts w:ascii="Dax-Regular" w:hAnsi="Dax-Regular"/>
        </w:rPr>
        <w:t>vereinfacht</w:t>
      </w:r>
      <w:r w:rsidRPr="007743EB">
        <w:rPr>
          <w:rFonts w:ascii="Dax-Regular" w:hAnsi="Dax-Regular"/>
        </w:rPr>
        <w:t xml:space="preserve"> </w:t>
      </w:r>
      <w:r>
        <w:rPr>
          <w:rFonts w:ascii="Dax-Regular" w:hAnsi="Dax-Regular"/>
        </w:rPr>
        <w:t>die Umsetzung</w:t>
      </w:r>
      <w:r w:rsidRPr="007743EB">
        <w:rPr>
          <w:rFonts w:ascii="Dax-Regular" w:hAnsi="Dax-Regular"/>
        </w:rPr>
        <w:t xml:space="preserve"> </w:t>
      </w:r>
      <w:r>
        <w:rPr>
          <w:rFonts w:ascii="Dax-Regular" w:hAnsi="Dax-Regular"/>
        </w:rPr>
        <w:t>gesetzlicher Anforderungen</w:t>
      </w:r>
      <w:r w:rsidRPr="007743EB">
        <w:rPr>
          <w:rFonts w:ascii="Dax-Regular" w:hAnsi="Dax-Regular"/>
        </w:rPr>
        <w:t xml:space="preserve"> </w:t>
      </w:r>
    </w:p>
    <w:p w:rsidR="007743EB" w:rsidRDefault="007743EB" w:rsidP="007743EB">
      <w:pPr>
        <w:outlineLvl w:val="0"/>
        <w:rPr>
          <w:rFonts w:ascii="Dax-Regular" w:hAnsi="Dax-Regular"/>
        </w:rPr>
      </w:pPr>
      <w:r>
        <w:rPr>
          <w:rFonts w:ascii="Dax-Regular" w:hAnsi="Dax-Regular"/>
          <w:b/>
        </w:rPr>
        <w:t xml:space="preserve">Richtlinien </w:t>
      </w:r>
      <w:r w:rsidR="007D7481">
        <w:rPr>
          <w:rFonts w:ascii="Dax-Regular" w:hAnsi="Dax-Regular"/>
          <w:b/>
        </w:rPr>
        <w:t>im Maschinenbau richtig  anwenden</w:t>
      </w:r>
      <w:r w:rsidR="004F375F">
        <w:rPr>
          <w:rFonts w:ascii="Dax-Regular" w:hAnsi="Dax-Regular"/>
          <w:b/>
        </w:rPr>
        <w:t xml:space="preserve"> </w:t>
      </w:r>
      <w:r w:rsidR="004F375F">
        <w:rPr>
          <w:rFonts w:ascii="Dax-Regular" w:hAnsi="Dax-Regular"/>
          <w:color w:val="0070C0"/>
        </w:rPr>
        <w:t>Titelbild</w:t>
      </w:r>
      <w:r w:rsidR="00D818C0">
        <w:rPr>
          <w:rFonts w:ascii="Dax-Regular" w:hAnsi="Dax-Regular"/>
          <w:color w:val="0070C0"/>
        </w:rPr>
        <w:t xml:space="preserve"> (Bild 1)</w:t>
      </w:r>
      <w:r w:rsidR="004F375F">
        <w:rPr>
          <w:rFonts w:ascii="Dax-Regular" w:hAnsi="Dax-Regular"/>
          <w:color w:val="0070C0"/>
        </w:rPr>
        <w:t>: Maschinensicherheit</w:t>
      </w:r>
      <w:r w:rsidR="004C1B59" w:rsidRPr="007743EB">
        <w:rPr>
          <w:b/>
        </w:rPr>
        <w:br/>
      </w:r>
    </w:p>
    <w:p w:rsidR="004C1B59" w:rsidRPr="00A10BB0" w:rsidRDefault="00A65FA4" w:rsidP="007743EB">
      <w:pPr>
        <w:outlineLvl w:val="0"/>
        <w:rPr>
          <w:rFonts w:ascii="Dax-Regular" w:hAnsi="Dax-Regular"/>
        </w:rPr>
      </w:pPr>
      <w:r w:rsidRPr="00A10BB0">
        <w:rPr>
          <w:rFonts w:ascii="Dax-Regular" w:hAnsi="Dax-Regular"/>
        </w:rPr>
        <w:t>D</w:t>
      </w:r>
      <w:r>
        <w:rPr>
          <w:rFonts w:ascii="Dax-Regular" w:hAnsi="Dax-Regular"/>
        </w:rPr>
        <w:t xml:space="preserve">as Inverkehrbringen von Produkten auf dem europäischen Markt setzt die CE-Kennzeichnung voraus. </w:t>
      </w:r>
      <w:r w:rsidR="004C1B59">
        <w:rPr>
          <w:rFonts w:ascii="Dax-Regular" w:hAnsi="Dax-Regular"/>
        </w:rPr>
        <w:t xml:space="preserve">Welche Richtlinien dabei zu beachten sind, hängt vom Anwendungsbereich ab. </w:t>
      </w:r>
      <w:r w:rsidR="00BC5703">
        <w:rPr>
          <w:rFonts w:ascii="Dax-Regular" w:hAnsi="Dax-Regular"/>
        </w:rPr>
        <w:t xml:space="preserve">Daher sind </w:t>
      </w:r>
      <w:r w:rsidR="00301BDE">
        <w:rPr>
          <w:rFonts w:ascii="Dax-Regular" w:hAnsi="Dax-Regular"/>
        </w:rPr>
        <w:t xml:space="preserve">Hersteller </w:t>
      </w:r>
      <w:r w:rsidR="00BC5703">
        <w:rPr>
          <w:rFonts w:ascii="Dax-Regular" w:hAnsi="Dax-Regular"/>
        </w:rPr>
        <w:t>h</w:t>
      </w:r>
      <w:r w:rsidR="00301BDE">
        <w:rPr>
          <w:rFonts w:ascii="Dax-Regular" w:hAnsi="Dax-Regular"/>
        </w:rPr>
        <w:t>äufig</w:t>
      </w:r>
      <w:r w:rsidR="00BC5703">
        <w:rPr>
          <w:rFonts w:ascii="Dax-Regular" w:hAnsi="Dax-Regular"/>
        </w:rPr>
        <w:t xml:space="preserve"> verunsichert</w:t>
      </w:r>
      <w:r w:rsidR="004C1B59">
        <w:rPr>
          <w:rFonts w:ascii="Dax-Regular" w:hAnsi="Dax-Regular"/>
        </w:rPr>
        <w:t>, wenn Produkte zusammengeführt</w:t>
      </w:r>
      <w:r w:rsidR="00301BDE">
        <w:rPr>
          <w:rFonts w:ascii="Dax-Regular" w:hAnsi="Dax-Regular"/>
        </w:rPr>
        <w:t xml:space="preserve"> und verknüpft</w:t>
      </w:r>
      <w:r w:rsidR="004C1B59">
        <w:rPr>
          <w:rFonts w:ascii="Dax-Regular" w:hAnsi="Dax-Regular"/>
        </w:rPr>
        <w:t xml:space="preserve"> werden. Eine CE-</w:t>
      </w:r>
      <w:r w:rsidR="004C1B59" w:rsidRPr="00A10BB0">
        <w:rPr>
          <w:rFonts w:ascii="Dax-Regular" w:hAnsi="Dax-Regular"/>
        </w:rPr>
        <w:t>Software</w:t>
      </w:r>
      <w:r w:rsidR="004C1B59">
        <w:rPr>
          <w:rFonts w:ascii="Dax-Regular" w:hAnsi="Dax-Regular"/>
        </w:rPr>
        <w:t xml:space="preserve"> </w:t>
      </w:r>
      <w:r w:rsidR="00CD65E9">
        <w:rPr>
          <w:rFonts w:ascii="Dax-Regular" w:hAnsi="Dax-Regular"/>
        </w:rPr>
        <w:t>hilft den Anwendern,</w:t>
      </w:r>
      <w:r w:rsidR="004C1B59">
        <w:rPr>
          <w:rFonts w:ascii="Dax-Regular" w:hAnsi="Dax-Regular"/>
        </w:rPr>
        <w:t xml:space="preserve"> die passenden Richtlinien anzuwenden.</w:t>
      </w:r>
      <w:r w:rsidR="004C1B59" w:rsidRPr="00A10BB0">
        <w:rPr>
          <w:rFonts w:ascii="Dax-Regular" w:hAnsi="Dax-Regular"/>
        </w:rPr>
        <w:t xml:space="preserve"> </w:t>
      </w:r>
    </w:p>
    <w:p w:rsidR="00623971" w:rsidRPr="004C1B59" w:rsidRDefault="00782E5E" w:rsidP="00BC032A">
      <w:pPr>
        <w:rPr>
          <w:rFonts w:ascii="Dax-Regular" w:hAnsi="Dax-Regular"/>
        </w:rPr>
      </w:pPr>
      <w:r>
        <w:rPr>
          <w:rFonts w:ascii="Dax-Regular" w:hAnsi="Dax-Regular"/>
        </w:rPr>
        <w:t xml:space="preserve">EU-Richtlinien legen für Produkte allgemeine Sicherheits- und Gesundheitsanforderungen fest, die nicht unterschritten werden dürfen. </w:t>
      </w:r>
      <w:r w:rsidRPr="00782E5E">
        <w:rPr>
          <w:rFonts w:ascii="Dax-Regular" w:hAnsi="Dax-Regular"/>
        </w:rPr>
        <w:t xml:space="preserve">Die </w:t>
      </w:r>
      <w:r w:rsidR="00CD65E9">
        <w:rPr>
          <w:rFonts w:ascii="Dax-Regular" w:hAnsi="Dax-Regular"/>
        </w:rPr>
        <w:t xml:space="preserve">EN ISO 12100 (Sicherheit von Maschinen), die </w:t>
      </w:r>
      <w:r w:rsidR="00A65FA4">
        <w:rPr>
          <w:rFonts w:ascii="Dax-Regular" w:hAnsi="Dax-Regular"/>
        </w:rPr>
        <w:t>unter</w:t>
      </w:r>
      <w:r w:rsidR="00CD65E9">
        <w:rPr>
          <w:rFonts w:ascii="Dax-Regular" w:hAnsi="Dax-Regular"/>
        </w:rPr>
        <w:t xml:space="preserve"> der </w:t>
      </w:r>
      <w:r w:rsidRPr="00782E5E">
        <w:rPr>
          <w:rFonts w:ascii="Dax-Regular" w:hAnsi="Dax-Regular"/>
        </w:rPr>
        <w:t xml:space="preserve">Maschinenrichtlinie </w:t>
      </w:r>
      <w:r w:rsidR="008F6B8A" w:rsidRPr="00C333A7">
        <w:rPr>
          <w:rFonts w:ascii="Dax-Regular" w:hAnsi="Dax-Regular"/>
        </w:rPr>
        <w:t>2006/42/EG</w:t>
      </w:r>
      <w:r w:rsidR="008F6B8A">
        <w:rPr>
          <w:rFonts w:ascii="Dax-Regular" w:hAnsi="Dax-Regular"/>
        </w:rPr>
        <w:t xml:space="preserve"> (MRL) </w:t>
      </w:r>
      <w:r w:rsidR="00CD65E9">
        <w:rPr>
          <w:rFonts w:ascii="Dax-Regular" w:hAnsi="Dax-Regular"/>
        </w:rPr>
        <w:t xml:space="preserve">harmonisiert ist, </w:t>
      </w:r>
      <w:r w:rsidRPr="00782E5E">
        <w:rPr>
          <w:rFonts w:ascii="Dax-Regular" w:hAnsi="Dax-Regular"/>
        </w:rPr>
        <w:t xml:space="preserve">regelt dabei recht klar, wie die Risikobeurteilung durchzuführen ist. Für die Anwendung anderer Richtlinien, z. B. der Niederspannungsrichtlinie, </w:t>
      </w:r>
      <w:r w:rsidR="00B37D6F">
        <w:rPr>
          <w:rFonts w:ascii="Dax-Regular" w:hAnsi="Dax-Regular"/>
        </w:rPr>
        <w:t>besser bekannt als LVD (</w:t>
      </w:r>
      <w:r w:rsidR="00B37D6F" w:rsidRPr="00BC5703">
        <w:rPr>
          <w:rFonts w:ascii="Dax-Regular" w:hAnsi="Dax-Regular"/>
          <w:b/>
        </w:rPr>
        <w:t>L</w:t>
      </w:r>
      <w:r w:rsidR="00B37D6F">
        <w:rPr>
          <w:rFonts w:ascii="Dax-Regular" w:hAnsi="Dax-Regular"/>
        </w:rPr>
        <w:t xml:space="preserve">ow </w:t>
      </w:r>
      <w:r w:rsidR="00B37D6F" w:rsidRPr="00BC5703">
        <w:rPr>
          <w:rFonts w:ascii="Dax-Regular" w:hAnsi="Dax-Regular"/>
          <w:b/>
        </w:rPr>
        <w:t>V</w:t>
      </w:r>
      <w:r w:rsidR="00B37D6F">
        <w:rPr>
          <w:rFonts w:ascii="Dax-Regular" w:hAnsi="Dax-Regular"/>
        </w:rPr>
        <w:t xml:space="preserve">oltage </w:t>
      </w:r>
      <w:r w:rsidR="00B37D6F" w:rsidRPr="00BC5703">
        <w:rPr>
          <w:rFonts w:ascii="Dax-Regular" w:hAnsi="Dax-Regular"/>
          <w:b/>
        </w:rPr>
        <w:t>D</w:t>
      </w:r>
      <w:r w:rsidR="00B37D6F">
        <w:rPr>
          <w:rFonts w:ascii="Dax-Regular" w:hAnsi="Dax-Regular"/>
        </w:rPr>
        <w:t xml:space="preserve">irective), </w:t>
      </w:r>
      <w:r w:rsidRPr="00782E5E">
        <w:rPr>
          <w:rFonts w:ascii="Dax-Regular" w:hAnsi="Dax-Regular"/>
        </w:rPr>
        <w:t xml:space="preserve">existieren jedoch kaum Informationen. </w:t>
      </w:r>
      <w:r w:rsidR="00C333A7">
        <w:rPr>
          <w:rFonts w:ascii="Dax-Regular" w:hAnsi="Dax-Regular"/>
        </w:rPr>
        <w:t>Die CE-CON GmbH entwickelte e</w:t>
      </w:r>
      <w:r w:rsidR="00BC5703">
        <w:rPr>
          <w:rFonts w:ascii="Dax-Regular" w:hAnsi="Dax-Regular"/>
        </w:rPr>
        <w:t>ine</w:t>
      </w:r>
      <w:r w:rsidR="007D7481">
        <w:rPr>
          <w:rFonts w:ascii="Dax-Regular" w:hAnsi="Dax-Regular"/>
        </w:rPr>
        <w:t xml:space="preserve"> </w:t>
      </w:r>
      <w:r w:rsidR="00BC5703">
        <w:rPr>
          <w:rFonts w:ascii="Dax-Regular" w:hAnsi="Dax-Regular"/>
        </w:rPr>
        <w:t>CE-</w:t>
      </w:r>
      <w:r w:rsidR="007D7481">
        <w:rPr>
          <w:rFonts w:ascii="Dax-Regular" w:hAnsi="Dax-Regular"/>
        </w:rPr>
        <w:t>Software</w:t>
      </w:r>
      <w:r w:rsidR="00C333A7">
        <w:rPr>
          <w:rFonts w:ascii="Dax-Regular" w:hAnsi="Dax-Regular"/>
        </w:rPr>
        <w:t xml:space="preserve">, die </w:t>
      </w:r>
      <w:r w:rsidR="00BC5703">
        <w:rPr>
          <w:rFonts w:ascii="Dax-Regular" w:hAnsi="Dax-Regular"/>
        </w:rPr>
        <w:t xml:space="preserve">die </w:t>
      </w:r>
      <w:r w:rsidR="00C333A7">
        <w:rPr>
          <w:rFonts w:ascii="Dax-Regular" w:hAnsi="Dax-Regular"/>
        </w:rPr>
        <w:t>Einhaltung und Umsetzung</w:t>
      </w:r>
      <w:r w:rsidR="00BC5703">
        <w:rPr>
          <w:rFonts w:ascii="Dax-Regular" w:hAnsi="Dax-Regular"/>
        </w:rPr>
        <w:t xml:space="preserve"> der </w:t>
      </w:r>
      <w:r w:rsidR="00C333A7">
        <w:rPr>
          <w:rFonts w:ascii="Dax-Regular" w:hAnsi="Dax-Regular"/>
        </w:rPr>
        <w:t>gesetzlich geforderten Richtlinien vereinfacht.</w:t>
      </w:r>
    </w:p>
    <w:p w:rsidR="007D7481" w:rsidRPr="00D365B0" w:rsidRDefault="00246461" w:rsidP="007D7481">
      <w:pPr>
        <w:rPr>
          <w:rFonts w:ascii="Dax-Regular" w:hAnsi="Dax-Regular"/>
          <w:b/>
        </w:rPr>
      </w:pPr>
      <w:r>
        <w:rPr>
          <w:rFonts w:ascii="Dax-Regular" w:hAnsi="Dax-Regular"/>
          <w:b/>
        </w:rPr>
        <w:t>Niederspannungsrichtlinie für</w:t>
      </w:r>
      <w:r w:rsidR="00A71178">
        <w:rPr>
          <w:rFonts w:ascii="Dax-Regular" w:hAnsi="Dax-Regular"/>
          <w:b/>
        </w:rPr>
        <w:t xml:space="preserve"> elektrische</w:t>
      </w:r>
      <w:r>
        <w:rPr>
          <w:rFonts w:ascii="Dax-Regular" w:hAnsi="Dax-Regular"/>
          <w:b/>
        </w:rPr>
        <w:t xml:space="preserve"> Betriebsmittel</w:t>
      </w:r>
    </w:p>
    <w:p w:rsidR="00890797" w:rsidRDefault="00CD65E9" w:rsidP="00890797">
      <w:pPr>
        <w:rPr>
          <w:rFonts w:ascii="Dax-Regular" w:hAnsi="Dax-Regular"/>
        </w:rPr>
      </w:pPr>
      <w:r w:rsidRPr="00CD65E9">
        <w:rPr>
          <w:rFonts w:ascii="Dax-Regular" w:hAnsi="Dax-Regular"/>
        </w:rPr>
        <w:t>Elektromotoren sind nach Artikel 1, Absatz 2, Buchstabe k</w:t>
      </w:r>
      <w:r>
        <w:rPr>
          <w:rFonts w:ascii="Dax-Regular" w:hAnsi="Dax-Regular"/>
        </w:rPr>
        <w:t>,</w:t>
      </w:r>
      <w:r w:rsidRPr="00CD65E9">
        <w:rPr>
          <w:rFonts w:ascii="Dax-Regular" w:hAnsi="Dax-Regular"/>
        </w:rPr>
        <w:t xml:space="preserve"> vom Anwendungsbereich der M</w:t>
      </w:r>
      <w:r w:rsidR="008F6B8A">
        <w:rPr>
          <w:rFonts w:ascii="Dax-Regular" w:hAnsi="Dax-Regular"/>
        </w:rPr>
        <w:t>RL</w:t>
      </w:r>
      <w:r w:rsidRPr="00CD65E9">
        <w:rPr>
          <w:rFonts w:ascii="Dax-Regular" w:hAnsi="Dax-Regular"/>
        </w:rPr>
        <w:t xml:space="preserve"> ausgeschlossen</w:t>
      </w:r>
      <w:r w:rsidR="00F269E1">
        <w:rPr>
          <w:rFonts w:ascii="Dax-Regular" w:hAnsi="Dax-Regular"/>
        </w:rPr>
        <w:t>. E</w:t>
      </w:r>
      <w:r w:rsidRPr="00CD65E9">
        <w:rPr>
          <w:rFonts w:ascii="Dax-Regular" w:hAnsi="Dax-Regular"/>
        </w:rPr>
        <w:t xml:space="preserve">s wird direkt auf die </w:t>
      </w:r>
      <w:r w:rsidR="00890797">
        <w:rPr>
          <w:rFonts w:ascii="Dax-Regular" w:hAnsi="Dax-Regular"/>
        </w:rPr>
        <w:t>LVD</w:t>
      </w:r>
      <w:r w:rsidRPr="00CD65E9">
        <w:rPr>
          <w:rFonts w:ascii="Dax-Regular" w:hAnsi="Dax-Regular"/>
        </w:rPr>
        <w:t xml:space="preserve"> verwiesen</w:t>
      </w:r>
      <w:r w:rsidR="00890797">
        <w:rPr>
          <w:rFonts w:ascii="Dax-Regular" w:hAnsi="Dax-Regular"/>
        </w:rPr>
        <w:t xml:space="preserve">, die </w:t>
      </w:r>
      <w:r w:rsidR="00890797" w:rsidRPr="00A71178">
        <w:rPr>
          <w:rFonts w:ascii="Dax-Regular" w:hAnsi="Dax-Regular"/>
        </w:rPr>
        <w:t>für alle elektrischen Betriebsmittel</w:t>
      </w:r>
      <w:r w:rsidR="00890797">
        <w:rPr>
          <w:rFonts w:ascii="Dax-Regular" w:hAnsi="Dax-Regular"/>
        </w:rPr>
        <w:t xml:space="preserve"> gilt,</w:t>
      </w:r>
      <w:r w:rsidR="00890797" w:rsidRPr="00A71178">
        <w:rPr>
          <w:rFonts w:ascii="Dax-Regular" w:hAnsi="Dax-Regular"/>
        </w:rPr>
        <w:t xml:space="preserve"> die für eine</w:t>
      </w:r>
      <w:r w:rsidR="00890797">
        <w:rPr>
          <w:rFonts w:ascii="Dax-Regular" w:hAnsi="Dax-Regular"/>
        </w:rPr>
        <w:t xml:space="preserve"> </w:t>
      </w:r>
      <w:r w:rsidR="00890797" w:rsidRPr="00A71178">
        <w:rPr>
          <w:rFonts w:ascii="Dax-Regular" w:hAnsi="Dax-Regular"/>
        </w:rPr>
        <w:t>Nennbetriebsspannung zwischen 50 und 1000 Volt Wechselstrom bzw. 75 und</w:t>
      </w:r>
      <w:r w:rsidR="00890797">
        <w:rPr>
          <w:rFonts w:ascii="Dax-Regular" w:hAnsi="Dax-Regular"/>
        </w:rPr>
        <w:t xml:space="preserve"> </w:t>
      </w:r>
      <w:r w:rsidR="00890797" w:rsidRPr="00A71178">
        <w:rPr>
          <w:rFonts w:ascii="Dax-Regular" w:hAnsi="Dax-Regular"/>
        </w:rPr>
        <w:t>1500 Volt Gleichstrom ausgelegt sind.</w:t>
      </w:r>
      <w:r w:rsidRPr="00CD65E9">
        <w:rPr>
          <w:rFonts w:ascii="Dax-Regular" w:hAnsi="Dax-Regular"/>
        </w:rPr>
        <w:t xml:space="preserve"> Diese legt die Mindestsicherheitsanforderungen für elektrische Betriebsmittel fest. </w:t>
      </w:r>
      <w:r w:rsidR="00890797">
        <w:rPr>
          <w:rFonts w:ascii="Dax-Regular" w:hAnsi="Dax-Regular"/>
        </w:rPr>
        <w:t>Anders als bei der M</w:t>
      </w:r>
      <w:r w:rsidR="008F6B8A">
        <w:rPr>
          <w:rFonts w:ascii="Dax-Regular" w:hAnsi="Dax-Regular"/>
        </w:rPr>
        <w:t>RL</w:t>
      </w:r>
      <w:r w:rsidR="00890797">
        <w:rPr>
          <w:rFonts w:ascii="Dax-Regular" w:hAnsi="Dax-Regular"/>
        </w:rPr>
        <w:t xml:space="preserve"> beinhaltet die Liste der harmonisierten Normen für die LVD für elektrische Betriebsmittel keine Norm, die sich mit der Risikobeurteilung dieser Produkte beschäftigt. Entsprechend existieren auch keine </w:t>
      </w:r>
      <w:r w:rsidR="00890797" w:rsidRPr="00246461">
        <w:rPr>
          <w:rFonts w:ascii="Dax-Regular" w:hAnsi="Dax-Regular"/>
        </w:rPr>
        <w:t>Vorgaben, wie eine Risikobeurteilung in der Praxis konkret durchgef</w:t>
      </w:r>
      <w:r w:rsidR="00890797" w:rsidRPr="00246461">
        <w:rPr>
          <w:rFonts w:ascii="Dax-Regular" w:hAnsi="Dax-Regular" w:cs="Dax-Regular"/>
        </w:rPr>
        <w:t>ü</w:t>
      </w:r>
      <w:r w:rsidR="00890797" w:rsidRPr="00246461">
        <w:rPr>
          <w:rFonts w:ascii="Dax-Regular" w:hAnsi="Dax-Regular"/>
        </w:rPr>
        <w:t>hrt und dokumentiert werden muss, sie muss lediglich „geeignet“ sein: „Der Hersteller erstellt die technischen Unterlagen. Anhand dieser Unterlagen muss es möglich sein, die Übereinstimmung eines elektrischen Betriebsmittels mit den betreffenden Anforderungen zu bewerten; sie müssen eine geeignete Risikoanalyse und -bewertung enthalten</w:t>
      </w:r>
      <w:r w:rsidR="00890797">
        <w:rPr>
          <w:rFonts w:ascii="Dax-Regular" w:hAnsi="Dax-Regular"/>
          <w:vertAlign w:val="superscript"/>
        </w:rPr>
        <w:t>1</w:t>
      </w:r>
      <w:r w:rsidR="00890797" w:rsidRPr="00246461">
        <w:rPr>
          <w:rFonts w:ascii="Dax-Regular" w:hAnsi="Dax-Regular"/>
        </w:rPr>
        <w:t>.“</w:t>
      </w:r>
    </w:p>
    <w:p w:rsidR="00137DF5" w:rsidRDefault="00851E90" w:rsidP="00137DF5">
      <w:pPr>
        <w:rPr>
          <w:rFonts w:ascii="Dax-Regular" w:hAnsi="Dax-Regular"/>
        </w:rPr>
      </w:pPr>
      <w:r>
        <w:rPr>
          <w:rFonts w:ascii="Dax-Regular" w:hAnsi="Dax-Regular"/>
        </w:rPr>
        <w:t>Das Europäische Komitee für elektrotechnische Normung (CENELEC) entwirft neben Normen auch Leitfäden. Der CENELEC Guide 32 ist der Leitfaden für die sicherheitsrelevante Risikobeurteilung und Risikominderung für Niederspannungsbetriebsmittel</w:t>
      </w:r>
      <w:r w:rsidR="00890797">
        <w:rPr>
          <w:rFonts w:ascii="Dax-Regular" w:hAnsi="Dax-Regular"/>
        </w:rPr>
        <w:t>.</w:t>
      </w:r>
      <w:r>
        <w:rPr>
          <w:rFonts w:ascii="Dax-Regular" w:hAnsi="Dax-Regular"/>
        </w:rPr>
        <w:t xml:space="preserve"> </w:t>
      </w:r>
      <w:r>
        <w:rPr>
          <w:rFonts w:ascii="Dax-Regular" w:hAnsi="Dax-Regular"/>
          <w:color w:val="0070C0"/>
        </w:rPr>
        <w:t xml:space="preserve">Bild </w:t>
      </w:r>
      <w:r w:rsidR="00D818C0">
        <w:rPr>
          <w:rFonts w:ascii="Dax-Regular" w:hAnsi="Dax-Regular"/>
          <w:color w:val="0070C0"/>
        </w:rPr>
        <w:t>2</w:t>
      </w:r>
      <w:r>
        <w:rPr>
          <w:rFonts w:ascii="Dax-Regular" w:hAnsi="Dax-Regular"/>
          <w:color w:val="0070C0"/>
        </w:rPr>
        <w:t xml:space="preserve"> (BU: Das Europäische Komitee für elektrische Normung (Cenelec) entwirft neben Normen auch Leitfäden – hier die Darstellung zur Risikoeinschätzung nach Cenelec Guide 32)</w:t>
      </w:r>
      <w:r>
        <w:rPr>
          <w:rFonts w:ascii="Dax-Regular" w:hAnsi="Dax-Regular"/>
        </w:rPr>
        <w:t xml:space="preserve">. Dieser orientiert sich stark an der </w:t>
      </w:r>
      <w:r w:rsidR="00246461">
        <w:rPr>
          <w:rFonts w:ascii="Dax-Regular" w:hAnsi="Dax-Regular"/>
        </w:rPr>
        <w:t xml:space="preserve">EN </w:t>
      </w:r>
      <w:r>
        <w:rPr>
          <w:rFonts w:ascii="Dax-Regular" w:hAnsi="Dax-Regular"/>
        </w:rPr>
        <w:t xml:space="preserve">ISO 12100. </w:t>
      </w:r>
      <w:r w:rsidR="00137DF5">
        <w:rPr>
          <w:rFonts w:ascii="Dax-Regular" w:hAnsi="Dax-Regular"/>
        </w:rPr>
        <w:t xml:space="preserve">Aufgrund des Umfangs dieser Norm ist es zwar möglich, diese auch für eine Risikobeurteilung für elektrische Betriebsmittel anzuwenden, doch der Schwerpunkt liegt auf Maschinen. Deshalb sind teils andere Lebensphasen zu betrachten und auch die Gefährdungen größtenteils auf Niederspannungsprodukte nicht anwendbar. </w:t>
      </w:r>
      <w:r>
        <w:rPr>
          <w:rFonts w:ascii="Dax-Regular" w:hAnsi="Dax-Regular"/>
        </w:rPr>
        <w:t xml:space="preserve">Der </w:t>
      </w:r>
      <w:r w:rsidR="00137DF5">
        <w:rPr>
          <w:rFonts w:ascii="Dax-Regular" w:hAnsi="Dax-Regular"/>
        </w:rPr>
        <w:t xml:space="preserve">CENELEC </w:t>
      </w:r>
      <w:r>
        <w:rPr>
          <w:rFonts w:ascii="Dax-Regular" w:hAnsi="Dax-Regular"/>
        </w:rPr>
        <w:t xml:space="preserve">Guide hält eine Darstellung bereit, die klar vorgibt, wie ein Risikoindex ermittelt wird. </w:t>
      </w:r>
    </w:p>
    <w:p w:rsidR="00F269E1" w:rsidRDefault="00890797" w:rsidP="00890797">
      <w:pPr>
        <w:rPr>
          <w:rFonts w:ascii="Dax-Regular" w:hAnsi="Dax-Regular"/>
        </w:rPr>
      </w:pPr>
      <w:r w:rsidRPr="00CD65E9">
        <w:rPr>
          <w:rFonts w:ascii="Dax-Regular" w:hAnsi="Dax-Regular"/>
        </w:rPr>
        <w:t>Die Elektromotoren sind vom Hersteller dazu bestimmt</w:t>
      </w:r>
      <w:r>
        <w:rPr>
          <w:rFonts w:ascii="Dax-Regular" w:hAnsi="Dax-Regular"/>
        </w:rPr>
        <w:t>,</w:t>
      </w:r>
      <w:r w:rsidRPr="00CD65E9">
        <w:rPr>
          <w:rFonts w:ascii="Dax-Regular" w:hAnsi="Dax-Regular"/>
        </w:rPr>
        <w:t xml:space="preserve"> von Fachpersonal </w:t>
      </w:r>
      <w:r w:rsidR="000B609E">
        <w:rPr>
          <w:rFonts w:ascii="Dax-Regular" w:hAnsi="Dax-Regular"/>
        </w:rPr>
        <w:t xml:space="preserve">z. B. </w:t>
      </w:r>
      <w:r w:rsidRPr="00CD65E9">
        <w:rPr>
          <w:rFonts w:ascii="Dax-Regular" w:hAnsi="Dax-Regular"/>
        </w:rPr>
        <w:t>in Maschinen installiert</w:t>
      </w:r>
      <w:r>
        <w:rPr>
          <w:rFonts w:ascii="Dax-Regular" w:hAnsi="Dax-Regular"/>
        </w:rPr>
        <w:t xml:space="preserve"> bzw. </w:t>
      </w:r>
      <w:r w:rsidRPr="00CD65E9">
        <w:rPr>
          <w:rFonts w:ascii="Dax-Regular" w:hAnsi="Dax-Regular"/>
        </w:rPr>
        <w:t xml:space="preserve">integriert und angeschlossen zu werden. </w:t>
      </w:r>
      <w:r w:rsidR="00FE22EA">
        <w:rPr>
          <w:rFonts w:ascii="Dax-Regular" w:hAnsi="Dax-Regular"/>
        </w:rPr>
        <w:t xml:space="preserve">Da sie nicht </w:t>
      </w:r>
      <w:r w:rsidRPr="00CD65E9">
        <w:rPr>
          <w:rFonts w:ascii="Dax-Regular" w:hAnsi="Dax-Regular"/>
        </w:rPr>
        <w:t xml:space="preserve">für den Endnutzer bestimmt </w:t>
      </w:r>
      <w:r w:rsidR="00FE22EA">
        <w:rPr>
          <w:rFonts w:ascii="Dax-Regular" w:hAnsi="Dax-Regular"/>
        </w:rPr>
        <w:t>sind, m</w:t>
      </w:r>
      <w:r w:rsidR="00F269E1">
        <w:rPr>
          <w:rFonts w:ascii="Dax-Regular" w:hAnsi="Dax-Regular"/>
        </w:rPr>
        <w:t>uss</w:t>
      </w:r>
      <w:r w:rsidRPr="00CD65E9">
        <w:rPr>
          <w:rFonts w:ascii="Dax-Regular" w:hAnsi="Dax-Regular"/>
        </w:rPr>
        <w:t xml:space="preserve"> </w:t>
      </w:r>
      <w:r w:rsidR="000B609E">
        <w:rPr>
          <w:rFonts w:ascii="Dax-Regular" w:hAnsi="Dax-Regular"/>
        </w:rPr>
        <w:t>die Richtlinie über elektromagnetische Verträglichkeit (EMV)</w:t>
      </w:r>
      <w:r w:rsidRPr="00CD65E9">
        <w:rPr>
          <w:rFonts w:ascii="Dax-Regular" w:hAnsi="Dax-Regular"/>
        </w:rPr>
        <w:t xml:space="preserve"> nicht betrachtet werden. </w:t>
      </w:r>
      <w:r w:rsidR="00FE22EA">
        <w:rPr>
          <w:rFonts w:ascii="Dax-Regular" w:hAnsi="Dax-Regular"/>
        </w:rPr>
        <w:t>Jedoch ist d</w:t>
      </w:r>
      <w:r w:rsidRPr="00CD65E9">
        <w:rPr>
          <w:rFonts w:ascii="Dax-Regular" w:hAnsi="Dax-Regular"/>
        </w:rPr>
        <w:t xml:space="preserve">er Elektromotor EMV konform zu konstruieren und </w:t>
      </w:r>
      <w:r w:rsidR="00F269E1">
        <w:rPr>
          <w:rFonts w:ascii="Dax-Regular" w:hAnsi="Dax-Regular"/>
        </w:rPr>
        <w:t xml:space="preserve">der </w:t>
      </w:r>
      <w:r w:rsidRPr="00CD65E9">
        <w:rPr>
          <w:rFonts w:ascii="Dax-Regular" w:hAnsi="Dax-Regular"/>
        </w:rPr>
        <w:t xml:space="preserve">Hersteller </w:t>
      </w:r>
      <w:r w:rsidR="00F269E1">
        <w:rPr>
          <w:rFonts w:ascii="Dax-Regular" w:hAnsi="Dax-Regular"/>
        </w:rPr>
        <w:t xml:space="preserve">muss Hinweise </w:t>
      </w:r>
      <w:r w:rsidRPr="00CD65E9">
        <w:rPr>
          <w:rFonts w:ascii="Dax-Regular" w:hAnsi="Dax-Regular"/>
        </w:rPr>
        <w:t>auf den EMV gerechten Anschluss nach den anerkannten Regeln</w:t>
      </w:r>
      <w:r w:rsidR="00FE22EA">
        <w:rPr>
          <w:rFonts w:ascii="Dax-Regular" w:hAnsi="Dax-Regular"/>
        </w:rPr>
        <w:t xml:space="preserve"> der Technik vorgeben. Gute EMV</w:t>
      </w:r>
      <w:r w:rsidR="00462868">
        <w:rPr>
          <w:rFonts w:ascii="Dax-Regular" w:hAnsi="Dax-Regular"/>
        </w:rPr>
        <w:t xml:space="preserve"> </w:t>
      </w:r>
      <w:r w:rsidR="00FE22EA">
        <w:rPr>
          <w:rFonts w:ascii="Dax-Regular" w:hAnsi="Dax-Regular"/>
        </w:rPr>
        <w:t xml:space="preserve">Eigenschaften spiegeln einen hohen Qualitätsstandard wider. </w:t>
      </w:r>
    </w:p>
    <w:p w:rsidR="00F269E1" w:rsidRPr="00194DC0" w:rsidRDefault="00F269E1" w:rsidP="00F269E1">
      <w:pPr>
        <w:rPr>
          <w:rFonts w:ascii="Dax-Regular" w:hAnsi="Dax-Regular"/>
          <w:b/>
        </w:rPr>
      </w:pPr>
      <w:r>
        <w:rPr>
          <w:rFonts w:ascii="Dax-Regular" w:hAnsi="Dax-Regular"/>
          <w:b/>
        </w:rPr>
        <w:t>Je nach Anwendungsfall die passende</w:t>
      </w:r>
      <w:r w:rsidRPr="00194DC0">
        <w:rPr>
          <w:rFonts w:ascii="Dax-Regular" w:hAnsi="Dax-Regular"/>
          <w:b/>
        </w:rPr>
        <w:t xml:space="preserve"> Richtlinie </w:t>
      </w:r>
      <w:r>
        <w:rPr>
          <w:rFonts w:ascii="Dax-Regular" w:hAnsi="Dax-Regular"/>
          <w:b/>
        </w:rPr>
        <w:t>anwenden</w:t>
      </w:r>
    </w:p>
    <w:p w:rsidR="00857FAD" w:rsidRDefault="00F269E1" w:rsidP="00F269E1">
      <w:pPr>
        <w:rPr>
          <w:rFonts w:ascii="Dax-Regular" w:hAnsi="Dax-Regular"/>
        </w:rPr>
      </w:pPr>
      <w:r>
        <w:rPr>
          <w:rFonts w:ascii="Dax-Regular" w:hAnsi="Dax-Regular"/>
        </w:rPr>
        <w:lastRenderedPageBreak/>
        <w:t>Plant ein Hersteller von Seilwinden beispielsweise, diese mit einem Elektromotor zu versehen, um elektrische Kettenzüge für den Maschinenbau anbieten zu können, so wird der Motor, der bereits eine CE-Kennzeichnung hat, mit einer weiteren Funktion verknüpft.</w:t>
      </w:r>
      <w:r w:rsidRPr="002F71AD">
        <w:rPr>
          <w:rFonts w:ascii="Dax-Regular" w:hAnsi="Dax-Regular"/>
        </w:rPr>
        <w:t xml:space="preserve"> </w:t>
      </w:r>
      <w:r>
        <w:rPr>
          <w:rFonts w:ascii="Dax-Regular" w:hAnsi="Dax-Regular"/>
        </w:rPr>
        <w:t xml:space="preserve">Es genügt nun nicht mehr, nur die elektrischen Gefährdungen, die vom Motor ausgehen, zu betrachten. </w:t>
      </w:r>
      <w:r w:rsidR="00857FAD">
        <w:rPr>
          <w:rFonts w:ascii="Dax-Regular" w:hAnsi="Dax-Regular"/>
        </w:rPr>
        <w:t>L</w:t>
      </w:r>
      <w:r>
        <w:rPr>
          <w:rFonts w:ascii="Dax-Regular" w:hAnsi="Dax-Regular"/>
        </w:rPr>
        <w:t xml:space="preserve">iegt </w:t>
      </w:r>
      <w:r w:rsidR="00857FAD">
        <w:rPr>
          <w:rFonts w:ascii="Dax-Regular" w:hAnsi="Dax-Regular"/>
        </w:rPr>
        <w:t>ihm</w:t>
      </w:r>
      <w:r>
        <w:rPr>
          <w:rFonts w:ascii="Dax-Regular" w:hAnsi="Dax-Regular"/>
        </w:rPr>
        <w:t xml:space="preserve"> der EMV-Prüfbericht der elektrischen Komponenten vor, spart er sich </w:t>
      </w:r>
      <w:r w:rsidR="00857FAD">
        <w:rPr>
          <w:rFonts w:ascii="Dax-Regular" w:hAnsi="Dax-Regular"/>
        </w:rPr>
        <w:t xml:space="preserve">jedoch </w:t>
      </w:r>
      <w:r>
        <w:rPr>
          <w:rFonts w:ascii="Dax-Regular" w:hAnsi="Dax-Regular"/>
        </w:rPr>
        <w:t xml:space="preserve">erheblichen </w:t>
      </w:r>
      <w:r w:rsidRPr="00F269E1">
        <w:rPr>
          <w:rFonts w:ascii="Dax-Regular" w:hAnsi="Dax-Regular"/>
        </w:rPr>
        <w:t>Aufwand</w:t>
      </w:r>
      <w:r>
        <w:rPr>
          <w:rFonts w:ascii="Dax-Regular" w:hAnsi="Dax-Regular"/>
        </w:rPr>
        <w:t xml:space="preserve">, da er diese Informationen über die EMV-Eigenschaften entsprechend in seine Risikobeurteilung </w:t>
      </w:r>
      <w:r w:rsidR="00462868">
        <w:rPr>
          <w:rFonts w:ascii="Dax-Regular" w:hAnsi="Dax-Regular"/>
        </w:rPr>
        <w:t xml:space="preserve">der Seilwinde </w:t>
      </w:r>
      <w:r>
        <w:rPr>
          <w:rFonts w:ascii="Dax-Regular" w:hAnsi="Dax-Regular"/>
        </w:rPr>
        <w:t>integrieren kann.</w:t>
      </w:r>
      <w:r w:rsidR="00857FAD">
        <w:rPr>
          <w:rFonts w:ascii="Dax-Regular" w:hAnsi="Dax-Regular"/>
        </w:rPr>
        <w:t xml:space="preserve"> </w:t>
      </w:r>
    </w:p>
    <w:p w:rsidR="00A95B95" w:rsidRDefault="00F269E1" w:rsidP="00A95B95">
      <w:pPr>
        <w:rPr>
          <w:rFonts w:ascii="Dax-Regular" w:hAnsi="Dax-Regular"/>
        </w:rPr>
      </w:pPr>
      <w:r>
        <w:rPr>
          <w:rFonts w:ascii="Dax-Regular" w:hAnsi="Dax-Regular"/>
        </w:rPr>
        <w:t xml:space="preserve">Darüber hinaus </w:t>
      </w:r>
      <w:r w:rsidR="00857FAD">
        <w:rPr>
          <w:rFonts w:ascii="Dax-Regular" w:hAnsi="Dax-Regular"/>
        </w:rPr>
        <w:t>muss er</w:t>
      </w:r>
      <w:r>
        <w:rPr>
          <w:rFonts w:ascii="Dax-Regular" w:hAnsi="Dax-Regular"/>
        </w:rPr>
        <w:t xml:space="preserve"> nun auch die Anforderungen der MRL betrachten</w:t>
      </w:r>
      <w:r w:rsidR="00857FAD">
        <w:rPr>
          <w:rFonts w:ascii="Dax-Regular" w:hAnsi="Dax-Regular"/>
        </w:rPr>
        <w:t>, denn die CE-</w:t>
      </w:r>
      <w:r w:rsidR="00D3157C">
        <w:rPr>
          <w:rFonts w:ascii="Dax-Regular" w:hAnsi="Dax-Regular"/>
        </w:rPr>
        <w:t>Kennzeichnung</w:t>
      </w:r>
      <w:r w:rsidR="00137DF5">
        <w:rPr>
          <w:rFonts w:ascii="Dax-Regular" w:hAnsi="Dax-Regular"/>
        </w:rPr>
        <w:t xml:space="preserve"> </w:t>
      </w:r>
      <w:r w:rsidR="00857FAD">
        <w:rPr>
          <w:rFonts w:ascii="Dax-Regular" w:hAnsi="Dax-Regular"/>
        </w:rPr>
        <w:t xml:space="preserve">auf dem Motor </w:t>
      </w:r>
      <w:r w:rsidR="00A95B95">
        <w:rPr>
          <w:rFonts w:ascii="Dax-Regular" w:hAnsi="Dax-Regular"/>
        </w:rPr>
        <w:t>bestätigt lediglich, dass d</w:t>
      </w:r>
      <w:r w:rsidR="00857FAD">
        <w:rPr>
          <w:rFonts w:ascii="Dax-Regular" w:hAnsi="Dax-Regular"/>
        </w:rPr>
        <w:t>ieser</w:t>
      </w:r>
      <w:r w:rsidR="00A95B95" w:rsidRPr="00BD5A0D">
        <w:rPr>
          <w:rFonts w:ascii="Dax-Regular" w:hAnsi="Dax-Regular"/>
        </w:rPr>
        <w:t xml:space="preserve"> </w:t>
      </w:r>
      <w:r w:rsidR="00462868">
        <w:rPr>
          <w:rFonts w:ascii="Dax-Regular" w:hAnsi="Dax-Regular"/>
        </w:rPr>
        <w:t xml:space="preserve">als </w:t>
      </w:r>
      <w:r w:rsidR="00A95B95" w:rsidRPr="00BD5A0D">
        <w:rPr>
          <w:rFonts w:ascii="Dax-Regular" w:hAnsi="Dax-Regular"/>
        </w:rPr>
        <w:t>elektrische</w:t>
      </w:r>
      <w:r w:rsidR="00A95B95">
        <w:rPr>
          <w:rFonts w:ascii="Dax-Regular" w:hAnsi="Dax-Regular"/>
        </w:rPr>
        <w:t>s</w:t>
      </w:r>
      <w:r w:rsidR="00A95B95" w:rsidRPr="00BD5A0D">
        <w:rPr>
          <w:rFonts w:ascii="Dax-Regular" w:hAnsi="Dax-Regular"/>
        </w:rPr>
        <w:t xml:space="preserve"> Betriebsmittel d</w:t>
      </w:r>
      <w:r w:rsidR="00A95B95">
        <w:rPr>
          <w:rFonts w:ascii="Dax-Regular" w:hAnsi="Dax-Regular"/>
        </w:rPr>
        <w:t>as Konformitätsbewertungsve</w:t>
      </w:r>
      <w:r w:rsidR="000B609E">
        <w:rPr>
          <w:rFonts w:ascii="Dax-Regular" w:hAnsi="Dax-Regular"/>
        </w:rPr>
        <w:t>rfahren durchlaufen hat und die</w:t>
      </w:r>
      <w:r w:rsidR="00A95B95" w:rsidRPr="00BD5A0D">
        <w:rPr>
          <w:rFonts w:ascii="Dax-Regular" w:hAnsi="Dax-Regular"/>
        </w:rPr>
        <w:t xml:space="preserve"> wesentlichen</w:t>
      </w:r>
      <w:r w:rsidR="00A95B95">
        <w:rPr>
          <w:rFonts w:ascii="Dax-Regular" w:hAnsi="Dax-Regular"/>
        </w:rPr>
        <w:t xml:space="preserve"> </w:t>
      </w:r>
      <w:r w:rsidR="00A95B95" w:rsidRPr="00BD5A0D">
        <w:rPr>
          <w:rFonts w:ascii="Dax-Regular" w:hAnsi="Dax-Regular"/>
        </w:rPr>
        <w:t>Anforderungen, die</w:t>
      </w:r>
      <w:r w:rsidR="00A95B95">
        <w:rPr>
          <w:rFonts w:ascii="Dax-Regular" w:hAnsi="Dax-Regular"/>
        </w:rPr>
        <w:t xml:space="preserve"> </w:t>
      </w:r>
      <w:r w:rsidR="00A95B95" w:rsidRPr="00BD5A0D">
        <w:rPr>
          <w:rFonts w:ascii="Dax-Regular" w:hAnsi="Dax-Regular"/>
        </w:rPr>
        <w:t xml:space="preserve">in </w:t>
      </w:r>
      <w:r w:rsidR="00A95B95">
        <w:rPr>
          <w:rFonts w:ascii="Dax-Regular" w:hAnsi="Dax-Regular"/>
        </w:rPr>
        <w:t xml:space="preserve">der LVD bekannt sind </w:t>
      </w:r>
      <w:r w:rsidR="00A95B95" w:rsidRPr="00BD5A0D">
        <w:rPr>
          <w:rFonts w:ascii="Dax-Regular" w:hAnsi="Dax-Regular"/>
        </w:rPr>
        <w:t>und d</w:t>
      </w:r>
      <w:r w:rsidR="00A95B95">
        <w:rPr>
          <w:rFonts w:ascii="Dax-Regular" w:hAnsi="Dax-Regular"/>
        </w:rPr>
        <w:t>ie</w:t>
      </w:r>
      <w:r w:rsidR="00A95B95" w:rsidRPr="00BD5A0D">
        <w:rPr>
          <w:rFonts w:ascii="Dax-Regular" w:hAnsi="Dax-Regular"/>
        </w:rPr>
        <w:t xml:space="preserve"> anderen für das Produkt geltend</w:t>
      </w:r>
      <w:r w:rsidR="00A95B95">
        <w:rPr>
          <w:rFonts w:ascii="Dax-Regular" w:hAnsi="Dax-Regular"/>
        </w:rPr>
        <w:t xml:space="preserve">en Richtlinien, erfüllt. </w:t>
      </w:r>
      <w:r w:rsidR="00137DF5">
        <w:rPr>
          <w:rFonts w:ascii="Dax-Regular" w:hAnsi="Dax-Regular"/>
        </w:rPr>
        <w:t>D</w:t>
      </w:r>
      <w:r w:rsidR="00A95B95">
        <w:rPr>
          <w:rFonts w:ascii="Dax-Regular" w:hAnsi="Dax-Regular"/>
        </w:rPr>
        <w:t>er Motorenhersteller</w:t>
      </w:r>
      <w:r w:rsidR="00A95B95" w:rsidRPr="00246461">
        <w:rPr>
          <w:rFonts w:ascii="Dax-Regular" w:hAnsi="Dax-Regular"/>
        </w:rPr>
        <w:t xml:space="preserve"> </w:t>
      </w:r>
      <w:r w:rsidR="00137DF5">
        <w:rPr>
          <w:rFonts w:ascii="Dax-Regular" w:hAnsi="Dax-Regular"/>
        </w:rPr>
        <w:t xml:space="preserve">erklärte </w:t>
      </w:r>
      <w:r w:rsidR="00A95B95" w:rsidRPr="00246461">
        <w:rPr>
          <w:rFonts w:ascii="Dax-Regular" w:hAnsi="Dax-Regular"/>
        </w:rPr>
        <w:t xml:space="preserve">somit die Rechtskonformität des </w:t>
      </w:r>
      <w:r w:rsidR="00A95B95">
        <w:rPr>
          <w:rFonts w:ascii="Dax-Regular" w:hAnsi="Dax-Regular"/>
        </w:rPr>
        <w:t>Elektromotors, aber</w:t>
      </w:r>
      <w:r w:rsidR="00A95B95" w:rsidRPr="00246461">
        <w:rPr>
          <w:rFonts w:ascii="Dax-Regular" w:hAnsi="Dax-Regular"/>
        </w:rPr>
        <w:t xml:space="preserve"> nicht die Tauglichkeit im Zusammenspiel mit </w:t>
      </w:r>
      <w:r w:rsidR="00A95B95">
        <w:rPr>
          <w:rFonts w:ascii="Dax-Regular" w:hAnsi="Dax-Regular"/>
        </w:rPr>
        <w:t>einer</w:t>
      </w:r>
      <w:r w:rsidR="00A95B95" w:rsidRPr="00246461">
        <w:rPr>
          <w:rFonts w:ascii="Dax-Regular" w:hAnsi="Dax-Regular"/>
        </w:rPr>
        <w:t xml:space="preserve"> Maschine.</w:t>
      </w:r>
      <w:r w:rsidR="0021260B">
        <w:rPr>
          <w:rFonts w:ascii="Dax-Regular" w:hAnsi="Dax-Regular"/>
        </w:rPr>
        <w:t xml:space="preserve"> </w:t>
      </w:r>
      <w:r w:rsidR="000B609E">
        <w:rPr>
          <w:rFonts w:ascii="Dax-Regular" w:hAnsi="Dax-Regular"/>
        </w:rPr>
        <w:t xml:space="preserve"> </w:t>
      </w:r>
    </w:p>
    <w:p w:rsidR="00851E90" w:rsidRDefault="000B609E" w:rsidP="00851E90">
      <w:pPr>
        <w:rPr>
          <w:rFonts w:ascii="Dax-Regular" w:hAnsi="Dax-Regular"/>
        </w:rPr>
      </w:pPr>
      <w:r>
        <w:rPr>
          <w:rFonts w:ascii="Dax-Regular" w:hAnsi="Dax-Regular"/>
        </w:rPr>
        <w:t>In der MRL</w:t>
      </w:r>
      <w:r w:rsidR="00851E90">
        <w:rPr>
          <w:rFonts w:ascii="Dax-Regular" w:hAnsi="Dax-Regular"/>
        </w:rPr>
        <w:t xml:space="preserve">, </w:t>
      </w:r>
      <w:r w:rsidR="00851E90" w:rsidRPr="00C333A7">
        <w:rPr>
          <w:rFonts w:ascii="Dax-Regular" w:hAnsi="Dax-Regular"/>
        </w:rPr>
        <w:t>Artikel 2</w:t>
      </w:r>
      <w:r w:rsidR="00851E90">
        <w:rPr>
          <w:rFonts w:ascii="Dax-Regular" w:hAnsi="Dax-Regular"/>
        </w:rPr>
        <w:t xml:space="preserve"> a, wird </w:t>
      </w:r>
      <w:r w:rsidR="00857FAD">
        <w:rPr>
          <w:rFonts w:ascii="Dax-Regular" w:hAnsi="Dax-Regular"/>
        </w:rPr>
        <w:t>beschrieben</w:t>
      </w:r>
      <w:r w:rsidR="00851E90">
        <w:rPr>
          <w:rFonts w:ascii="Dax-Regular" w:hAnsi="Dax-Regular"/>
        </w:rPr>
        <w:t>, was unter dem Begriff „Maschine“ zu verstehen ist. So heißt es z. B., dass eine Maschine „eine mit einem anderen Antriebssystem als der unmittelbar eingesetzten menschlichen oder tierischen Kraft ausgestattete oder dafür vorgesehenen Gesamtheit miteinander verbundener Teile oder Vorrichtungen ist</w:t>
      </w:r>
      <w:r w:rsidR="00851E90" w:rsidRPr="00C333A7">
        <w:rPr>
          <w:rFonts w:ascii="Dax-Regular" w:hAnsi="Dax-Regular"/>
        </w:rPr>
        <w:t>, von denen</w:t>
      </w:r>
      <w:r w:rsidR="00851E90">
        <w:rPr>
          <w:rFonts w:ascii="Dax-Regular" w:hAnsi="Dax-Regular"/>
        </w:rPr>
        <w:t xml:space="preserve"> </w:t>
      </w:r>
      <w:r w:rsidR="00851E90" w:rsidRPr="00C333A7">
        <w:rPr>
          <w:rFonts w:ascii="Dax-Regular" w:hAnsi="Dax-Regular"/>
        </w:rPr>
        <w:t>mindestens eines bzw. eine beweglich ist und die für</w:t>
      </w:r>
      <w:r w:rsidR="00851E90">
        <w:rPr>
          <w:rFonts w:ascii="Dax-Regular" w:hAnsi="Dax-Regular"/>
        </w:rPr>
        <w:t xml:space="preserve"> </w:t>
      </w:r>
      <w:r w:rsidR="00851E90" w:rsidRPr="00C333A7">
        <w:rPr>
          <w:rFonts w:ascii="Dax-Regular" w:hAnsi="Dax-Regular"/>
        </w:rPr>
        <w:t>eine bestimmt</w:t>
      </w:r>
      <w:r w:rsidR="00851E90">
        <w:rPr>
          <w:rFonts w:ascii="Dax-Regular" w:hAnsi="Dax-Regular"/>
        </w:rPr>
        <w:t xml:space="preserve">e Anwendung zusammengefügt sind“. </w:t>
      </w:r>
    </w:p>
    <w:p w:rsidR="0021260B" w:rsidRPr="0021260B" w:rsidRDefault="0021260B" w:rsidP="00851E90">
      <w:pPr>
        <w:rPr>
          <w:rFonts w:ascii="Dax-Regular" w:hAnsi="Dax-Regular"/>
          <w:b/>
        </w:rPr>
      </w:pPr>
      <w:r>
        <w:rPr>
          <w:rFonts w:ascii="Dax-Regular" w:hAnsi="Dax-Regular"/>
          <w:b/>
        </w:rPr>
        <w:t>Normen und Leitfäden unterstützen im Alltag</w:t>
      </w:r>
    </w:p>
    <w:p w:rsidR="007D7481" w:rsidRDefault="004F375F" w:rsidP="007D7481">
      <w:pPr>
        <w:rPr>
          <w:rFonts w:ascii="Dax-Regular" w:hAnsi="Dax-Regular"/>
        </w:rPr>
      </w:pPr>
      <w:r>
        <w:rPr>
          <w:rFonts w:ascii="Dax-Regular" w:hAnsi="Dax-Regular"/>
        </w:rPr>
        <w:t xml:space="preserve">Die </w:t>
      </w:r>
      <w:r w:rsidR="007D7481">
        <w:rPr>
          <w:rFonts w:ascii="Dax-Regular" w:hAnsi="Dax-Regular"/>
        </w:rPr>
        <w:t>EN ISO 12100:2010</w:t>
      </w:r>
      <w:r>
        <w:rPr>
          <w:rFonts w:ascii="Dax-Regular" w:hAnsi="Dax-Regular"/>
        </w:rPr>
        <w:t xml:space="preserve"> </w:t>
      </w:r>
      <w:r w:rsidR="002F71AD">
        <w:rPr>
          <w:rFonts w:ascii="Dax-Regular" w:hAnsi="Dax-Regular"/>
        </w:rPr>
        <w:t xml:space="preserve">ist </w:t>
      </w:r>
      <w:r w:rsidR="007D7481">
        <w:rPr>
          <w:rFonts w:ascii="Dax-Regular" w:hAnsi="Dax-Regular"/>
        </w:rPr>
        <w:t>die einzige Typ-A Norm, die unter der M</w:t>
      </w:r>
      <w:r w:rsidR="008F6B8A">
        <w:rPr>
          <w:rFonts w:ascii="Dax-Regular" w:hAnsi="Dax-Regular"/>
        </w:rPr>
        <w:t>RL</w:t>
      </w:r>
      <w:r w:rsidR="007D7481">
        <w:rPr>
          <w:rFonts w:ascii="Dax-Regular" w:hAnsi="Dax-Regular"/>
        </w:rPr>
        <w:t xml:space="preserve"> harmonisiert ist. Sie beschäftigt sich mit allgemeinen Gestaltungsleitsätzen einer Risikobeur</w:t>
      </w:r>
      <w:r w:rsidR="007D7481" w:rsidRPr="002B5286">
        <w:rPr>
          <w:rFonts w:ascii="Dax-Regular" w:hAnsi="Dax-Regular"/>
        </w:rPr>
        <w:t xml:space="preserve">teilung </w:t>
      </w:r>
      <w:r w:rsidR="007D7481">
        <w:rPr>
          <w:rFonts w:ascii="Dax-Regular" w:hAnsi="Dax-Regular"/>
        </w:rPr>
        <w:t xml:space="preserve">und Risikominderung und erklärt die Phasen im Lebenszyklus einer Maschine, Gefährdungsereignisse und Risiken. Die harmonisierte Norm beschreibt ziemlich detailliert die Faktoren, die zur Einstufung von Risiken berücksichtigt werden sollen. Dennoch bleiben Fragen offen: Wie wird die Höhe eines Risikos ermittelt? Um einen </w:t>
      </w:r>
      <w:r w:rsidR="007D7481" w:rsidRPr="002A3B5E">
        <w:rPr>
          <w:rFonts w:ascii="Dax-Regular" w:hAnsi="Dax-Regular"/>
        </w:rPr>
        <w:t xml:space="preserve">Risikofaktor zu bestimmen, muss der Hersteller die Höhe des Schadensausmaßes und die Eintrittswahrscheinlichkeit </w:t>
      </w:r>
      <w:r w:rsidR="007D7481">
        <w:rPr>
          <w:rFonts w:ascii="Dax-Regular" w:hAnsi="Dax-Regular"/>
        </w:rPr>
        <w:t xml:space="preserve">des Schadens </w:t>
      </w:r>
      <w:r w:rsidR="007D7481" w:rsidRPr="002A3B5E">
        <w:rPr>
          <w:rFonts w:ascii="Dax-Regular" w:hAnsi="Dax-Regular"/>
        </w:rPr>
        <w:t>ermitteln</w:t>
      </w:r>
      <w:r w:rsidR="007D7481">
        <w:rPr>
          <w:rFonts w:ascii="Dax-Regular" w:hAnsi="Dax-Regular"/>
        </w:rPr>
        <w:t xml:space="preserve">. </w:t>
      </w:r>
    </w:p>
    <w:p w:rsidR="007D7481" w:rsidRDefault="007D7481" w:rsidP="007D7481">
      <w:pPr>
        <w:rPr>
          <w:rFonts w:ascii="Dax-Regular" w:hAnsi="Dax-Regular"/>
        </w:rPr>
      </w:pPr>
      <w:r>
        <w:rPr>
          <w:rFonts w:ascii="Dax-Regular" w:hAnsi="Dax-Regular"/>
        </w:rPr>
        <w:t>Unklar bleibt, wie die zu berücksichtigenden Faktoren zu gewichten sind. Hierzu gibt es verschiedene Verfahren, die die Kriterien der Norm berücksichtigen und zu einer Quantifizierung des Risikos verhelfen. Eines davon ist das international bekannte Verfahren der Hazard Rating Numbers (HRN). Die Berechnung des Risikos basiert auf der Gewichtung einzeln auswählbarer Faktoren, die beim HRN-Verfahren gut unterteilt sind und am Ende einen Risikowert zwischen 0 und 13500 ergeben. Dieser große Bereich wird erneut unterteilt, so dass ein Risiko über 500 als inakzeptabel und  unter 5 als vernachlässigbar gilt. Die Faktoren anderer Verfahren variieren in ihrer Wertigkeit, bauen aber auf den gleichen Einstufungskriterien auf. Wichtig ist, ein Verfahren zu wählen, das den Anforderungen der Norm entspricht.</w:t>
      </w:r>
    </w:p>
    <w:p w:rsidR="007D7481" w:rsidRDefault="007D7481" w:rsidP="007D7481">
      <w:pPr>
        <w:rPr>
          <w:rFonts w:ascii="Dax-Regular" w:hAnsi="Dax-Regular"/>
        </w:rPr>
      </w:pPr>
      <w:r w:rsidRPr="003436E2">
        <w:rPr>
          <w:rFonts w:ascii="Dax-Regular" w:hAnsi="Dax-Regular"/>
        </w:rPr>
        <w:t>Sobald Risiken und Gefahren bekannt sind, muss der Hersteller die drei Stufen zur Vermeidung einleiten</w:t>
      </w:r>
      <w:r w:rsidR="00CE09F5">
        <w:rPr>
          <w:rFonts w:ascii="Dax-Regular" w:hAnsi="Dax-Regular"/>
        </w:rPr>
        <w:t xml:space="preserve">, </w:t>
      </w:r>
      <w:r w:rsidR="00CE09F5">
        <w:rPr>
          <w:rFonts w:ascii="Dax-Regular" w:hAnsi="Dax-Regular"/>
          <w:color w:val="0070C0"/>
        </w:rPr>
        <w:t xml:space="preserve">Bild </w:t>
      </w:r>
      <w:r w:rsidR="00D818C0">
        <w:rPr>
          <w:rFonts w:ascii="Dax-Regular" w:hAnsi="Dax-Regular"/>
          <w:color w:val="0070C0"/>
        </w:rPr>
        <w:t>3: 3-Stufenverfahren</w:t>
      </w:r>
      <w:r w:rsidR="00CE09F5">
        <w:rPr>
          <w:rFonts w:ascii="Dax-Regular" w:hAnsi="Dax-Regular"/>
          <w:color w:val="0070C0"/>
        </w:rPr>
        <w:t xml:space="preserve"> (BU: Maßnahmen gegen Gefährdungen werden nach dem Drei-Stufen-Verfahren bestimmt)</w:t>
      </w:r>
      <w:r w:rsidRPr="003436E2">
        <w:rPr>
          <w:rFonts w:ascii="Dax-Regular" w:hAnsi="Dax-Regular"/>
        </w:rPr>
        <w:t>. Die erste Stufe ist die inhärent sichere Konstruktion. Hier geht es darum, dass die Maschine</w:t>
      </w:r>
      <w:r w:rsidR="00D3157C">
        <w:rPr>
          <w:rFonts w:ascii="Dax-Regular" w:hAnsi="Dax-Regular"/>
        </w:rPr>
        <w:t xml:space="preserve"> </w:t>
      </w:r>
      <w:r w:rsidRPr="003436E2">
        <w:rPr>
          <w:rFonts w:ascii="Dax-Regular" w:hAnsi="Dax-Regular"/>
        </w:rPr>
        <w:t xml:space="preserve">sicher gebaut werden kann. </w:t>
      </w:r>
      <w:r>
        <w:rPr>
          <w:rFonts w:ascii="Dax-Regular" w:hAnsi="Dax-Regular"/>
        </w:rPr>
        <w:t xml:space="preserve">Denn nur in dieser Phase besteht die Möglichkeit, Risiken durch konstruktive Maßnahmen zu minimieren oder gar zu eliminieren. </w:t>
      </w:r>
      <w:r w:rsidRPr="00D365B0">
        <w:rPr>
          <w:rFonts w:ascii="Dax-Regular" w:hAnsi="Dax-Regular"/>
        </w:rPr>
        <w:t xml:space="preserve">Die zweite Stufe zur Vermeidung befasst sich mit den </w:t>
      </w:r>
      <w:r>
        <w:rPr>
          <w:rFonts w:ascii="Dax-Regular" w:hAnsi="Dax-Regular"/>
        </w:rPr>
        <w:t xml:space="preserve">ergänzenden </w:t>
      </w:r>
      <w:r w:rsidRPr="00D365B0">
        <w:rPr>
          <w:rFonts w:ascii="Dax-Regular" w:hAnsi="Dax-Regular"/>
        </w:rPr>
        <w:t>Schutzmaßnahmen. Sie betrachtet Sicherheitseinrichtungen wie Lichtschranken, Schutzzäune oder mechanische Abdeckungen</w:t>
      </w:r>
      <w:r>
        <w:rPr>
          <w:rFonts w:ascii="Dax-Regular" w:hAnsi="Dax-Regular"/>
        </w:rPr>
        <w:t xml:space="preserve">. </w:t>
      </w:r>
      <w:r w:rsidRPr="00D365B0">
        <w:rPr>
          <w:rFonts w:ascii="Dax-Regular" w:hAnsi="Dax-Regular"/>
        </w:rPr>
        <w:t xml:space="preserve">In der dritten Stufe geht es um Benutzerinformationen. Dort wird vor Restgefahren gewarnt. </w:t>
      </w:r>
    </w:p>
    <w:p w:rsidR="006D0C61" w:rsidRDefault="006D0C61" w:rsidP="007D7481">
      <w:pPr>
        <w:rPr>
          <w:rFonts w:ascii="Dax-Regular" w:hAnsi="Dax-Regular"/>
          <w:b/>
        </w:rPr>
      </w:pPr>
      <w:r>
        <w:rPr>
          <w:rFonts w:ascii="Dax-Regular" w:hAnsi="Dax-Regular"/>
          <w:b/>
        </w:rPr>
        <w:t xml:space="preserve">CE-Software </w:t>
      </w:r>
      <w:r w:rsidR="000B609E">
        <w:rPr>
          <w:rFonts w:ascii="Dax-Regular" w:hAnsi="Dax-Regular"/>
          <w:b/>
        </w:rPr>
        <w:t xml:space="preserve">vereinfacht </w:t>
      </w:r>
      <w:r w:rsidR="00F269E1">
        <w:rPr>
          <w:rFonts w:ascii="Dax-Regular" w:hAnsi="Dax-Regular"/>
          <w:b/>
        </w:rPr>
        <w:t xml:space="preserve">die </w:t>
      </w:r>
      <w:r w:rsidR="000B609E">
        <w:rPr>
          <w:rFonts w:ascii="Dax-Regular" w:hAnsi="Dax-Regular"/>
          <w:b/>
        </w:rPr>
        <w:t>Risikobeurteilung</w:t>
      </w:r>
    </w:p>
    <w:p w:rsidR="006D0C61" w:rsidRDefault="006D0C61" w:rsidP="007D7481">
      <w:pPr>
        <w:rPr>
          <w:rFonts w:ascii="Dax-Regular" w:hAnsi="Dax-Regular"/>
        </w:rPr>
      </w:pPr>
      <w:r>
        <w:rPr>
          <w:rFonts w:ascii="Dax-Regular" w:hAnsi="Dax-Regular"/>
        </w:rPr>
        <w:lastRenderedPageBreak/>
        <w:t xml:space="preserve">Um die </w:t>
      </w:r>
      <w:r w:rsidRPr="006D0C61">
        <w:rPr>
          <w:rFonts w:ascii="Dax-Regular" w:hAnsi="Dax-Regular"/>
        </w:rPr>
        <w:t xml:space="preserve">normenkonforme Durchführung und Dokumentation von Risikobeurteilungen </w:t>
      </w:r>
      <w:r>
        <w:rPr>
          <w:rFonts w:ascii="Dax-Regular" w:hAnsi="Dax-Regular"/>
        </w:rPr>
        <w:t xml:space="preserve">zu vereinfachen, entwickelte der Spezialist im Bereich Maschinensicherheit CE-CON eine entsprechende Cloud-Software. </w:t>
      </w:r>
      <w:r w:rsidR="003E1640">
        <w:rPr>
          <w:rFonts w:ascii="Dax-Regular" w:hAnsi="Dax-Regular"/>
        </w:rPr>
        <w:t xml:space="preserve">CE-CON Safety </w:t>
      </w:r>
      <w:r w:rsidR="00D3157C">
        <w:rPr>
          <w:rFonts w:ascii="Dax-Regular" w:hAnsi="Dax-Regular"/>
        </w:rPr>
        <w:t xml:space="preserve">unterstützt Hersteller dabei, den Anforderungen an die Sicherheit gerecht zu werden. </w:t>
      </w:r>
      <w:r w:rsidR="003E1640">
        <w:rPr>
          <w:rFonts w:ascii="Dax-Regular" w:hAnsi="Dax-Regular"/>
        </w:rPr>
        <w:t xml:space="preserve">Die Risikobewertung selbst wird im Programm nach dem Ausschluss-Prinzip erstellt: Nicht auftretende Gefährdungen werden ausgeschlossen, identifizierte Gefahrenstellen und Maßnahmen zur Minderung des Risikos werden beschrieben und in das Projekt importiert. </w:t>
      </w:r>
      <w:r w:rsidR="00470C8D">
        <w:rPr>
          <w:rFonts w:ascii="Dax-Regular" w:hAnsi="Dax-Regular"/>
          <w:color w:val="0070C0"/>
        </w:rPr>
        <w:t xml:space="preserve">Bild </w:t>
      </w:r>
      <w:r w:rsidR="00D818C0">
        <w:rPr>
          <w:rFonts w:ascii="Dax-Regular" w:hAnsi="Dax-Regular"/>
          <w:color w:val="0070C0"/>
        </w:rPr>
        <w:t>4: Risikoeinstufung</w:t>
      </w:r>
      <w:bookmarkStart w:id="0" w:name="_GoBack"/>
      <w:bookmarkEnd w:id="0"/>
      <w:r w:rsidR="00470C8D">
        <w:rPr>
          <w:rFonts w:ascii="Dax-Regular" w:hAnsi="Dax-Regular"/>
          <w:color w:val="0070C0"/>
        </w:rPr>
        <w:t xml:space="preserve"> (BU: Software zeigt auf</w:t>
      </w:r>
      <w:r w:rsidR="00470C8D" w:rsidRPr="002C5628">
        <w:rPr>
          <w:rFonts w:ascii="Dax-Regular" w:hAnsi="Dax-Regular"/>
          <w:color w:val="0070C0"/>
        </w:rPr>
        <w:t>, für welche identifizierten Gefährdungen das Risiko noch nicht hinreichend gemindert wurde</w:t>
      </w:r>
      <w:r w:rsidR="00470C8D">
        <w:rPr>
          <w:rFonts w:ascii="Dax-Regular" w:hAnsi="Dax-Regular"/>
          <w:color w:val="0070C0"/>
        </w:rPr>
        <w:t>)</w:t>
      </w:r>
      <w:r w:rsidR="00470C8D">
        <w:rPr>
          <w:rFonts w:ascii="Dax-Regular" w:hAnsi="Dax-Regular"/>
        </w:rPr>
        <w:t xml:space="preserve">. </w:t>
      </w:r>
      <w:r w:rsidR="003E1640">
        <w:rPr>
          <w:rFonts w:ascii="Dax-Regular" w:hAnsi="Dax-Regular"/>
        </w:rPr>
        <w:t xml:space="preserve">Für Piktogramme, Performance-Level und Benutzer-Informationen können Checklisten erstellt werden, die der Verantwortliche „vor Ort“ abarbeiten kann. </w:t>
      </w:r>
      <w:r w:rsidR="00D3157C">
        <w:rPr>
          <w:rFonts w:ascii="Dax-Regular" w:hAnsi="Dax-Regular"/>
        </w:rPr>
        <w:t xml:space="preserve">Die </w:t>
      </w:r>
      <w:r w:rsidR="003E1640">
        <w:rPr>
          <w:rFonts w:ascii="Dax-Regular" w:hAnsi="Dax-Regular"/>
        </w:rPr>
        <w:t xml:space="preserve">Software </w:t>
      </w:r>
      <w:r w:rsidR="00D3157C">
        <w:rPr>
          <w:rFonts w:ascii="Dax-Regular" w:hAnsi="Dax-Regular"/>
        </w:rPr>
        <w:t xml:space="preserve">hilft den </w:t>
      </w:r>
      <w:r w:rsidR="003E1640">
        <w:rPr>
          <w:rFonts w:ascii="Dax-Regular" w:hAnsi="Dax-Regular"/>
        </w:rPr>
        <w:t>Anwender</w:t>
      </w:r>
      <w:r w:rsidR="00D3157C">
        <w:rPr>
          <w:rFonts w:ascii="Dax-Regular" w:hAnsi="Dax-Regular"/>
        </w:rPr>
        <w:t>n, passende Richtlinien anzuwenden und die Dokumentation einschließlich EG-Erklärung zu erstellen.</w:t>
      </w:r>
      <w:r w:rsidR="003E1640">
        <w:rPr>
          <w:rFonts w:ascii="Dax-Regular" w:hAnsi="Dax-Regular"/>
        </w:rPr>
        <w:t xml:space="preserve"> </w:t>
      </w:r>
    </w:p>
    <w:p w:rsidR="002C5628" w:rsidRPr="006D0C61" w:rsidRDefault="002C5628" w:rsidP="007D7481">
      <w:pPr>
        <w:rPr>
          <w:rFonts w:ascii="Dax-Regular" w:hAnsi="Dax-Regular"/>
        </w:rPr>
      </w:pPr>
      <w:r>
        <w:rPr>
          <w:rFonts w:ascii="Dax-Regular" w:hAnsi="Dax-Regular"/>
        </w:rPr>
        <w:t>Alexandra Langstrof</w:t>
      </w:r>
    </w:p>
    <w:p w:rsidR="001808EF" w:rsidRDefault="008351DC" w:rsidP="001808EF">
      <w:pPr>
        <w:rPr>
          <w:rFonts w:ascii="Dax-Regular" w:hAnsi="Dax-Regular"/>
        </w:rPr>
      </w:pPr>
      <w:r>
        <w:rPr>
          <w:rFonts w:ascii="Dax-Regular" w:hAnsi="Dax-Regular"/>
          <w:vertAlign w:val="superscript"/>
        </w:rPr>
        <w:t>1</w:t>
      </w:r>
      <w:r>
        <w:rPr>
          <w:rFonts w:ascii="Dax-Regular" w:hAnsi="Dax-Regular"/>
        </w:rPr>
        <w:t xml:space="preserve">: </w:t>
      </w:r>
      <w:r w:rsidRPr="008351DC">
        <w:rPr>
          <w:rFonts w:ascii="Dax-Regular" w:hAnsi="Dax-Regular"/>
        </w:rPr>
        <w:t xml:space="preserve">Zitat aus der Niederspannungsrichtlinie 2014/35/EU, Anhang III, Modul A, interne Fertigungskontrolle, 2. Technische </w:t>
      </w:r>
      <w:r w:rsidRPr="008351DC">
        <w:rPr>
          <w:rFonts w:ascii="Times New Roman" w:hAnsi="Times New Roman" w:cs="Times New Roman"/>
        </w:rPr>
        <w:t>­</w:t>
      </w:r>
      <w:r w:rsidRPr="008351DC">
        <w:rPr>
          <w:rFonts w:ascii="Dax-Regular" w:hAnsi="Dax-Regular"/>
        </w:rPr>
        <w:t>Unterlagen</w:t>
      </w:r>
    </w:p>
    <w:p w:rsidR="002C5628" w:rsidRPr="002C5628" w:rsidRDefault="002C5628" w:rsidP="002C5628">
      <w:pPr>
        <w:rPr>
          <w:rFonts w:ascii="Dax-Regular" w:hAnsi="Dax-Regular"/>
          <w:i/>
        </w:rPr>
      </w:pPr>
      <w:r w:rsidRPr="002C5628">
        <w:rPr>
          <w:rFonts w:ascii="Dax-Regular" w:hAnsi="Dax-Regular"/>
          <w:i/>
        </w:rPr>
        <w:t>Alexandra Langstrof ist als freie Journalistin in Erkrath tätig.</w:t>
      </w:r>
    </w:p>
    <w:p w:rsidR="002C5628" w:rsidRPr="002C5628" w:rsidRDefault="002C5628" w:rsidP="002C5628">
      <w:pPr>
        <w:rPr>
          <w:rFonts w:ascii="Dax-Regular" w:hAnsi="Dax-Regular"/>
          <w:color w:val="0070C0"/>
          <w:lang w:val="en-US"/>
        </w:rPr>
      </w:pPr>
      <w:r w:rsidRPr="002C5628">
        <w:rPr>
          <w:rFonts w:ascii="Dax-Regular" w:hAnsi="Dax-Regular"/>
          <w:color w:val="0070C0"/>
          <w:lang w:val="en-US"/>
        </w:rPr>
        <w:t>Info</w:t>
      </w:r>
    </w:p>
    <w:p w:rsidR="002C5628" w:rsidRPr="00A10BB0" w:rsidRDefault="002C5628" w:rsidP="002C5628">
      <w:pPr>
        <w:rPr>
          <w:rFonts w:ascii="Dax-Regular" w:hAnsi="Dax-Regular"/>
        </w:rPr>
      </w:pPr>
      <w:r w:rsidRPr="002C5628">
        <w:rPr>
          <w:rFonts w:ascii="Dax-Regular" w:hAnsi="Dax-Regular"/>
          <w:lang w:val="en-US"/>
        </w:rPr>
        <w:t xml:space="preserve">CE-CON GmbH, Lloydstr. </w:t>
      </w:r>
      <w:r>
        <w:rPr>
          <w:rFonts w:ascii="Dax-Regular" w:hAnsi="Dax-Regular"/>
        </w:rPr>
        <w:t>4-6,</w:t>
      </w:r>
      <w:r>
        <w:rPr>
          <w:rFonts w:ascii="Dax-Regular" w:hAnsi="Dax-Regular"/>
        </w:rPr>
        <w:br/>
        <w:t>28217 Bremen, Tel. 0421 / 944 06 74-0,</w:t>
      </w:r>
      <w:r>
        <w:rPr>
          <w:rFonts w:ascii="Dax-Regular" w:hAnsi="Dax-Regular"/>
        </w:rPr>
        <w:br/>
        <w:t xml:space="preserve">E-Mail: </w:t>
      </w:r>
      <w:hyperlink r:id="rId7" w:history="1">
        <w:r w:rsidRPr="004A3F62">
          <w:rPr>
            <w:rStyle w:val="Hyperlink"/>
            <w:rFonts w:ascii="Dax-Regular" w:hAnsi="Dax-Regular"/>
          </w:rPr>
          <w:t>bremen@ce-con.de</w:t>
        </w:r>
      </w:hyperlink>
      <w:r>
        <w:rPr>
          <w:rFonts w:ascii="Dax-Regular" w:hAnsi="Dax-Regular"/>
        </w:rPr>
        <w:t>, Internet: www.ce-con.de</w:t>
      </w:r>
    </w:p>
    <w:p w:rsidR="002C5628" w:rsidRDefault="002C5628" w:rsidP="001808EF">
      <w:pPr>
        <w:rPr>
          <w:rFonts w:ascii="Dax-Regular" w:hAnsi="Dax-Regular"/>
        </w:rPr>
      </w:pPr>
    </w:p>
    <w:p w:rsidR="002C5628" w:rsidRPr="008351DC" w:rsidRDefault="002C5628" w:rsidP="001808EF">
      <w:pPr>
        <w:rPr>
          <w:rFonts w:ascii="Dax-Regular" w:hAnsi="Dax-Regular"/>
        </w:rPr>
      </w:pPr>
    </w:p>
    <w:p w:rsidR="00F85053" w:rsidRPr="004C1B59" w:rsidRDefault="00F85053" w:rsidP="00F85053">
      <w:pPr>
        <w:rPr>
          <w:rFonts w:ascii="Dax-Regular" w:hAnsi="Dax-Regular"/>
        </w:rPr>
      </w:pPr>
    </w:p>
    <w:sectPr w:rsidR="00F85053" w:rsidRPr="004C1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Regular">
    <w:altName w:val="Times New Roman"/>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748C"/>
    <w:multiLevelType w:val="hybridMultilevel"/>
    <w:tmpl w:val="C8805A7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F6083D"/>
    <w:multiLevelType w:val="hybridMultilevel"/>
    <w:tmpl w:val="3D4CFA2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AF"/>
    <w:rsid w:val="00031B28"/>
    <w:rsid w:val="00065FEC"/>
    <w:rsid w:val="00084B78"/>
    <w:rsid w:val="000A671D"/>
    <w:rsid w:val="000B609E"/>
    <w:rsid w:val="000E7015"/>
    <w:rsid w:val="000F04DD"/>
    <w:rsid w:val="0012506A"/>
    <w:rsid w:val="00137DF5"/>
    <w:rsid w:val="001808EF"/>
    <w:rsid w:val="001875C3"/>
    <w:rsid w:val="00194DC0"/>
    <w:rsid w:val="001B3544"/>
    <w:rsid w:val="001C04DF"/>
    <w:rsid w:val="00205014"/>
    <w:rsid w:val="0021260B"/>
    <w:rsid w:val="0022209E"/>
    <w:rsid w:val="00224D3C"/>
    <w:rsid w:val="00246461"/>
    <w:rsid w:val="002479AA"/>
    <w:rsid w:val="00253578"/>
    <w:rsid w:val="002A30B1"/>
    <w:rsid w:val="002C5628"/>
    <w:rsid w:val="002E54F8"/>
    <w:rsid w:val="002F06FE"/>
    <w:rsid w:val="002F71AD"/>
    <w:rsid w:val="00301BDE"/>
    <w:rsid w:val="00311A42"/>
    <w:rsid w:val="00315E00"/>
    <w:rsid w:val="00341F7B"/>
    <w:rsid w:val="00371CF2"/>
    <w:rsid w:val="00386ABB"/>
    <w:rsid w:val="003E1640"/>
    <w:rsid w:val="0041364E"/>
    <w:rsid w:val="00443E4C"/>
    <w:rsid w:val="00450EBA"/>
    <w:rsid w:val="00462868"/>
    <w:rsid w:val="004647C9"/>
    <w:rsid w:val="00470C8D"/>
    <w:rsid w:val="004A4CE8"/>
    <w:rsid w:val="004C0F10"/>
    <w:rsid w:val="004C1B59"/>
    <w:rsid w:val="004E1B90"/>
    <w:rsid w:val="004F375F"/>
    <w:rsid w:val="004F54EE"/>
    <w:rsid w:val="00530BC5"/>
    <w:rsid w:val="00536F8D"/>
    <w:rsid w:val="005962BE"/>
    <w:rsid w:val="005A1357"/>
    <w:rsid w:val="005C216C"/>
    <w:rsid w:val="005E1490"/>
    <w:rsid w:val="005E556C"/>
    <w:rsid w:val="005F6E79"/>
    <w:rsid w:val="0061154F"/>
    <w:rsid w:val="00623971"/>
    <w:rsid w:val="00681C51"/>
    <w:rsid w:val="006A3A7F"/>
    <w:rsid w:val="006C4251"/>
    <w:rsid w:val="006D0566"/>
    <w:rsid w:val="006D0C61"/>
    <w:rsid w:val="006F12DD"/>
    <w:rsid w:val="0071297F"/>
    <w:rsid w:val="00750C62"/>
    <w:rsid w:val="00767E3B"/>
    <w:rsid w:val="007743EB"/>
    <w:rsid w:val="00781651"/>
    <w:rsid w:val="00782E5E"/>
    <w:rsid w:val="007B25A9"/>
    <w:rsid w:val="007D57B0"/>
    <w:rsid w:val="007D7481"/>
    <w:rsid w:val="008351DC"/>
    <w:rsid w:val="00836C0B"/>
    <w:rsid w:val="00851E90"/>
    <w:rsid w:val="00857FAD"/>
    <w:rsid w:val="00870658"/>
    <w:rsid w:val="008728C3"/>
    <w:rsid w:val="00877693"/>
    <w:rsid w:val="00890797"/>
    <w:rsid w:val="008B31D4"/>
    <w:rsid w:val="008B7DEE"/>
    <w:rsid w:val="008C2037"/>
    <w:rsid w:val="008F3DFF"/>
    <w:rsid w:val="008F6B8A"/>
    <w:rsid w:val="00904D92"/>
    <w:rsid w:val="00920BFC"/>
    <w:rsid w:val="00922F19"/>
    <w:rsid w:val="009572B1"/>
    <w:rsid w:val="0096530B"/>
    <w:rsid w:val="009759F3"/>
    <w:rsid w:val="009E6298"/>
    <w:rsid w:val="009F4A2C"/>
    <w:rsid w:val="009F56BD"/>
    <w:rsid w:val="00A1622E"/>
    <w:rsid w:val="00A65FA4"/>
    <w:rsid w:val="00A71178"/>
    <w:rsid w:val="00A76C54"/>
    <w:rsid w:val="00A868E5"/>
    <w:rsid w:val="00A95B95"/>
    <w:rsid w:val="00AC2E0E"/>
    <w:rsid w:val="00AD4E7C"/>
    <w:rsid w:val="00AF5E5F"/>
    <w:rsid w:val="00B37D6F"/>
    <w:rsid w:val="00BA752D"/>
    <w:rsid w:val="00BC032A"/>
    <w:rsid w:val="00BC517D"/>
    <w:rsid w:val="00BC5703"/>
    <w:rsid w:val="00BD5A0D"/>
    <w:rsid w:val="00BD5E8A"/>
    <w:rsid w:val="00BF0C92"/>
    <w:rsid w:val="00C03415"/>
    <w:rsid w:val="00C333A7"/>
    <w:rsid w:val="00C6107E"/>
    <w:rsid w:val="00C72717"/>
    <w:rsid w:val="00C73FCD"/>
    <w:rsid w:val="00C75762"/>
    <w:rsid w:val="00C871E0"/>
    <w:rsid w:val="00CB614C"/>
    <w:rsid w:val="00CC775A"/>
    <w:rsid w:val="00CC7CDD"/>
    <w:rsid w:val="00CD65E9"/>
    <w:rsid w:val="00CD7BBE"/>
    <w:rsid w:val="00CE09F5"/>
    <w:rsid w:val="00D052BD"/>
    <w:rsid w:val="00D13BC8"/>
    <w:rsid w:val="00D1454E"/>
    <w:rsid w:val="00D3157C"/>
    <w:rsid w:val="00D60F2C"/>
    <w:rsid w:val="00D625A9"/>
    <w:rsid w:val="00D65581"/>
    <w:rsid w:val="00D818C0"/>
    <w:rsid w:val="00D833F5"/>
    <w:rsid w:val="00D84329"/>
    <w:rsid w:val="00DB45AD"/>
    <w:rsid w:val="00DC47FF"/>
    <w:rsid w:val="00DC6740"/>
    <w:rsid w:val="00DD1752"/>
    <w:rsid w:val="00DD298F"/>
    <w:rsid w:val="00DD32DB"/>
    <w:rsid w:val="00DF0425"/>
    <w:rsid w:val="00E44404"/>
    <w:rsid w:val="00E45E26"/>
    <w:rsid w:val="00E678E7"/>
    <w:rsid w:val="00E72F0E"/>
    <w:rsid w:val="00E85F4F"/>
    <w:rsid w:val="00EA58D7"/>
    <w:rsid w:val="00EB6C59"/>
    <w:rsid w:val="00EB7DA8"/>
    <w:rsid w:val="00EF1B00"/>
    <w:rsid w:val="00EF42AF"/>
    <w:rsid w:val="00EF5EEB"/>
    <w:rsid w:val="00EF6F77"/>
    <w:rsid w:val="00F03BF7"/>
    <w:rsid w:val="00F04818"/>
    <w:rsid w:val="00F269E1"/>
    <w:rsid w:val="00F37C0F"/>
    <w:rsid w:val="00F5123E"/>
    <w:rsid w:val="00F85053"/>
    <w:rsid w:val="00F942D1"/>
    <w:rsid w:val="00FA152E"/>
    <w:rsid w:val="00FD127C"/>
    <w:rsid w:val="00FD5930"/>
    <w:rsid w:val="00FE2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A4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3578"/>
    <w:pPr>
      <w:ind w:left="720"/>
      <w:contextualSpacing/>
    </w:pPr>
  </w:style>
  <w:style w:type="character" w:customStyle="1" w:styleId="berschrift1Zchn">
    <w:name w:val="Überschrift 1 Zchn"/>
    <w:basedOn w:val="Absatz-Standardschriftart"/>
    <w:link w:val="berschrift1"/>
    <w:uiPriority w:val="9"/>
    <w:rsid w:val="004A4CE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4647C9"/>
    <w:rPr>
      <w:color w:val="0000FF" w:themeColor="hyperlink"/>
      <w:u w:val="single"/>
    </w:rPr>
  </w:style>
  <w:style w:type="character" w:styleId="Kommentarzeichen">
    <w:name w:val="annotation reference"/>
    <w:basedOn w:val="Absatz-Standardschriftart"/>
    <w:uiPriority w:val="99"/>
    <w:semiHidden/>
    <w:unhideWhenUsed/>
    <w:rsid w:val="006F12DD"/>
    <w:rPr>
      <w:sz w:val="18"/>
      <w:szCs w:val="18"/>
    </w:rPr>
  </w:style>
  <w:style w:type="paragraph" w:styleId="Kommentartext">
    <w:name w:val="annotation text"/>
    <w:basedOn w:val="Standard"/>
    <w:link w:val="KommentartextZchn"/>
    <w:uiPriority w:val="99"/>
    <w:semiHidden/>
    <w:unhideWhenUsed/>
    <w:rsid w:val="006F12D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F12DD"/>
    <w:rPr>
      <w:sz w:val="24"/>
      <w:szCs w:val="24"/>
    </w:rPr>
  </w:style>
  <w:style w:type="paragraph" w:styleId="Kommentarthema">
    <w:name w:val="annotation subject"/>
    <w:basedOn w:val="Kommentartext"/>
    <w:next w:val="Kommentartext"/>
    <w:link w:val="KommentarthemaZchn"/>
    <w:uiPriority w:val="99"/>
    <w:semiHidden/>
    <w:unhideWhenUsed/>
    <w:rsid w:val="006F12DD"/>
    <w:rPr>
      <w:b/>
      <w:bCs/>
      <w:sz w:val="20"/>
      <w:szCs w:val="20"/>
    </w:rPr>
  </w:style>
  <w:style w:type="character" w:customStyle="1" w:styleId="KommentarthemaZchn">
    <w:name w:val="Kommentarthema Zchn"/>
    <w:basedOn w:val="KommentartextZchn"/>
    <w:link w:val="Kommentarthema"/>
    <w:uiPriority w:val="99"/>
    <w:semiHidden/>
    <w:rsid w:val="006F12DD"/>
    <w:rPr>
      <w:b/>
      <w:bCs/>
      <w:sz w:val="20"/>
      <w:szCs w:val="20"/>
    </w:rPr>
  </w:style>
  <w:style w:type="paragraph" w:styleId="Sprechblasentext">
    <w:name w:val="Balloon Text"/>
    <w:basedOn w:val="Standard"/>
    <w:link w:val="SprechblasentextZchn"/>
    <w:uiPriority w:val="99"/>
    <w:semiHidden/>
    <w:unhideWhenUsed/>
    <w:rsid w:val="006F12D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F12DD"/>
    <w:rPr>
      <w:rFonts w:ascii="Times New Roman" w:hAnsi="Times New Roman" w:cs="Times New Roman"/>
      <w:sz w:val="18"/>
      <w:szCs w:val="18"/>
    </w:rPr>
  </w:style>
  <w:style w:type="paragraph" w:styleId="berarbeitung">
    <w:name w:val="Revision"/>
    <w:hidden/>
    <w:uiPriority w:val="99"/>
    <w:semiHidden/>
    <w:rsid w:val="006C42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A4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3578"/>
    <w:pPr>
      <w:ind w:left="720"/>
      <w:contextualSpacing/>
    </w:pPr>
  </w:style>
  <w:style w:type="character" w:customStyle="1" w:styleId="berschrift1Zchn">
    <w:name w:val="Überschrift 1 Zchn"/>
    <w:basedOn w:val="Absatz-Standardschriftart"/>
    <w:link w:val="berschrift1"/>
    <w:uiPriority w:val="9"/>
    <w:rsid w:val="004A4CE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4647C9"/>
    <w:rPr>
      <w:color w:val="0000FF" w:themeColor="hyperlink"/>
      <w:u w:val="single"/>
    </w:rPr>
  </w:style>
  <w:style w:type="character" w:styleId="Kommentarzeichen">
    <w:name w:val="annotation reference"/>
    <w:basedOn w:val="Absatz-Standardschriftart"/>
    <w:uiPriority w:val="99"/>
    <w:semiHidden/>
    <w:unhideWhenUsed/>
    <w:rsid w:val="006F12DD"/>
    <w:rPr>
      <w:sz w:val="18"/>
      <w:szCs w:val="18"/>
    </w:rPr>
  </w:style>
  <w:style w:type="paragraph" w:styleId="Kommentartext">
    <w:name w:val="annotation text"/>
    <w:basedOn w:val="Standard"/>
    <w:link w:val="KommentartextZchn"/>
    <w:uiPriority w:val="99"/>
    <w:semiHidden/>
    <w:unhideWhenUsed/>
    <w:rsid w:val="006F12D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F12DD"/>
    <w:rPr>
      <w:sz w:val="24"/>
      <w:szCs w:val="24"/>
    </w:rPr>
  </w:style>
  <w:style w:type="paragraph" w:styleId="Kommentarthema">
    <w:name w:val="annotation subject"/>
    <w:basedOn w:val="Kommentartext"/>
    <w:next w:val="Kommentartext"/>
    <w:link w:val="KommentarthemaZchn"/>
    <w:uiPriority w:val="99"/>
    <w:semiHidden/>
    <w:unhideWhenUsed/>
    <w:rsid w:val="006F12DD"/>
    <w:rPr>
      <w:b/>
      <w:bCs/>
      <w:sz w:val="20"/>
      <w:szCs w:val="20"/>
    </w:rPr>
  </w:style>
  <w:style w:type="character" w:customStyle="1" w:styleId="KommentarthemaZchn">
    <w:name w:val="Kommentarthema Zchn"/>
    <w:basedOn w:val="KommentartextZchn"/>
    <w:link w:val="Kommentarthema"/>
    <w:uiPriority w:val="99"/>
    <w:semiHidden/>
    <w:rsid w:val="006F12DD"/>
    <w:rPr>
      <w:b/>
      <w:bCs/>
      <w:sz w:val="20"/>
      <w:szCs w:val="20"/>
    </w:rPr>
  </w:style>
  <w:style w:type="paragraph" w:styleId="Sprechblasentext">
    <w:name w:val="Balloon Text"/>
    <w:basedOn w:val="Standard"/>
    <w:link w:val="SprechblasentextZchn"/>
    <w:uiPriority w:val="99"/>
    <w:semiHidden/>
    <w:unhideWhenUsed/>
    <w:rsid w:val="006F12D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F12DD"/>
    <w:rPr>
      <w:rFonts w:ascii="Times New Roman" w:hAnsi="Times New Roman" w:cs="Times New Roman"/>
      <w:sz w:val="18"/>
      <w:szCs w:val="18"/>
    </w:rPr>
  </w:style>
  <w:style w:type="paragraph" w:styleId="berarbeitung">
    <w:name w:val="Revision"/>
    <w:hidden/>
    <w:uiPriority w:val="99"/>
    <w:semiHidden/>
    <w:rsid w:val="006C4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emen@ce-co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6A0A-3F19-4F42-B339-9E117119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7690</Characters>
  <Application>Microsoft Office Word</Application>
  <DocSecurity>0</DocSecurity>
  <Lines>113</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Langstrof</dc:creator>
  <cp:lastModifiedBy>Alexandra Langstrof</cp:lastModifiedBy>
  <cp:revision>16</cp:revision>
  <cp:lastPrinted>2017-03-09T15:32:00Z</cp:lastPrinted>
  <dcterms:created xsi:type="dcterms:W3CDTF">2018-09-07T12:19:00Z</dcterms:created>
  <dcterms:modified xsi:type="dcterms:W3CDTF">2018-09-24T08:34:00Z</dcterms:modified>
</cp:coreProperties>
</file>