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B61BF" w14:textId="3CE9B170" w:rsidR="00786F3B" w:rsidRPr="00367130" w:rsidRDefault="00710E43" w:rsidP="00B00196">
      <w:pPr>
        <w:spacing w:after="0" w:line="240" w:lineRule="auto"/>
        <w:jc w:val="center"/>
        <w:rPr>
          <w:rFonts w:cstheme="minorHAnsi"/>
        </w:rPr>
      </w:pPr>
      <w:bookmarkStart w:id="0" w:name="_GoBack"/>
      <w:bookmarkEnd w:id="0"/>
      <w:r>
        <w:rPr>
          <w:rFonts w:cstheme="minorHAnsi"/>
        </w:rPr>
        <w:t>NAIFA-Nebraska</w:t>
      </w:r>
      <w:r w:rsidR="00B00196" w:rsidRPr="00367130">
        <w:rPr>
          <w:rFonts w:cstheme="minorHAnsi"/>
        </w:rPr>
        <w:br/>
      </w:r>
      <w:r w:rsidR="00C64951" w:rsidRPr="00367130">
        <w:rPr>
          <w:rFonts w:cstheme="minorHAnsi"/>
        </w:rPr>
        <w:t xml:space="preserve">Speaker:  </w:t>
      </w:r>
      <w:r w:rsidR="00E66C97">
        <w:rPr>
          <w:rFonts w:cstheme="minorHAnsi"/>
        </w:rPr>
        <w:t xml:space="preserve">David </w:t>
      </w:r>
      <w:r w:rsidR="006C0210">
        <w:rPr>
          <w:rFonts w:cstheme="minorHAnsi"/>
        </w:rPr>
        <w:t>McKnight</w:t>
      </w:r>
    </w:p>
    <w:p w14:paraId="7E61AB35" w14:textId="651CFCDC" w:rsidR="00AD7F59" w:rsidRPr="00367130" w:rsidRDefault="006C0210" w:rsidP="00B00196">
      <w:pPr>
        <w:spacing w:after="0" w:line="240" w:lineRule="auto"/>
        <w:jc w:val="center"/>
        <w:rPr>
          <w:rFonts w:cstheme="minorHAnsi"/>
        </w:rPr>
      </w:pPr>
      <w:r>
        <w:rPr>
          <w:rFonts w:cstheme="minorHAnsi"/>
        </w:rPr>
        <w:t>10</w:t>
      </w:r>
      <w:r w:rsidR="00C64951" w:rsidRPr="00367130">
        <w:rPr>
          <w:rFonts w:cstheme="minorHAnsi"/>
        </w:rPr>
        <w:t>/</w:t>
      </w:r>
      <w:r w:rsidR="000A68BB">
        <w:rPr>
          <w:rFonts w:cstheme="minorHAnsi"/>
        </w:rPr>
        <w:t>10</w:t>
      </w:r>
      <w:r w:rsidR="00C64951" w:rsidRPr="00367130">
        <w:rPr>
          <w:rFonts w:cstheme="minorHAnsi"/>
        </w:rPr>
        <w:t>/2019</w:t>
      </w:r>
      <w:r w:rsidR="00AD7F59" w:rsidRPr="00367130">
        <w:rPr>
          <w:rFonts w:cstheme="minorHAnsi"/>
        </w:rPr>
        <w:t xml:space="preserve"> </w:t>
      </w:r>
    </w:p>
    <w:p w14:paraId="03F213C2" w14:textId="44F44DFA" w:rsidR="00AD7F59" w:rsidRPr="00367130" w:rsidRDefault="006C0210" w:rsidP="00B00196">
      <w:pPr>
        <w:spacing w:after="0" w:line="240" w:lineRule="auto"/>
        <w:jc w:val="center"/>
        <w:rPr>
          <w:rFonts w:cstheme="minorHAnsi"/>
        </w:rPr>
      </w:pPr>
      <w:r>
        <w:rPr>
          <w:rFonts w:cstheme="minorHAnsi"/>
        </w:rPr>
        <w:t>12</w:t>
      </w:r>
      <w:r w:rsidR="00B00196" w:rsidRPr="00367130">
        <w:rPr>
          <w:rFonts w:cstheme="minorHAnsi"/>
        </w:rPr>
        <w:t xml:space="preserve">:00 – </w:t>
      </w:r>
      <w:r w:rsidR="00E66C97">
        <w:rPr>
          <w:rFonts w:cstheme="minorHAnsi"/>
        </w:rPr>
        <w:t>1</w:t>
      </w:r>
      <w:r w:rsidR="00B00196" w:rsidRPr="00367130">
        <w:rPr>
          <w:rFonts w:cstheme="minorHAnsi"/>
        </w:rPr>
        <w:t xml:space="preserve">:00 </w:t>
      </w:r>
      <w:r>
        <w:rPr>
          <w:rFonts w:cstheme="minorHAnsi"/>
        </w:rPr>
        <w:t>P</w:t>
      </w:r>
      <w:r w:rsidR="00B00196" w:rsidRPr="00367130">
        <w:rPr>
          <w:rFonts w:cstheme="minorHAnsi"/>
        </w:rPr>
        <w:t>M</w:t>
      </w:r>
      <w:r w:rsidR="000A68BB">
        <w:rPr>
          <w:rFonts w:cstheme="minorHAnsi"/>
        </w:rPr>
        <w:t xml:space="preserve"> CENTRAL TIME</w:t>
      </w:r>
      <w:r w:rsidR="00B00196" w:rsidRPr="00367130">
        <w:rPr>
          <w:rFonts w:cstheme="minorHAnsi"/>
        </w:rPr>
        <w:br/>
      </w:r>
      <w:r w:rsidR="00B00196" w:rsidRPr="00367130">
        <w:rPr>
          <w:rFonts w:cstheme="minorHAnsi"/>
        </w:rPr>
        <w:br/>
      </w:r>
      <w:r w:rsidR="00B00196" w:rsidRPr="00367130">
        <w:rPr>
          <w:rFonts w:cstheme="minorHAnsi"/>
          <w:b/>
        </w:rPr>
        <w:t>“</w:t>
      </w:r>
      <w:r w:rsidR="00447BD6">
        <w:rPr>
          <w:rFonts w:cstheme="minorHAnsi"/>
          <w:b/>
        </w:rPr>
        <w:t xml:space="preserve">NAIFA LIVE </w:t>
      </w:r>
      <w:r w:rsidR="00B00196" w:rsidRPr="00367130">
        <w:rPr>
          <w:rFonts w:cstheme="minorHAnsi"/>
          <w:b/>
        </w:rPr>
        <w:t xml:space="preserve">Webinar </w:t>
      </w:r>
      <w:r>
        <w:rPr>
          <w:rFonts w:cstheme="minorHAnsi"/>
          <w:b/>
        </w:rPr>
        <w:t>October</w:t>
      </w:r>
      <w:r w:rsidR="000A68BB">
        <w:rPr>
          <w:rFonts w:cstheme="minorHAnsi"/>
          <w:b/>
        </w:rPr>
        <w:t xml:space="preserve"> 2019 – The Power of Zero”</w:t>
      </w:r>
    </w:p>
    <w:p w14:paraId="2971ECCC" w14:textId="77777777" w:rsidR="00AD7F59" w:rsidRPr="00367130" w:rsidRDefault="00AD7F59" w:rsidP="00AD7F59">
      <w:pPr>
        <w:spacing w:after="0" w:line="240" w:lineRule="auto"/>
        <w:rPr>
          <w:rFonts w:cstheme="minorHAnsi"/>
        </w:rPr>
      </w:pPr>
    </w:p>
    <w:p w14:paraId="7B2E9DC7" w14:textId="77777777" w:rsidR="00265C98" w:rsidRPr="00367130" w:rsidRDefault="00265C98" w:rsidP="00AD7F59">
      <w:pPr>
        <w:spacing w:after="0" w:line="240" w:lineRule="auto"/>
        <w:rPr>
          <w:rFonts w:cstheme="minorHAnsi"/>
        </w:rPr>
      </w:pPr>
    </w:p>
    <w:p w14:paraId="4667C984" w14:textId="7E4184B4" w:rsidR="00C64951" w:rsidRPr="00367130" w:rsidRDefault="004179BF" w:rsidP="00AD7F59">
      <w:pPr>
        <w:spacing w:after="0" w:line="240" w:lineRule="auto"/>
        <w:rPr>
          <w:rFonts w:cstheme="minorHAnsi"/>
        </w:rPr>
      </w:pPr>
      <w:r w:rsidRPr="00367130">
        <w:rPr>
          <w:rFonts w:cstheme="minorHAnsi"/>
          <w:b/>
          <w:u w:val="single"/>
        </w:rPr>
        <w:t>Course</w:t>
      </w:r>
      <w:r w:rsidR="00AD7F59" w:rsidRPr="00367130">
        <w:rPr>
          <w:rFonts w:cstheme="minorHAnsi"/>
          <w:b/>
          <w:u w:val="single"/>
        </w:rPr>
        <w:t xml:space="preserve"> </w:t>
      </w:r>
      <w:r w:rsidRPr="00367130">
        <w:rPr>
          <w:rFonts w:cstheme="minorHAnsi"/>
          <w:b/>
          <w:u w:val="single"/>
        </w:rPr>
        <w:t>D</w:t>
      </w:r>
      <w:r w:rsidR="00AD7F59" w:rsidRPr="00367130">
        <w:rPr>
          <w:rFonts w:cstheme="minorHAnsi"/>
          <w:b/>
          <w:u w:val="single"/>
        </w:rPr>
        <w:t>escription:</w:t>
      </w:r>
      <w:r w:rsidR="00265C98" w:rsidRPr="00367130">
        <w:rPr>
          <w:rFonts w:cstheme="minorHAnsi"/>
        </w:rPr>
        <w:t xml:space="preserve">   </w:t>
      </w:r>
      <w:r w:rsidR="006C0210" w:rsidRPr="008C5301">
        <w:rPr>
          <w:bCs/>
        </w:rPr>
        <w:t>The following course is designed to educate financial advisors on how to advise their clients on accumulating dollars for retirement in a rising tax rate environment.  It makes the case that certain types of investments should be contributed to only in carefully prescribed ways with an eye towards how those investments may be taxed in the future.  It discusses many of the unintended consequences of having too much money in retirement accounts like 401(k)s and IRAs, namely the impact of Social Security taxation.  Finally, we conclude with a case study that discusses various strategies as it relates tax-advantaged retirement planning, including the incorporation of cash value life insurance as one of multiple options in a well-balanced approach to tax-advantaged retirement planning.</w:t>
      </w:r>
    </w:p>
    <w:p w14:paraId="16AA9EDA" w14:textId="77777777" w:rsidR="00265C98" w:rsidRPr="00367130" w:rsidRDefault="00265C98" w:rsidP="00AD7F59">
      <w:pPr>
        <w:spacing w:after="0" w:line="240" w:lineRule="auto"/>
        <w:rPr>
          <w:rFonts w:cstheme="minorHAnsi"/>
        </w:rPr>
      </w:pPr>
    </w:p>
    <w:p w14:paraId="2A9CD921" w14:textId="77777777" w:rsidR="00082178" w:rsidRPr="00367130" w:rsidRDefault="00082178" w:rsidP="00AD7F59">
      <w:pPr>
        <w:spacing w:after="0" w:line="240" w:lineRule="auto"/>
        <w:rPr>
          <w:rFonts w:cstheme="minorHAnsi"/>
          <w:b/>
          <w:u w:val="single"/>
        </w:rPr>
      </w:pPr>
      <w:r w:rsidRPr="00367130">
        <w:rPr>
          <w:rFonts w:cstheme="minorHAnsi"/>
          <w:b/>
          <w:u w:val="single"/>
        </w:rPr>
        <w:t>Learning Objectives:</w:t>
      </w:r>
    </w:p>
    <w:p w14:paraId="5E4288D9" w14:textId="3834F8A1" w:rsidR="00082178" w:rsidRPr="00367130" w:rsidRDefault="00082178" w:rsidP="00AD7F59">
      <w:pPr>
        <w:spacing w:after="0" w:line="240" w:lineRule="auto"/>
        <w:rPr>
          <w:rFonts w:cstheme="minorHAnsi"/>
        </w:rPr>
      </w:pPr>
      <w:r w:rsidRPr="00367130">
        <w:rPr>
          <w:rFonts w:cstheme="minorHAnsi"/>
        </w:rPr>
        <w:t xml:space="preserve">Increase </w:t>
      </w:r>
      <w:r w:rsidR="00613DDF">
        <w:rPr>
          <w:rFonts w:cstheme="minorHAnsi"/>
        </w:rPr>
        <w:t>participan</w:t>
      </w:r>
      <w:r w:rsidR="00613DDF" w:rsidRPr="00367130">
        <w:rPr>
          <w:rFonts w:cstheme="minorHAnsi"/>
        </w:rPr>
        <w:t>t’s</w:t>
      </w:r>
      <w:r w:rsidRPr="00367130">
        <w:rPr>
          <w:rFonts w:cstheme="minorHAnsi"/>
        </w:rPr>
        <w:t xml:space="preserve"> knowledge and understanding of:</w:t>
      </w:r>
    </w:p>
    <w:p w14:paraId="3988E013" w14:textId="53B2F370" w:rsidR="00082178" w:rsidRPr="00367130" w:rsidRDefault="008C5301" w:rsidP="00082178">
      <w:pPr>
        <w:pStyle w:val="ListParagraph"/>
        <w:numPr>
          <w:ilvl w:val="0"/>
          <w:numId w:val="2"/>
        </w:numPr>
        <w:spacing w:after="0" w:line="240" w:lineRule="auto"/>
        <w:rPr>
          <w:rFonts w:cstheme="minorHAnsi"/>
        </w:rPr>
      </w:pPr>
      <w:r>
        <w:rPr>
          <w:rFonts w:cstheme="minorHAnsi"/>
        </w:rPr>
        <w:t>Retirement planning in a rising tax rate environment</w:t>
      </w:r>
    </w:p>
    <w:p w14:paraId="1A77BEDC" w14:textId="49D2DEB1" w:rsidR="000566F3" w:rsidRPr="00367130" w:rsidRDefault="008C5301" w:rsidP="00082178">
      <w:pPr>
        <w:pStyle w:val="ListParagraph"/>
        <w:numPr>
          <w:ilvl w:val="0"/>
          <w:numId w:val="2"/>
        </w:numPr>
        <w:spacing w:after="0" w:line="240" w:lineRule="auto"/>
        <w:rPr>
          <w:rFonts w:cstheme="minorHAnsi"/>
        </w:rPr>
      </w:pPr>
      <w:r>
        <w:rPr>
          <w:rFonts w:cstheme="minorHAnsi"/>
        </w:rPr>
        <w:t>Social Security Taxation</w:t>
      </w:r>
    </w:p>
    <w:p w14:paraId="7EE1B1B2" w14:textId="24CB13D9" w:rsidR="00780EC5" w:rsidRDefault="000566F3" w:rsidP="00082178">
      <w:pPr>
        <w:pStyle w:val="ListParagraph"/>
        <w:numPr>
          <w:ilvl w:val="0"/>
          <w:numId w:val="2"/>
        </w:numPr>
        <w:spacing w:after="0" w:line="240" w:lineRule="auto"/>
        <w:rPr>
          <w:rFonts w:cstheme="minorHAnsi"/>
        </w:rPr>
      </w:pPr>
      <w:r w:rsidRPr="00367130">
        <w:rPr>
          <w:rFonts w:cstheme="minorHAnsi"/>
        </w:rPr>
        <w:t>T</w:t>
      </w:r>
      <w:r w:rsidR="004352F1">
        <w:rPr>
          <w:rFonts w:cstheme="minorHAnsi"/>
        </w:rPr>
        <w:t>he pros and cons of Roth IRAs</w:t>
      </w:r>
    </w:p>
    <w:p w14:paraId="1DC52827" w14:textId="426CA3F0" w:rsidR="004C0731" w:rsidRDefault="004C0731" w:rsidP="00082178">
      <w:pPr>
        <w:pStyle w:val="ListParagraph"/>
        <w:numPr>
          <w:ilvl w:val="0"/>
          <w:numId w:val="2"/>
        </w:numPr>
        <w:spacing w:after="0" w:line="240" w:lineRule="auto"/>
        <w:rPr>
          <w:rFonts w:cstheme="minorHAnsi"/>
        </w:rPr>
      </w:pPr>
      <w:r>
        <w:rPr>
          <w:rFonts w:cstheme="minorHAnsi"/>
        </w:rPr>
        <w:t>The importance of utilizing a Life Insurance Retirement Plan</w:t>
      </w:r>
    </w:p>
    <w:p w14:paraId="18893412" w14:textId="6E861C07" w:rsidR="008C5301" w:rsidRPr="00367130" w:rsidRDefault="008C5301" w:rsidP="00082178">
      <w:pPr>
        <w:pStyle w:val="ListParagraph"/>
        <w:numPr>
          <w:ilvl w:val="0"/>
          <w:numId w:val="2"/>
        </w:numPr>
        <w:spacing w:after="0" w:line="240" w:lineRule="auto"/>
        <w:rPr>
          <w:rFonts w:cstheme="minorHAnsi"/>
        </w:rPr>
      </w:pPr>
      <w:r>
        <w:rPr>
          <w:rFonts w:cstheme="minorHAnsi"/>
        </w:rPr>
        <w:t>Taxable and tax-deferred investments</w:t>
      </w:r>
    </w:p>
    <w:p w14:paraId="336AE736" w14:textId="77777777" w:rsidR="00265C98" w:rsidRPr="00367130" w:rsidRDefault="00265C98" w:rsidP="00AD7F59">
      <w:pPr>
        <w:spacing w:after="0" w:line="240" w:lineRule="auto"/>
        <w:rPr>
          <w:rFonts w:cstheme="minorHAnsi"/>
        </w:rPr>
      </w:pPr>
    </w:p>
    <w:p w14:paraId="2734CBAD" w14:textId="77777777" w:rsidR="00AD7F59" w:rsidRPr="00367130" w:rsidRDefault="00AD7F59" w:rsidP="00733E5A">
      <w:pPr>
        <w:spacing w:after="0" w:line="240" w:lineRule="auto"/>
        <w:rPr>
          <w:rFonts w:cstheme="minorHAnsi"/>
          <w:b/>
          <w:u w:val="single"/>
        </w:rPr>
      </w:pPr>
      <w:r w:rsidRPr="00367130">
        <w:rPr>
          <w:rFonts w:cstheme="minorHAnsi"/>
          <w:b/>
          <w:u w:val="single"/>
        </w:rPr>
        <w:t>Presentation Timed outline:</w:t>
      </w:r>
    </w:p>
    <w:p w14:paraId="2F766325" w14:textId="633310FA" w:rsidR="00AD7F59" w:rsidRDefault="006C0210" w:rsidP="00AD7F59">
      <w:pPr>
        <w:pStyle w:val="ListParagraph"/>
        <w:numPr>
          <w:ilvl w:val="0"/>
          <w:numId w:val="1"/>
        </w:numPr>
        <w:spacing w:after="0" w:line="240" w:lineRule="auto"/>
        <w:rPr>
          <w:rFonts w:cstheme="minorHAnsi"/>
        </w:rPr>
      </w:pPr>
      <w:r>
        <w:rPr>
          <w:rFonts w:cstheme="minorHAnsi"/>
        </w:rPr>
        <w:t>Taxable Investments</w:t>
      </w:r>
      <w:r w:rsidR="00AD7F59" w:rsidRPr="00367130">
        <w:rPr>
          <w:rFonts w:cstheme="minorHAnsi"/>
        </w:rPr>
        <w:t xml:space="preserve"> (5 min.)</w:t>
      </w:r>
    </w:p>
    <w:p w14:paraId="7C5C9396" w14:textId="536CA8D7" w:rsidR="00613DDF" w:rsidRDefault="00613DDF" w:rsidP="00613DDF">
      <w:pPr>
        <w:pStyle w:val="ListParagraph"/>
        <w:numPr>
          <w:ilvl w:val="1"/>
          <w:numId w:val="1"/>
        </w:numPr>
        <w:spacing w:after="0" w:line="240" w:lineRule="auto"/>
        <w:rPr>
          <w:rFonts w:cstheme="minorHAnsi"/>
        </w:rPr>
      </w:pPr>
      <w:r>
        <w:rPr>
          <w:rFonts w:cstheme="minorHAnsi"/>
        </w:rPr>
        <w:t>Taxable bucket</w:t>
      </w:r>
    </w:p>
    <w:p w14:paraId="391F3484" w14:textId="2C6DD15D" w:rsidR="00613DDF" w:rsidRDefault="00613DDF" w:rsidP="00613DDF">
      <w:pPr>
        <w:pStyle w:val="ListParagraph"/>
        <w:numPr>
          <w:ilvl w:val="1"/>
          <w:numId w:val="1"/>
        </w:numPr>
        <w:spacing w:after="0" w:line="240" w:lineRule="auto"/>
        <w:rPr>
          <w:rFonts w:cstheme="minorHAnsi"/>
        </w:rPr>
      </w:pPr>
      <w:r>
        <w:rPr>
          <w:rFonts w:cstheme="minorHAnsi"/>
        </w:rPr>
        <w:t>1099</w:t>
      </w:r>
    </w:p>
    <w:p w14:paraId="0C059895" w14:textId="6E418A37" w:rsidR="00613DDF" w:rsidRPr="00613DDF" w:rsidRDefault="00613DDF" w:rsidP="00613DDF">
      <w:pPr>
        <w:pStyle w:val="ListParagraph"/>
        <w:numPr>
          <w:ilvl w:val="1"/>
          <w:numId w:val="1"/>
        </w:numPr>
        <w:spacing w:after="0" w:line="240" w:lineRule="auto"/>
        <w:rPr>
          <w:rFonts w:cstheme="minorHAnsi"/>
        </w:rPr>
      </w:pPr>
      <w:r>
        <w:rPr>
          <w:rFonts w:cstheme="minorHAnsi"/>
        </w:rPr>
        <w:t>Emergency fund</w:t>
      </w:r>
    </w:p>
    <w:p w14:paraId="2C4EF8FA" w14:textId="5C993B46" w:rsidR="00862CE9" w:rsidRPr="00862CE9" w:rsidRDefault="006C0210" w:rsidP="00862CE9">
      <w:pPr>
        <w:pStyle w:val="ListParagraph"/>
        <w:numPr>
          <w:ilvl w:val="0"/>
          <w:numId w:val="1"/>
        </w:numPr>
        <w:spacing w:after="0" w:line="240" w:lineRule="auto"/>
        <w:rPr>
          <w:rFonts w:cstheme="minorHAnsi"/>
        </w:rPr>
      </w:pPr>
      <w:r>
        <w:rPr>
          <w:rFonts w:cstheme="minorHAnsi"/>
        </w:rPr>
        <w:t>Tax-Deferred Investments</w:t>
      </w:r>
      <w:r w:rsidR="0094191D" w:rsidRPr="00367130">
        <w:rPr>
          <w:rFonts w:cstheme="minorHAnsi"/>
        </w:rPr>
        <w:t xml:space="preserve"> (</w:t>
      </w:r>
      <w:r w:rsidR="00613DDF">
        <w:rPr>
          <w:rFonts w:cstheme="minorHAnsi"/>
        </w:rPr>
        <w:t>5</w:t>
      </w:r>
      <w:r w:rsidR="0094191D" w:rsidRPr="00367130">
        <w:rPr>
          <w:rFonts w:cstheme="minorHAnsi"/>
        </w:rPr>
        <w:t xml:space="preserve"> min.)</w:t>
      </w:r>
    </w:p>
    <w:p w14:paraId="05BC7D14" w14:textId="6A9D7A30" w:rsidR="0094191D" w:rsidRDefault="00613DDF" w:rsidP="0094191D">
      <w:pPr>
        <w:pStyle w:val="ListParagraph"/>
        <w:numPr>
          <w:ilvl w:val="1"/>
          <w:numId w:val="1"/>
        </w:numPr>
        <w:spacing w:after="0" w:line="240" w:lineRule="auto"/>
        <w:rPr>
          <w:rFonts w:cstheme="minorHAnsi"/>
        </w:rPr>
      </w:pPr>
      <w:r>
        <w:rPr>
          <w:rFonts w:cstheme="minorHAnsi"/>
        </w:rPr>
        <w:t>Tax-deferred bucket</w:t>
      </w:r>
    </w:p>
    <w:p w14:paraId="7318DF91" w14:textId="7D67B5B4" w:rsidR="00862CE9" w:rsidRPr="00862CE9" w:rsidRDefault="00613DDF" w:rsidP="00862CE9">
      <w:pPr>
        <w:pStyle w:val="ListParagraph"/>
        <w:numPr>
          <w:ilvl w:val="1"/>
          <w:numId w:val="1"/>
        </w:numPr>
        <w:spacing w:after="0" w:line="240" w:lineRule="auto"/>
        <w:rPr>
          <w:rFonts w:cstheme="minorHAnsi"/>
        </w:rPr>
      </w:pPr>
      <w:r>
        <w:rPr>
          <w:rFonts w:cstheme="minorHAnsi"/>
        </w:rPr>
        <w:t>Generally, the contributions made to these accounts qualify as tax deduction</w:t>
      </w:r>
    </w:p>
    <w:p w14:paraId="2D53DC50" w14:textId="1113AB4D" w:rsidR="00862CE9" w:rsidRDefault="00613DDF" w:rsidP="0094191D">
      <w:pPr>
        <w:pStyle w:val="ListParagraph"/>
        <w:numPr>
          <w:ilvl w:val="1"/>
          <w:numId w:val="1"/>
        </w:numPr>
        <w:spacing w:after="0" w:line="240" w:lineRule="auto"/>
        <w:rPr>
          <w:rFonts w:cstheme="minorHAnsi"/>
        </w:rPr>
      </w:pPr>
      <w:r>
        <w:rPr>
          <w:rFonts w:cstheme="minorHAnsi"/>
        </w:rPr>
        <w:t>These accounts are taxed the same way upon distribution</w:t>
      </w:r>
    </w:p>
    <w:p w14:paraId="1EE713AD" w14:textId="2B031091" w:rsidR="00862CE9" w:rsidRPr="00367130" w:rsidRDefault="00613DDF" w:rsidP="0094191D">
      <w:pPr>
        <w:pStyle w:val="ListParagraph"/>
        <w:numPr>
          <w:ilvl w:val="1"/>
          <w:numId w:val="1"/>
        </w:numPr>
        <w:spacing w:after="0" w:line="240" w:lineRule="auto"/>
        <w:rPr>
          <w:rFonts w:cstheme="minorHAnsi"/>
        </w:rPr>
      </w:pPr>
      <w:r>
        <w:rPr>
          <w:rFonts w:cstheme="minorHAnsi"/>
        </w:rPr>
        <w:t>Good place for retirement income?</w:t>
      </w:r>
    </w:p>
    <w:p w14:paraId="42095497" w14:textId="2EC5BF72" w:rsidR="0064650B" w:rsidRPr="0064650B" w:rsidRDefault="006C0210" w:rsidP="0064650B">
      <w:pPr>
        <w:pStyle w:val="ListParagraph"/>
        <w:numPr>
          <w:ilvl w:val="0"/>
          <w:numId w:val="1"/>
        </w:numPr>
        <w:spacing w:after="0" w:line="240" w:lineRule="auto"/>
        <w:rPr>
          <w:rFonts w:cstheme="minorHAnsi"/>
        </w:rPr>
      </w:pPr>
      <w:r>
        <w:rPr>
          <w:rFonts w:cstheme="minorHAnsi"/>
        </w:rPr>
        <w:t>Deductions in Retirement</w:t>
      </w:r>
      <w:r w:rsidR="00E66C97" w:rsidRPr="00367130">
        <w:rPr>
          <w:rFonts w:cstheme="minorHAnsi"/>
        </w:rPr>
        <w:t xml:space="preserve"> (</w:t>
      </w:r>
      <w:r w:rsidR="00613DDF">
        <w:rPr>
          <w:rFonts w:cstheme="minorHAnsi"/>
        </w:rPr>
        <w:t>5</w:t>
      </w:r>
      <w:r w:rsidR="00633939">
        <w:rPr>
          <w:rFonts w:cstheme="minorHAnsi"/>
        </w:rPr>
        <w:t xml:space="preserve"> </w:t>
      </w:r>
      <w:r w:rsidR="00E66C97" w:rsidRPr="00367130">
        <w:rPr>
          <w:rFonts w:cstheme="minorHAnsi"/>
        </w:rPr>
        <w:t>min.)</w:t>
      </w:r>
    </w:p>
    <w:p w14:paraId="56BC3B24" w14:textId="4C7FFAB9" w:rsidR="00633939" w:rsidRDefault="00613DDF" w:rsidP="00E66C97">
      <w:pPr>
        <w:pStyle w:val="ListParagraph"/>
        <w:numPr>
          <w:ilvl w:val="1"/>
          <w:numId w:val="1"/>
        </w:numPr>
        <w:spacing w:after="0" w:line="240" w:lineRule="auto"/>
        <w:rPr>
          <w:rFonts w:cstheme="minorHAnsi"/>
        </w:rPr>
      </w:pPr>
      <w:r>
        <w:rPr>
          <w:rFonts w:cstheme="minorHAnsi"/>
        </w:rPr>
        <w:t>Many deductions during working years aren’t eligible during retirement</w:t>
      </w:r>
    </w:p>
    <w:p w14:paraId="10972FF1" w14:textId="6C66E513" w:rsidR="00613DDF" w:rsidRDefault="00613DDF" w:rsidP="006C0210">
      <w:pPr>
        <w:pStyle w:val="ListParagraph"/>
        <w:numPr>
          <w:ilvl w:val="0"/>
          <w:numId w:val="1"/>
        </w:numPr>
        <w:spacing w:after="0" w:line="240" w:lineRule="auto"/>
        <w:rPr>
          <w:rFonts w:cstheme="minorHAnsi"/>
        </w:rPr>
      </w:pPr>
      <w:r>
        <w:rPr>
          <w:rFonts w:cstheme="minorHAnsi"/>
        </w:rPr>
        <w:t>Standard Deductions (5 min)</w:t>
      </w:r>
    </w:p>
    <w:p w14:paraId="426EF68C" w14:textId="1D394DC8" w:rsidR="00613DDF" w:rsidRPr="008C5301" w:rsidRDefault="00613DDF" w:rsidP="008C5301">
      <w:pPr>
        <w:pStyle w:val="ListParagraph"/>
        <w:numPr>
          <w:ilvl w:val="1"/>
          <w:numId w:val="1"/>
        </w:numPr>
        <w:spacing w:after="0" w:line="240" w:lineRule="auto"/>
        <w:rPr>
          <w:rFonts w:cstheme="minorHAnsi"/>
        </w:rPr>
      </w:pPr>
      <w:r>
        <w:rPr>
          <w:rFonts w:cstheme="minorHAnsi"/>
        </w:rPr>
        <w:t>Standard deduction ($24,000) is typical in retirement</w:t>
      </w:r>
    </w:p>
    <w:p w14:paraId="58982140" w14:textId="07678E28" w:rsidR="00613DDF" w:rsidRDefault="00613DDF" w:rsidP="00613DDF">
      <w:pPr>
        <w:pStyle w:val="ListParagraph"/>
        <w:numPr>
          <w:ilvl w:val="0"/>
          <w:numId w:val="1"/>
        </w:numPr>
        <w:spacing w:after="0" w:line="240" w:lineRule="auto"/>
        <w:rPr>
          <w:rFonts w:cstheme="minorHAnsi"/>
        </w:rPr>
      </w:pPr>
      <w:r>
        <w:rPr>
          <w:rFonts w:cstheme="minorHAnsi"/>
        </w:rPr>
        <w:t>The Catch-22 of Tax-Deferred Investing</w:t>
      </w:r>
      <w:r w:rsidRPr="00367130">
        <w:rPr>
          <w:rFonts w:cstheme="minorHAnsi"/>
        </w:rPr>
        <w:t xml:space="preserve"> (</w:t>
      </w:r>
      <w:r w:rsidR="007A0543">
        <w:rPr>
          <w:rFonts w:cstheme="minorHAnsi"/>
        </w:rPr>
        <w:t>1</w:t>
      </w:r>
      <w:r w:rsidRPr="00367130">
        <w:rPr>
          <w:rFonts w:cstheme="minorHAnsi"/>
        </w:rPr>
        <w:t>5 min.)</w:t>
      </w:r>
    </w:p>
    <w:p w14:paraId="7B4DE555" w14:textId="3A69B6E4" w:rsidR="00613DDF" w:rsidRDefault="007A0543" w:rsidP="00613DDF">
      <w:pPr>
        <w:pStyle w:val="ListParagraph"/>
        <w:numPr>
          <w:ilvl w:val="1"/>
          <w:numId w:val="1"/>
        </w:numPr>
        <w:spacing w:after="0" w:line="240" w:lineRule="auto"/>
        <w:rPr>
          <w:rFonts w:cstheme="minorHAnsi"/>
        </w:rPr>
      </w:pPr>
      <w:r>
        <w:rPr>
          <w:rFonts w:cstheme="minorHAnsi"/>
        </w:rPr>
        <w:t>Catch-22 story, caught between a rock and a hard place”</w:t>
      </w:r>
    </w:p>
    <w:p w14:paraId="4E3AA287" w14:textId="77777777" w:rsidR="007A0543" w:rsidRDefault="007A0543" w:rsidP="007A0543">
      <w:pPr>
        <w:pStyle w:val="ListParagraph"/>
        <w:numPr>
          <w:ilvl w:val="1"/>
          <w:numId w:val="1"/>
        </w:numPr>
        <w:spacing w:after="0" w:line="240" w:lineRule="auto"/>
        <w:rPr>
          <w:rFonts w:cstheme="minorHAnsi"/>
        </w:rPr>
      </w:pPr>
      <w:r>
        <w:rPr>
          <w:rFonts w:cstheme="minorHAnsi"/>
        </w:rPr>
        <w:t>401(k) can present as a “Catch-22) if not utilized in a correct way</w:t>
      </w:r>
    </w:p>
    <w:p w14:paraId="1BE5B263" w14:textId="1BF689CD" w:rsidR="007A0543" w:rsidRPr="007A0543" w:rsidRDefault="007A0543" w:rsidP="007A0543">
      <w:pPr>
        <w:pStyle w:val="ListParagraph"/>
        <w:numPr>
          <w:ilvl w:val="1"/>
          <w:numId w:val="1"/>
        </w:numPr>
        <w:spacing w:after="0" w:line="240" w:lineRule="auto"/>
        <w:rPr>
          <w:rFonts w:cstheme="minorHAnsi"/>
        </w:rPr>
      </w:pPr>
      <w:r>
        <w:rPr>
          <w:rFonts w:cstheme="minorHAnsi"/>
        </w:rPr>
        <w:t>Rock = Required Minimum Distributions</w:t>
      </w:r>
    </w:p>
    <w:p w14:paraId="61372C88" w14:textId="5C115164" w:rsidR="007A0543" w:rsidRDefault="007A0543" w:rsidP="00613DDF">
      <w:pPr>
        <w:pStyle w:val="ListParagraph"/>
        <w:numPr>
          <w:ilvl w:val="1"/>
          <w:numId w:val="1"/>
        </w:numPr>
        <w:spacing w:after="0" w:line="240" w:lineRule="auto"/>
        <w:rPr>
          <w:rFonts w:cstheme="minorHAnsi"/>
        </w:rPr>
      </w:pPr>
      <w:r>
        <w:rPr>
          <w:rFonts w:cstheme="minorHAnsi"/>
        </w:rPr>
        <w:t>Hard place = Social Security</w:t>
      </w:r>
    </w:p>
    <w:p w14:paraId="1F6C53F4" w14:textId="35EC1F85" w:rsidR="007A0543" w:rsidRDefault="007A0543" w:rsidP="00613DDF">
      <w:pPr>
        <w:pStyle w:val="ListParagraph"/>
        <w:numPr>
          <w:ilvl w:val="1"/>
          <w:numId w:val="1"/>
        </w:numPr>
        <w:spacing w:after="0" w:line="240" w:lineRule="auto"/>
        <w:rPr>
          <w:rFonts w:cstheme="minorHAnsi"/>
        </w:rPr>
      </w:pPr>
      <w:r>
        <w:rPr>
          <w:rFonts w:cstheme="minorHAnsi"/>
        </w:rPr>
        <w:t>Social Security Taxation</w:t>
      </w:r>
    </w:p>
    <w:p w14:paraId="5DB6905C" w14:textId="500C93FD" w:rsidR="006C0210" w:rsidRPr="0064650B" w:rsidRDefault="006C0210" w:rsidP="006C0210">
      <w:pPr>
        <w:pStyle w:val="ListParagraph"/>
        <w:numPr>
          <w:ilvl w:val="0"/>
          <w:numId w:val="1"/>
        </w:numPr>
        <w:spacing w:after="0" w:line="240" w:lineRule="auto"/>
        <w:rPr>
          <w:rFonts w:cstheme="minorHAnsi"/>
        </w:rPr>
      </w:pPr>
      <w:r>
        <w:rPr>
          <w:rFonts w:cstheme="minorHAnsi"/>
        </w:rPr>
        <w:t>The American Tax System</w:t>
      </w:r>
      <w:r w:rsidRPr="00367130">
        <w:rPr>
          <w:rFonts w:cstheme="minorHAnsi"/>
        </w:rPr>
        <w:t>– (</w:t>
      </w:r>
      <w:r w:rsidR="007A0543">
        <w:rPr>
          <w:rFonts w:cstheme="minorHAnsi"/>
        </w:rPr>
        <w:t>5</w:t>
      </w:r>
      <w:r>
        <w:rPr>
          <w:rFonts w:cstheme="minorHAnsi"/>
        </w:rPr>
        <w:t xml:space="preserve"> </w:t>
      </w:r>
      <w:r w:rsidRPr="00367130">
        <w:rPr>
          <w:rFonts w:cstheme="minorHAnsi"/>
        </w:rPr>
        <w:t>min.)</w:t>
      </w:r>
    </w:p>
    <w:p w14:paraId="3FCD0BD6" w14:textId="54DE83A4" w:rsidR="006C0210" w:rsidRDefault="007A0543" w:rsidP="006C0210">
      <w:pPr>
        <w:pStyle w:val="ListParagraph"/>
        <w:numPr>
          <w:ilvl w:val="1"/>
          <w:numId w:val="1"/>
        </w:numPr>
        <w:spacing w:after="0" w:line="240" w:lineRule="auto"/>
        <w:rPr>
          <w:rFonts w:cstheme="minorHAnsi"/>
        </w:rPr>
      </w:pPr>
      <w:r>
        <w:rPr>
          <w:rFonts w:cstheme="minorHAnsi"/>
        </w:rPr>
        <w:t>Brief o</w:t>
      </w:r>
      <w:r w:rsidR="006C0210">
        <w:rPr>
          <w:rFonts w:cstheme="minorHAnsi"/>
        </w:rPr>
        <w:t xml:space="preserve">verview </w:t>
      </w:r>
      <w:r>
        <w:rPr>
          <w:rFonts w:cstheme="minorHAnsi"/>
        </w:rPr>
        <w:t>American tax system and how IRS taxes individuals</w:t>
      </w:r>
    </w:p>
    <w:p w14:paraId="384BF898" w14:textId="41AFE24B" w:rsidR="006C0210" w:rsidRPr="0064650B" w:rsidRDefault="007A0543" w:rsidP="006C0210">
      <w:pPr>
        <w:pStyle w:val="ListParagraph"/>
        <w:numPr>
          <w:ilvl w:val="1"/>
          <w:numId w:val="1"/>
        </w:numPr>
        <w:spacing w:after="0" w:line="240" w:lineRule="auto"/>
        <w:rPr>
          <w:rFonts w:cstheme="minorHAnsi"/>
        </w:rPr>
      </w:pPr>
      <w:r>
        <w:rPr>
          <w:rFonts w:cstheme="minorHAnsi"/>
        </w:rPr>
        <w:t>Income tax compared to graduated cylinder; income taxed at graduated rates</w:t>
      </w:r>
    </w:p>
    <w:p w14:paraId="7C7ACE6D" w14:textId="471B9E7B" w:rsidR="006C0210" w:rsidRPr="0064650B" w:rsidRDefault="006C0210" w:rsidP="006C0210">
      <w:pPr>
        <w:pStyle w:val="ListParagraph"/>
        <w:numPr>
          <w:ilvl w:val="0"/>
          <w:numId w:val="1"/>
        </w:numPr>
        <w:spacing w:after="0" w:line="240" w:lineRule="auto"/>
        <w:rPr>
          <w:rFonts w:cstheme="minorHAnsi"/>
        </w:rPr>
      </w:pPr>
      <w:r>
        <w:rPr>
          <w:rFonts w:cstheme="minorHAnsi"/>
        </w:rPr>
        <w:t>S</w:t>
      </w:r>
      <w:r w:rsidR="007A0543">
        <w:rPr>
          <w:rFonts w:cstheme="minorHAnsi"/>
        </w:rPr>
        <w:t>ocial Security</w:t>
      </w:r>
      <w:r>
        <w:rPr>
          <w:rFonts w:cstheme="minorHAnsi"/>
        </w:rPr>
        <w:t xml:space="preserve"> Taxation Case Study</w:t>
      </w:r>
      <w:r w:rsidRPr="00367130">
        <w:rPr>
          <w:rFonts w:cstheme="minorHAnsi"/>
        </w:rPr>
        <w:t>– (</w:t>
      </w:r>
      <w:r w:rsidR="007A0543">
        <w:rPr>
          <w:rFonts w:cstheme="minorHAnsi"/>
        </w:rPr>
        <w:t>5</w:t>
      </w:r>
      <w:r>
        <w:rPr>
          <w:rFonts w:cstheme="minorHAnsi"/>
        </w:rPr>
        <w:t xml:space="preserve"> </w:t>
      </w:r>
      <w:r w:rsidRPr="00367130">
        <w:rPr>
          <w:rFonts w:cstheme="minorHAnsi"/>
        </w:rPr>
        <w:t>min.)</w:t>
      </w:r>
    </w:p>
    <w:p w14:paraId="0E4E1759" w14:textId="45B297D9" w:rsidR="006C0210" w:rsidRDefault="007A0543" w:rsidP="006C0210">
      <w:pPr>
        <w:pStyle w:val="ListParagraph"/>
        <w:numPr>
          <w:ilvl w:val="1"/>
          <w:numId w:val="1"/>
        </w:numPr>
        <w:spacing w:after="0" w:line="240" w:lineRule="auto"/>
        <w:rPr>
          <w:rFonts w:cstheme="minorHAnsi"/>
        </w:rPr>
      </w:pPr>
      <w:r>
        <w:rPr>
          <w:rFonts w:cstheme="minorHAnsi"/>
        </w:rPr>
        <w:t>Looking at an example of a married couple and how their Social Security is taxed</w:t>
      </w:r>
    </w:p>
    <w:p w14:paraId="4EF880BB" w14:textId="783486F0" w:rsidR="006C0210" w:rsidRPr="0064650B" w:rsidRDefault="006C0210" w:rsidP="006C0210">
      <w:pPr>
        <w:pStyle w:val="ListParagraph"/>
        <w:numPr>
          <w:ilvl w:val="0"/>
          <w:numId w:val="1"/>
        </w:numPr>
        <w:spacing w:after="0" w:line="240" w:lineRule="auto"/>
        <w:rPr>
          <w:rFonts w:cstheme="minorHAnsi"/>
        </w:rPr>
      </w:pPr>
      <w:r>
        <w:rPr>
          <w:rFonts w:cstheme="minorHAnsi"/>
        </w:rPr>
        <w:t>Tax-Free Investments</w:t>
      </w:r>
      <w:r w:rsidRPr="00367130">
        <w:rPr>
          <w:rFonts w:cstheme="minorHAnsi"/>
        </w:rPr>
        <w:t>– (</w:t>
      </w:r>
      <w:r>
        <w:rPr>
          <w:rFonts w:cstheme="minorHAnsi"/>
        </w:rPr>
        <w:t xml:space="preserve">5 </w:t>
      </w:r>
      <w:r w:rsidRPr="00367130">
        <w:rPr>
          <w:rFonts w:cstheme="minorHAnsi"/>
        </w:rPr>
        <w:t>min.)</w:t>
      </w:r>
    </w:p>
    <w:p w14:paraId="2E6F6312" w14:textId="40CE951F" w:rsidR="006C0210" w:rsidRDefault="007A0543" w:rsidP="006C0210">
      <w:pPr>
        <w:pStyle w:val="ListParagraph"/>
        <w:numPr>
          <w:ilvl w:val="1"/>
          <w:numId w:val="1"/>
        </w:numPr>
        <w:spacing w:after="0" w:line="240" w:lineRule="auto"/>
        <w:rPr>
          <w:rFonts w:cstheme="minorHAnsi"/>
        </w:rPr>
      </w:pPr>
      <w:r>
        <w:rPr>
          <w:rFonts w:cstheme="minorHAnsi"/>
        </w:rPr>
        <w:t>Tax-advantaged bucket</w:t>
      </w:r>
    </w:p>
    <w:p w14:paraId="02387AEA" w14:textId="79F8461B" w:rsidR="006C0210" w:rsidRPr="0064650B" w:rsidRDefault="007A0543" w:rsidP="006C0210">
      <w:pPr>
        <w:pStyle w:val="ListParagraph"/>
        <w:numPr>
          <w:ilvl w:val="1"/>
          <w:numId w:val="1"/>
        </w:numPr>
        <w:spacing w:after="0" w:line="240" w:lineRule="auto"/>
        <w:rPr>
          <w:rFonts w:cstheme="minorHAnsi"/>
        </w:rPr>
      </w:pPr>
      <w:r>
        <w:rPr>
          <w:rFonts w:cstheme="minorHAnsi"/>
        </w:rPr>
        <w:t>Withdrawals can’t be taxed under any circumstances</w:t>
      </w:r>
    </w:p>
    <w:p w14:paraId="4BD02086" w14:textId="394AB4F9" w:rsidR="006C0210" w:rsidRDefault="007A0543" w:rsidP="006C0210">
      <w:pPr>
        <w:pStyle w:val="ListParagraph"/>
        <w:numPr>
          <w:ilvl w:val="1"/>
          <w:numId w:val="1"/>
        </w:numPr>
        <w:spacing w:after="0" w:line="240" w:lineRule="auto"/>
        <w:rPr>
          <w:rFonts w:cstheme="minorHAnsi"/>
        </w:rPr>
      </w:pPr>
      <w:r>
        <w:rPr>
          <w:rFonts w:cstheme="minorHAnsi"/>
        </w:rPr>
        <w:t>Withdrawals cannot count towards Social Security threshold</w:t>
      </w:r>
    </w:p>
    <w:p w14:paraId="020D9006" w14:textId="20F8F4B4" w:rsidR="008C5301" w:rsidRDefault="008C5301" w:rsidP="006C0210">
      <w:pPr>
        <w:pStyle w:val="ListParagraph"/>
        <w:numPr>
          <w:ilvl w:val="1"/>
          <w:numId w:val="1"/>
        </w:numPr>
        <w:spacing w:after="0" w:line="240" w:lineRule="auto"/>
        <w:rPr>
          <w:rFonts w:cstheme="minorHAnsi"/>
        </w:rPr>
      </w:pPr>
      <w:r>
        <w:rPr>
          <w:rFonts w:cstheme="minorHAnsi"/>
        </w:rPr>
        <w:lastRenderedPageBreak/>
        <w:t>Tax-advantaged retirement planning</w:t>
      </w:r>
    </w:p>
    <w:p w14:paraId="0A7C9365" w14:textId="1B0E140C" w:rsidR="006C0210" w:rsidRDefault="007A0543" w:rsidP="006C0210">
      <w:pPr>
        <w:pStyle w:val="ListParagraph"/>
        <w:numPr>
          <w:ilvl w:val="1"/>
          <w:numId w:val="1"/>
        </w:numPr>
        <w:spacing w:after="0" w:line="240" w:lineRule="auto"/>
        <w:rPr>
          <w:rFonts w:cstheme="minorHAnsi"/>
        </w:rPr>
      </w:pPr>
      <w:r>
        <w:rPr>
          <w:rFonts w:cstheme="minorHAnsi"/>
        </w:rPr>
        <w:t>Roth IRA</w:t>
      </w:r>
    </w:p>
    <w:p w14:paraId="682F4495" w14:textId="76E68E31" w:rsidR="006C0210" w:rsidRPr="0064650B" w:rsidRDefault="006C0210" w:rsidP="006C0210">
      <w:pPr>
        <w:pStyle w:val="ListParagraph"/>
        <w:numPr>
          <w:ilvl w:val="0"/>
          <w:numId w:val="1"/>
        </w:numPr>
        <w:spacing w:after="0" w:line="240" w:lineRule="auto"/>
        <w:rPr>
          <w:rFonts w:cstheme="minorHAnsi"/>
        </w:rPr>
      </w:pPr>
      <w:r>
        <w:rPr>
          <w:rFonts w:cstheme="minorHAnsi"/>
        </w:rPr>
        <w:t>Life Insurance as a Tax-Free Investment</w:t>
      </w:r>
      <w:r w:rsidRPr="00367130">
        <w:rPr>
          <w:rFonts w:cstheme="minorHAnsi"/>
        </w:rPr>
        <w:t>– (</w:t>
      </w:r>
      <w:r>
        <w:rPr>
          <w:rFonts w:cstheme="minorHAnsi"/>
        </w:rPr>
        <w:t xml:space="preserve">5 </w:t>
      </w:r>
      <w:r w:rsidRPr="00367130">
        <w:rPr>
          <w:rFonts w:cstheme="minorHAnsi"/>
        </w:rPr>
        <w:t>min.)</w:t>
      </w:r>
    </w:p>
    <w:p w14:paraId="7866FF7D" w14:textId="091D1DD1" w:rsidR="006C0210" w:rsidRDefault="007A0543" w:rsidP="006C0210">
      <w:pPr>
        <w:pStyle w:val="ListParagraph"/>
        <w:numPr>
          <w:ilvl w:val="1"/>
          <w:numId w:val="1"/>
        </w:numPr>
        <w:spacing w:after="0" w:line="240" w:lineRule="auto"/>
        <w:rPr>
          <w:rFonts w:cstheme="minorHAnsi"/>
        </w:rPr>
      </w:pPr>
      <w:r>
        <w:rPr>
          <w:rFonts w:cstheme="minorHAnsi"/>
        </w:rPr>
        <w:t>Under right circumstances, life insurance can be an alternative way to build money in the tax-advantaged bucket</w:t>
      </w:r>
    </w:p>
    <w:p w14:paraId="226445D0" w14:textId="7653DE01" w:rsidR="006C0210" w:rsidRPr="0064650B" w:rsidRDefault="008C5301" w:rsidP="006C0210">
      <w:pPr>
        <w:pStyle w:val="ListParagraph"/>
        <w:numPr>
          <w:ilvl w:val="1"/>
          <w:numId w:val="1"/>
        </w:numPr>
        <w:spacing w:after="0" w:line="240" w:lineRule="auto"/>
        <w:rPr>
          <w:rFonts w:cstheme="minorHAnsi"/>
        </w:rPr>
      </w:pPr>
      <w:r>
        <w:rPr>
          <w:rFonts w:cstheme="minorHAnsi"/>
        </w:rPr>
        <w:t>Cash Value contributions</w:t>
      </w:r>
    </w:p>
    <w:p w14:paraId="7BD70983" w14:textId="77A50500" w:rsidR="006C0210" w:rsidRDefault="008C5301" w:rsidP="006C0210">
      <w:pPr>
        <w:pStyle w:val="ListParagraph"/>
        <w:numPr>
          <w:ilvl w:val="1"/>
          <w:numId w:val="1"/>
        </w:numPr>
        <w:spacing w:after="0" w:line="240" w:lineRule="auto"/>
        <w:rPr>
          <w:rFonts w:cstheme="minorHAnsi"/>
        </w:rPr>
      </w:pPr>
      <w:r>
        <w:rPr>
          <w:rFonts w:cstheme="minorHAnsi"/>
        </w:rPr>
        <w:t>Policy distributions</w:t>
      </w:r>
    </w:p>
    <w:p w14:paraId="7FC909B2" w14:textId="3883002E" w:rsidR="006C0210" w:rsidRPr="0064650B" w:rsidRDefault="006C0210" w:rsidP="006C0210">
      <w:pPr>
        <w:pStyle w:val="ListParagraph"/>
        <w:numPr>
          <w:ilvl w:val="0"/>
          <w:numId w:val="1"/>
        </w:numPr>
        <w:spacing w:after="0" w:line="240" w:lineRule="auto"/>
        <w:rPr>
          <w:rFonts w:cstheme="minorHAnsi"/>
        </w:rPr>
      </w:pPr>
      <w:r>
        <w:rPr>
          <w:rFonts w:cstheme="minorHAnsi"/>
        </w:rPr>
        <w:t>Case Study</w:t>
      </w:r>
      <w:r w:rsidRPr="00367130">
        <w:rPr>
          <w:rFonts w:cstheme="minorHAnsi"/>
        </w:rPr>
        <w:t>– (</w:t>
      </w:r>
      <w:r>
        <w:rPr>
          <w:rFonts w:cstheme="minorHAnsi"/>
        </w:rPr>
        <w:t xml:space="preserve">5 </w:t>
      </w:r>
      <w:r w:rsidRPr="00367130">
        <w:rPr>
          <w:rFonts w:cstheme="minorHAnsi"/>
        </w:rPr>
        <w:t>min.)</w:t>
      </w:r>
    </w:p>
    <w:p w14:paraId="5E86007A" w14:textId="58084A8A" w:rsidR="006C0210" w:rsidRDefault="008C5301" w:rsidP="006C0210">
      <w:pPr>
        <w:pStyle w:val="ListParagraph"/>
        <w:numPr>
          <w:ilvl w:val="1"/>
          <w:numId w:val="1"/>
        </w:numPr>
        <w:spacing w:after="0" w:line="240" w:lineRule="auto"/>
        <w:rPr>
          <w:rFonts w:cstheme="minorHAnsi"/>
        </w:rPr>
      </w:pPr>
      <w:r>
        <w:rPr>
          <w:rFonts w:cstheme="minorHAnsi"/>
        </w:rPr>
        <w:t>How do all of these concepts apply to a real life situation?</w:t>
      </w:r>
    </w:p>
    <w:p w14:paraId="26FC821D" w14:textId="77777777" w:rsidR="006C0210" w:rsidRPr="006C0210" w:rsidRDefault="006C0210" w:rsidP="006C0210">
      <w:pPr>
        <w:spacing w:after="0" w:line="240" w:lineRule="auto"/>
        <w:rPr>
          <w:rFonts w:cstheme="minorHAnsi"/>
        </w:rPr>
      </w:pPr>
    </w:p>
    <w:p w14:paraId="204358E0" w14:textId="573C7C19" w:rsidR="005F6B62" w:rsidRPr="008C5301" w:rsidRDefault="0064650B" w:rsidP="008C5301">
      <w:pPr>
        <w:spacing w:after="0" w:line="240" w:lineRule="auto"/>
        <w:rPr>
          <w:rFonts w:cstheme="minorHAnsi"/>
        </w:rPr>
      </w:pPr>
      <w:r w:rsidRPr="008C5301">
        <w:rPr>
          <w:rFonts w:cstheme="minorHAnsi"/>
        </w:rPr>
        <w:t xml:space="preserve">Total time = </w:t>
      </w:r>
      <w:r w:rsidR="006C0210" w:rsidRPr="008C5301">
        <w:rPr>
          <w:rFonts w:cstheme="minorHAnsi"/>
        </w:rPr>
        <w:t>6</w:t>
      </w:r>
      <w:r w:rsidRPr="008C5301">
        <w:rPr>
          <w:rFonts w:cstheme="minorHAnsi"/>
        </w:rPr>
        <w:t>0 minutes</w:t>
      </w:r>
      <w:r w:rsidR="004352F1" w:rsidRPr="008C5301">
        <w:rPr>
          <w:rFonts w:cstheme="minorHAnsi"/>
        </w:rPr>
        <w:br/>
      </w:r>
    </w:p>
    <w:p w14:paraId="2A1B33BB" w14:textId="346DC582" w:rsidR="006C0210" w:rsidRDefault="00B00196" w:rsidP="00B00196">
      <w:pPr>
        <w:pStyle w:val="NormalWeb"/>
        <w:spacing w:before="0" w:beforeAutospacing="0" w:after="0" w:afterAutospacing="0"/>
        <w:ind w:right="-270"/>
        <w:jc w:val="center"/>
        <w:rPr>
          <w:rFonts w:asciiTheme="minorHAnsi" w:hAnsiTheme="minorHAnsi" w:cstheme="minorHAnsi"/>
          <w:b/>
          <w:bCs/>
          <w:color w:val="000000"/>
          <w:sz w:val="22"/>
          <w:szCs w:val="22"/>
        </w:rPr>
      </w:pPr>
      <w:r w:rsidRPr="0064650B">
        <w:rPr>
          <w:rFonts w:asciiTheme="minorHAnsi" w:hAnsiTheme="minorHAnsi" w:cstheme="minorHAnsi"/>
          <w:b/>
          <w:sz w:val="22"/>
          <w:szCs w:val="22"/>
          <w:u w:val="single"/>
        </w:rPr>
        <w:t xml:space="preserve">Speaker Biography: </w:t>
      </w:r>
      <w:r w:rsidRPr="0064650B">
        <w:rPr>
          <w:rFonts w:asciiTheme="minorHAnsi" w:hAnsiTheme="minorHAnsi" w:cstheme="minorHAnsi"/>
          <w:b/>
          <w:sz w:val="22"/>
          <w:szCs w:val="22"/>
          <w:u w:val="single"/>
        </w:rPr>
        <w:br/>
      </w:r>
      <w:r w:rsidRPr="0064650B">
        <w:rPr>
          <w:rFonts w:asciiTheme="minorHAnsi" w:hAnsiTheme="minorHAnsi" w:cstheme="minorHAnsi"/>
          <w:b/>
          <w:sz w:val="22"/>
          <w:szCs w:val="22"/>
          <w:u w:val="single"/>
        </w:rPr>
        <w:br/>
      </w:r>
      <w:r w:rsidR="006C0210">
        <w:rPr>
          <w:rFonts w:asciiTheme="minorHAnsi" w:hAnsiTheme="minorHAnsi" w:cstheme="minorHAnsi"/>
          <w:b/>
          <w:bCs/>
          <w:color w:val="000000"/>
          <w:sz w:val="22"/>
          <w:szCs w:val="22"/>
        </w:rPr>
        <w:t>David McKnight</w:t>
      </w:r>
    </w:p>
    <w:p w14:paraId="67544A81" w14:textId="313E7B9F" w:rsidR="00B00196" w:rsidRPr="0064650B" w:rsidRDefault="006C0210" w:rsidP="00B00196">
      <w:pPr>
        <w:pStyle w:val="NormalWeb"/>
        <w:spacing w:before="0" w:beforeAutospacing="0" w:after="0" w:afterAutospacing="0"/>
        <w:ind w:right="-270"/>
        <w:jc w:val="center"/>
        <w:rPr>
          <w:rFonts w:asciiTheme="minorHAnsi" w:hAnsiTheme="minorHAnsi" w:cstheme="minorHAnsi"/>
          <w:sz w:val="22"/>
          <w:szCs w:val="22"/>
        </w:rPr>
      </w:pPr>
      <w:r>
        <w:rPr>
          <w:rFonts w:asciiTheme="minorHAnsi" w:hAnsiTheme="minorHAnsi" w:cstheme="minorHAnsi"/>
          <w:b/>
          <w:bCs/>
          <w:color w:val="000000"/>
          <w:sz w:val="22"/>
          <w:szCs w:val="22"/>
        </w:rPr>
        <w:t>Best-Selling Author</w:t>
      </w:r>
      <w:r w:rsidR="00E66C97" w:rsidRPr="0064650B">
        <w:rPr>
          <w:rFonts w:asciiTheme="minorHAnsi" w:hAnsiTheme="minorHAnsi" w:cstheme="minorHAnsi"/>
          <w:b/>
          <w:bCs/>
          <w:color w:val="000000"/>
          <w:sz w:val="22"/>
          <w:szCs w:val="22"/>
        </w:rPr>
        <w:br/>
      </w:r>
      <w:r w:rsidR="00E66C97" w:rsidRPr="0064650B">
        <w:rPr>
          <w:rFonts w:asciiTheme="minorHAnsi" w:hAnsiTheme="minorHAnsi" w:cstheme="minorHAnsi"/>
          <w:b/>
          <w:bCs/>
          <w:color w:val="000000"/>
          <w:sz w:val="22"/>
          <w:szCs w:val="22"/>
        </w:rPr>
        <w:br/>
      </w:r>
      <w:r>
        <w:rPr>
          <w:noProof/>
        </w:rPr>
        <w:drawing>
          <wp:inline distT="0" distB="0" distL="0" distR="0" wp14:anchorId="58720A4B" wp14:editId="32EC607D">
            <wp:extent cx="1840832" cy="14573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45872" cy="1461315"/>
                    </a:xfrm>
                    <a:prstGeom prst="rect">
                      <a:avLst/>
                    </a:prstGeom>
                    <a:noFill/>
                    <a:ln>
                      <a:noFill/>
                    </a:ln>
                  </pic:spPr>
                </pic:pic>
              </a:graphicData>
            </a:graphic>
          </wp:inline>
        </w:drawing>
      </w:r>
      <w:r w:rsidR="00E66C97" w:rsidRPr="0064650B">
        <w:rPr>
          <w:rFonts w:asciiTheme="minorHAnsi" w:hAnsiTheme="minorHAnsi" w:cstheme="minorHAnsi"/>
          <w:color w:val="000000"/>
          <w:sz w:val="22"/>
          <w:szCs w:val="22"/>
        </w:rPr>
        <w:t xml:space="preserve"> </w:t>
      </w:r>
      <w:r w:rsidR="00E66C97" w:rsidRPr="0064650B">
        <w:rPr>
          <w:rFonts w:asciiTheme="minorHAnsi" w:hAnsiTheme="minorHAnsi" w:cstheme="minorHAnsi"/>
          <w:color w:val="000000"/>
          <w:sz w:val="22"/>
          <w:szCs w:val="22"/>
        </w:rPr>
        <w:br/>
      </w:r>
      <w:r w:rsidR="00E66C97" w:rsidRPr="0064650B">
        <w:rPr>
          <w:rFonts w:asciiTheme="minorHAnsi" w:hAnsiTheme="minorHAnsi" w:cstheme="minorHAnsi"/>
          <w:color w:val="000000"/>
          <w:sz w:val="22"/>
          <w:szCs w:val="22"/>
        </w:rPr>
        <w:br/>
        <w:t> </w:t>
      </w:r>
      <w:r w:rsidR="00E66C97" w:rsidRPr="0064650B">
        <w:rPr>
          <w:rFonts w:asciiTheme="minorHAnsi" w:hAnsiTheme="minorHAnsi" w:cstheme="minorHAnsi"/>
          <w:color w:val="000000"/>
          <w:sz w:val="22"/>
          <w:szCs w:val="22"/>
        </w:rPr>
        <w:br/>
      </w:r>
    </w:p>
    <w:p w14:paraId="07D181ED" w14:textId="77777777" w:rsidR="006C0210" w:rsidRPr="006C0210" w:rsidRDefault="006C0210" w:rsidP="006C0210">
      <w:pPr>
        <w:spacing w:after="0" w:line="240" w:lineRule="auto"/>
        <w:rPr>
          <w:rFonts w:eastAsia="Times New Roman" w:cstheme="minorHAnsi"/>
        </w:rPr>
      </w:pPr>
      <w:r w:rsidRPr="006C0210">
        <w:rPr>
          <w:rFonts w:eastAsia="Times New Roman" w:cstheme="minorHAnsi"/>
        </w:rPr>
        <w:t>David McKnight graduated from Brigham Young University with Honors in 1997. Over the past 20 years David has helped put thousands of Americans on the road to the zero percent tax bracket. He has been featured in Forbes, USA Today, The New York Times, Fox Business, Bloomberg Radio, MarketWatch, CBS Radio, CNBC, Yahoo Finance, Nasdaq.com, Reuters, Investor’s Business Daily and numerous other national publications. David was a Focus Speaker at the worldwide annual meeting of MDRT in Toronto, Canada and is a multiple Top of the Table qualifier. His bestselling book The Power of Zero has sold over 185,000 copies and the updated and revised version was published by Penguin Random House. When it was launched in September of 2018, it finished the week as the #2 most-sold business book in the world. In 2019 The Power of Zero was ranked as the #9 best financial resource in the country by Forbes Magazine. This book was recently made into a full-length documentary film, also entitled The Power of Zero. As the President of David McKnight &amp; Company, he mentors hundreds of financial advisors from across the country who specialize in The Power of Zero retirement approach. He and his wife Felice have seven children.</w:t>
      </w:r>
    </w:p>
    <w:p w14:paraId="3764CD1C" w14:textId="1A4F6C7D" w:rsidR="00AD7F59" w:rsidRPr="00633939" w:rsidRDefault="00AD7F59" w:rsidP="00B00196">
      <w:pPr>
        <w:spacing w:after="0" w:line="240" w:lineRule="auto"/>
        <w:rPr>
          <w:rFonts w:eastAsia="Times New Roman" w:cstheme="minorHAnsi"/>
        </w:rPr>
      </w:pPr>
    </w:p>
    <w:sectPr w:rsidR="00AD7F59" w:rsidRPr="00633939" w:rsidSect="00733E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D46DD"/>
    <w:multiLevelType w:val="hybridMultilevel"/>
    <w:tmpl w:val="39D02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1A240A">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23B10"/>
    <w:multiLevelType w:val="hybridMultilevel"/>
    <w:tmpl w:val="137A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0E0F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59"/>
    <w:rsid w:val="000566F3"/>
    <w:rsid w:val="00082178"/>
    <w:rsid w:val="000A410B"/>
    <w:rsid w:val="000A68BB"/>
    <w:rsid w:val="00224E66"/>
    <w:rsid w:val="00265C98"/>
    <w:rsid w:val="00367130"/>
    <w:rsid w:val="004179BF"/>
    <w:rsid w:val="004352F1"/>
    <w:rsid w:val="00447BD6"/>
    <w:rsid w:val="004C0731"/>
    <w:rsid w:val="00532C98"/>
    <w:rsid w:val="005F6B62"/>
    <w:rsid w:val="00613DDF"/>
    <w:rsid w:val="00633939"/>
    <w:rsid w:val="0064650B"/>
    <w:rsid w:val="0068137A"/>
    <w:rsid w:val="006C0210"/>
    <w:rsid w:val="00710E43"/>
    <w:rsid w:val="0072524D"/>
    <w:rsid w:val="00733E5A"/>
    <w:rsid w:val="0075771F"/>
    <w:rsid w:val="00780EC5"/>
    <w:rsid w:val="00786F3B"/>
    <w:rsid w:val="007A0543"/>
    <w:rsid w:val="007F7FF8"/>
    <w:rsid w:val="00862CE9"/>
    <w:rsid w:val="008C5301"/>
    <w:rsid w:val="0094191D"/>
    <w:rsid w:val="00AC40AF"/>
    <w:rsid w:val="00AD7F59"/>
    <w:rsid w:val="00B00196"/>
    <w:rsid w:val="00C64951"/>
    <w:rsid w:val="00D432B7"/>
    <w:rsid w:val="00DB2246"/>
    <w:rsid w:val="00E66C97"/>
    <w:rsid w:val="00E73B7B"/>
    <w:rsid w:val="00EC1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2C9"/>
  <w15:docId w15:val="{33E3414A-BEE0-4DFE-9277-4729C01D1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F6B62"/>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6C02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F59"/>
    <w:pPr>
      <w:ind w:left="720"/>
      <w:contextualSpacing/>
    </w:pPr>
  </w:style>
  <w:style w:type="paragraph" w:styleId="NormalWeb">
    <w:name w:val="Normal (Web)"/>
    <w:basedOn w:val="Normal"/>
    <w:uiPriority w:val="99"/>
    <w:unhideWhenUsed/>
    <w:rsid w:val="00B001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B00196"/>
  </w:style>
  <w:style w:type="paragraph" w:styleId="BalloonText">
    <w:name w:val="Balloon Text"/>
    <w:basedOn w:val="Normal"/>
    <w:link w:val="BalloonTextChar"/>
    <w:uiPriority w:val="99"/>
    <w:semiHidden/>
    <w:unhideWhenUsed/>
    <w:rsid w:val="00B00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196"/>
    <w:rPr>
      <w:rFonts w:ascii="Segoe UI" w:hAnsi="Segoe UI" w:cs="Segoe UI"/>
      <w:sz w:val="18"/>
      <w:szCs w:val="18"/>
    </w:rPr>
  </w:style>
  <w:style w:type="character" w:customStyle="1" w:styleId="Heading2Char">
    <w:name w:val="Heading 2 Char"/>
    <w:basedOn w:val="DefaultParagraphFont"/>
    <w:link w:val="Heading2"/>
    <w:uiPriority w:val="9"/>
    <w:rsid w:val="005F6B62"/>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E66C97"/>
    <w:rPr>
      <w:b/>
      <w:bCs/>
    </w:rPr>
  </w:style>
  <w:style w:type="character" w:customStyle="1" w:styleId="Heading5Char">
    <w:name w:val="Heading 5 Char"/>
    <w:basedOn w:val="DefaultParagraphFont"/>
    <w:link w:val="Heading5"/>
    <w:uiPriority w:val="9"/>
    <w:semiHidden/>
    <w:rsid w:val="006C021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81766">
      <w:bodyDiv w:val="1"/>
      <w:marLeft w:val="0"/>
      <w:marRight w:val="0"/>
      <w:marTop w:val="0"/>
      <w:marBottom w:val="0"/>
      <w:divBdr>
        <w:top w:val="none" w:sz="0" w:space="0" w:color="auto"/>
        <w:left w:val="none" w:sz="0" w:space="0" w:color="auto"/>
        <w:bottom w:val="none" w:sz="0" w:space="0" w:color="auto"/>
        <w:right w:val="none" w:sz="0" w:space="0" w:color="auto"/>
      </w:divBdr>
    </w:div>
    <w:div w:id="662665484">
      <w:bodyDiv w:val="1"/>
      <w:marLeft w:val="0"/>
      <w:marRight w:val="0"/>
      <w:marTop w:val="0"/>
      <w:marBottom w:val="0"/>
      <w:divBdr>
        <w:top w:val="none" w:sz="0" w:space="0" w:color="auto"/>
        <w:left w:val="none" w:sz="0" w:space="0" w:color="auto"/>
        <w:bottom w:val="none" w:sz="0" w:space="0" w:color="auto"/>
        <w:right w:val="none" w:sz="0" w:space="0" w:color="auto"/>
      </w:divBdr>
    </w:div>
    <w:div w:id="115102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613</Words>
  <Characters>3497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DeWitt</dc:creator>
  <cp:lastModifiedBy>Tara Laptew</cp:lastModifiedBy>
  <cp:revision>2</cp:revision>
  <dcterms:created xsi:type="dcterms:W3CDTF">2019-08-21T13:40:00Z</dcterms:created>
  <dcterms:modified xsi:type="dcterms:W3CDTF">2019-08-21T13:40:00Z</dcterms:modified>
</cp:coreProperties>
</file>