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9EB" w:rsidRPr="004F79EB" w:rsidRDefault="004F79EB" w:rsidP="004F79EB">
      <w:pPr>
        <w:jc w:val="both"/>
        <w:rPr>
          <w:rFonts w:ascii="Arial" w:hAnsi="Arial" w:cs="Arial"/>
          <w:b/>
          <w:sz w:val="28"/>
          <w:szCs w:val="28"/>
        </w:rPr>
      </w:pPr>
      <w:r w:rsidRPr="004F79EB">
        <w:rPr>
          <w:rFonts w:ascii="Arial" w:hAnsi="Arial" w:cs="Arial"/>
          <w:b/>
          <w:sz w:val="28"/>
          <w:szCs w:val="28"/>
        </w:rPr>
        <w:t>Importer ACH Background Information</w:t>
      </w:r>
    </w:p>
    <w:p w:rsidR="004F79EB" w:rsidRPr="004F79EB" w:rsidRDefault="004F79EB" w:rsidP="004F79EB">
      <w:pPr>
        <w:jc w:val="both"/>
        <w:rPr>
          <w:rFonts w:ascii="Arial" w:hAnsi="Arial" w:cs="Arial"/>
        </w:rPr>
      </w:pPr>
    </w:p>
    <w:p w:rsidR="004F79EB" w:rsidRPr="004F79EB" w:rsidRDefault="004F79EB" w:rsidP="004F79EB">
      <w:pPr>
        <w:jc w:val="both"/>
        <w:rPr>
          <w:rFonts w:ascii="Arial" w:hAnsi="Arial" w:cs="Arial"/>
        </w:rPr>
      </w:pPr>
      <w:r w:rsidRPr="004F79EB">
        <w:rPr>
          <w:rFonts w:ascii="Arial" w:hAnsi="Arial" w:cs="Arial"/>
        </w:rPr>
        <w:t>In 2016, Customs and Border Protection processed over $2.2 trillion in imports and collected more than $44 billion in duties, taxes and other fees while processing o</w:t>
      </w:r>
      <w:r w:rsidRPr="004F79EB">
        <w:rPr>
          <w:rFonts w:ascii="Arial" w:hAnsi="Arial" w:cs="Arial"/>
        </w:rPr>
        <w:t xml:space="preserve">ver 32 million import entries. Revenue </w:t>
      </w:r>
      <w:r w:rsidRPr="004F79EB">
        <w:rPr>
          <w:rFonts w:ascii="Arial" w:hAnsi="Arial" w:cs="Arial"/>
        </w:rPr>
        <w:t>collection is one of the oldest functions of CBP and The Code of Federa</w:t>
      </w:r>
      <w:r w:rsidRPr="004F79EB">
        <w:rPr>
          <w:rFonts w:ascii="Arial" w:hAnsi="Arial" w:cs="Arial"/>
        </w:rPr>
        <w:t xml:space="preserve">l Regulations 19, Chapter 141.1 </w:t>
      </w:r>
      <w:r w:rsidRPr="004F79EB">
        <w:rPr>
          <w:rFonts w:ascii="Arial" w:hAnsi="Arial" w:cs="Arial"/>
        </w:rPr>
        <w:t xml:space="preserve">notifies the importer that the duties and taxes and liability for paying them constitutes a personal debt due from the importer to the United States, only satisfied by payment in full.  </w:t>
      </w:r>
    </w:p>
    <w:p w:rsidR="004F79EB" w:rsidRPr="004F79EB" w:rsidRDefault="004F79EB" w:rsidP="004F79EB">
      <w:pPr>
        <w:jc w:val="both"/>
        <w:rPr>
          <w:rFonts w:ascii="Arial" w:hAnsi="Arial" w:cs="Arial"/>
        </w:rPr>
      </w:pPr>
      <w:bookmarkStart w:id="0" w:name="_GoBack"/>
      <w:bookmarkEnd w:id="0"/>
    </w:p>
    <w:p w:rsidR="004F79EB" w:rsidRPr="004F79EB" w:rsidRDefault="004F79EB" w:rsidP="004F79EB">
      <w:pPr>
        <w:jc w:val="both"/>
        <w:rPr>
          <w:rFonts w:ascii="Arial" w:hAnsi="Arial" w:cs="Arial"/>
        </w:rPr>
      </w:pPr>
      <w:r w:rsidRPr="004F79EB">
        <w:rPr>
          <w:rFonts w:ascii="Arial" w:hAnsi="Arial" w:cs="Arial"/>
        </w:rPr>
        <w:t>Payment in full to a broker does not relieve the importer of liability if the duti</w:t>
      </w:r>
      <w:r w:rsidRPr="004F79EB">
        <w:rPr>
          <w:rFonts w:ascii="Arial" w:hAnsi="Arial" w:cs="Arial"/>
        </w:rPr>
        <w:t xml:space="preserve">es are not paid by the broker. </w:t>
      </w:r>
      <w:r w:rsidRPr="004F79EB">
        <w:rPr>
          <w:rFonts w:ascii="Arial" w:hAnsi="Arial" w:cs="Arial"/>
        </w:rPr>
        <w:t>A customs bond filed with the</w:t>
      </w:r>
      <w:r w:rsidRPr="004F79EB">
        <w:rPr>
          <w:rFonts w:ascii="Arial" w:hAnsi="Arial" w:cs="Arial"/>
        </w:rPr>
        <w:t xml:space="preserve"> entry, though required by law,</w:t>
      </w:r>
      <w:r w:rsidRPr="004F79EB">
        <w:rPr>
          <w:rFonts w:ascii="Arial" w:hAnsi="Arial" w:cs="Arial"/>
        </w:rPr>
        <w:t xml:space="preserve"> does not relieve the importer of the liability </w:t>
      </w:r>
      <w:r w:rsidRPr="004F79EB">
        <w:rPr>
          <w:rFonts w:ascii="Arial" w:hAnsi="Arial" w:cs="Arial"/>
        </w:rPr>
        <w:t>of the duties. To</w:t>
      </w:r>
      <w:r w:rsidRPr="004F79EB">
        <w:rPr>
          <w:rFonts w:ascii="Arial" w:hAnsi="Arial" w:cs="Arial"/>
        </w:rPr>
        <w:t xml:space="preserve"> satisfy this requirement, Customs allows the importer to pay their duties and taxes by direct payment to Customs or </w:t>
      </w:r>
      <w:r w:rsidRPr="004F79EB">
        <w:rPr>
          <w:rFonts w:ascii="Arial" w:hAnsi="Arial" w:cs="Arial"/>
        </w:rPr>
        <w:t>through the Importer’s broker. </w:t>
      </w:r>
      <w:r w:rsidRPr="004F79EB">
        <w:rPr>
          <w:rFonts w:ascii="Arial" w:hAnsi="Arial" w:cs="Arial"/>
        </w:rPr>
        <w:t>19CFR24 provides the allowable method of payment, including:</w:t>
      </w:r>
    </w:p>
    <w:p w:rsidR="004F79EB" w:rsidRPr="004F79EB" w:rsidRDefault="004F79EB" w:rsidP="004F79EB">
      <w:pPr>
        <w:jc w:val="both"/>
        <w:rPr>
          <w:rFonts w:ascii="Arial" w:hAnsi="Arial" w:cs="Arial"/>
        </w:rPr>
      </w:pPr>
    </w:p>
    <w:p w:rsidR="004F79EB" w:rsidRPr="004F79EB" w:rsidRDefault="004F79EB" w:rsidP="004F79EB">
      <w:pPr>
        <w:numPr>
          <w:ilvl w:val="0"/>
          <w:numId w:val="1"/>
        </w:numPr>
        <w:jc w:val="both"/>
        <w:rPr>
          <w:rFonts w:ascii="Arial" w:eastAsia="Times New Roman" w:hAnsi="Arial" w:cs="Arial"/>
        </w:rPr>
      </w:pPr>
      <w:r w:rsidRPr="004F79EB">
        <w:rPr>
          <w:rFonts w:ascii="Arial" w:eastAsia="Times New Roman" w:hAnsi="Arial" w:cs="Arial"/>
        </w:rPr>
        <w:t>US Currency or coin</w:t>
      </w:r>
    </w:p>
    <w:p w:rsidR="004F79EB" w:rsidRPr="004F79EB" w:rsidRDefault="004F79EB" w:rsidP="004F79EB">
      <w:pPr>
        <w:numPr>
          <w:ilvl w:val="0"/>
          <w:numId w:val="1"/>
        </w:numPr>
        <w:jc w:val="both"/>
        <w:rPr>
          <w:rFonts w:ascii="Arial" w:eastAsia="Times New Roman" w:hAnsi="Arial" w:cs="Arial"/>
        </w:rPr>
      </w:pPr>
      <w:r w:rsidRPr="004F79EB">
        <w:rPr>
          <w:rFonts w:ascii="Arial" w:eastAsia="Times New Roman" w:hAnsi="Arial" w:cs="Arial"/>
        </w:rPr>
        <w:t>Bank draft/Cashier’s check/Certified Check</w:t>
      </w:r>
    </w:p>
    <w:p w:rsidR="004F79EB" w:rsidRPr="004F79EB" w:rsidRDefault="004F79EB" w:rsidP="004F79EB">
      <w:pPr>
        <w:numPr>
          <w:ilvl w:val="0"/>
          <w:numId w:val="1"/>
        </w:numPr>
        <w:jc w:val="both"/>
        <w:rPr>
          <w:rFonts w:ascii="Arial" w:eastAsia="Times New Roman" w:hAnsi="Arial" w:cs="Arial"/>
        </w:rPr>
      </w:pPr>
      <w:r w:rsidRPr="004F79EB">
        <w:rPr>
          <w:rFonts w:ascii="Arial" w:eastAsia="Times New Roman" w:hAnsi="Arial" w:cs="Arial"/>
        </w:rPr>
        <w:t>Uncertified check w/ Surety bond</w:t>
      </w:r>
    </w:p>
    <w:p w:rsidR="004F79EB" w:rsidRPr="004F79EB" w:rsidRDefault="004F79EB" w:rsidP="004F79EB">
      <w:pPr>
        <w:numPr>
          <w:ilvl w:val="0"/>
          <w:numId w:val="1"/>
        </w:numPr>
        <w:jc w:val="both"/>
        <w:rPr>
          <w:rFonts w:ascii="Arial" w:eastAsia="Times New Roman" w:hAnsi="Arial" w:cs="Arial"/>
        </w:rPr>
      </w:pPr>
      <w:r w:rsidRPr="004F79EB">
        <w:rPr>
          <w:rFonts w:ascii="Arial" w:eastAsia="Times New Roman" w:hAnsi="Arial" w:cs="Arial"/>
        </w:rPr>
        <w:t>US Government check</w:t>
      </w:r>
    </w:p>
    <w:p w:rsidR="004F79EB" w:rsidRPr="004F79EB" w:rsidRDefault="004F79EB" w:rsidP="004F79EB">
      <w:pPr>
        <w:numPr>
          <w:ilvl w:val="0"/>
          <w:numId w:val="1"/>
        </w:numPr>
        <w:jc w:val="both"/>
        <w:rPr>
          <w:rFonts w:ascii="Arial" w:eastAsia="Times New Roman" w:hAnsi="Arial" w:cs="Arial"/>
        </w:rPr>
      </w:pPr>
      <w:r w:rsidRPr="004F79EB">
        <w:rPr>
          <w:rFonts w:ascii="Arial" w:eastAsia="Times New Roman" w:hAnsi="Arial" w:cs="Arial"/>
        </w:rPr>
        <w:t>Credit or Charge card</w:t>
      </w:r>
    </w:p>
    <w:p w:rsidR="004F79EB" w:rsidRPr="004F79EB" w:rsidRDefault="004F79EB" w:rsidP="004F79EB">
      <w:pPr>
        <w:numPr>
          <w:ilvl w:val="0"/>
          <w:numId w:val="1"/>
        </w:numPr>
        <w:jc w:val="both"/>
        <w:rPr>
          <w:rFonts w:ascii="Arial" w:eastAsia="Times New Roman" w:hAnsi="Arial" w:cs="Arial"/>
        </w:rPr>
      </w:pPr>
      <w:r w:rsidRPr="004F79EB">
        <w:rPr>
          <w:rFonts w:ascii="Arial" w:eastAsia="Times New Roman" w:hAnsi="Arial" w:cs="Arial"/>
        </w:rPr>
        <w:t>Automated Clearinghouse using Statement processing</w:t>
      </w:r>
    </w:p>
    <w:p w:rsidR="004F79EB" w:rsidRPr="004F79EB" w:rsidRDefault="004F79EB" w:rsidP="004F79EB">
      <w:pPr>
        <w:jc w:val="both"/>
        <w:rPr>
          <w:rFonts w:ascii="Arial" w:hAnsi="Arial" w:cs="Arial"/>
        </w:rPr>
      </w:pPr>
    </w:p>
    <w:p w:rsidR="004F79EB" w:rsidRPr="004F79EB" w:rsidRDefault="004F79EB" w:rsidP="004F79EB">
      <w:pPr>
        <w:jc w:val="both"/>
        <w:rPr>
          <w:rFonts w:ascii="Arial" w:hAnsi="Arial" w:cs="Arial"/>
        </w:rPr>
      </w:pPr>
      <w:r w:rsidRPr="004F79EB">
        <w:rPr>
          <w:rFonts w:ascii="Arial" w:hAnsi="Arial" w:cs="Arial"/>
        </w:rPr>
        <w:t xml:space="preserve">Of </w:t>
      </w:r>
      <w:r w:rsidRPr="004F79EB">
        <w:rPr>
          <w:rFonts w:ascii="Arial" w:hAnsi="Arial" w:cs="Arial"/>
        </w:rPr>
        <w:t>all</w:t>
      </w:r>
      <w:r w:rsidRPr="004F79EB">
        <w:rPr>
          <w:rFonts w:ascii="Arial" w:hAnsi="Arial" w:cs="Arial"/>
        </w:rPr>
        <w:t xml:space="preserve"> the approved means of paying the duty liability, CBP Automated Clearinghouse is the most common method as well as the easiest method to ensure </w:t>
      </w:r>
      <w:r w:rsidRPr="004F79EB">
        <w:rPr>
          <w:rFonts w:ascii="Arial" w:hAnsi="Arial" w:cs="Arial"/>
        </w:rPr>
        <w:t>customs is paid automatically. </w:t>
      </w:r>
      <w:r w:rsidRPr="004F79EB">
        <w:rPr>
          <w:rFonts w:ascii="Arial" w:hAnsi="Arial" w:cs="Arial"/>
        </w:rPr>
        <w:t>ACH automates the process of generating and depositing checks, eliminates delay and risk associated with physical checks and provides a fast and paper-free method of paying duties and fees.</w:t>
      </w:r>
    </w:p>
    <w:p w:rsidR="004F79EB" w:rsidRPr="004F79EB" w:rsidRDefault="004F79EB" w:rsidP="004F79EB">
      <w:pPr>
        <w:jc w:val="both"/>
        <w:rPr>
          <w:rFonts w:ascii="Arial" w:hAnsi="Arial" w:cs="Arial"/>
        </w:rPr>
      </w:pPr>
    </w:p>
    <w:p w:rsidR="004F79EB" w:rsidRPr="004F79EB" w:rsidRDefault="004F79EB" w:rsidP="004F79EB">
      <w:pPr>
        <w:jc w:val="both"/>
        <w:rPr>
          <w:rFonts w:ascii="Arial" w:hAnsi="Arial" w:cs="Arial"/>
        </w:rPr>
      </w:pPr>
      <w:r w:rsidRPr="004F79EB">
        <w:rPr>
          <w:rFonts w:ascii="Arial" w:hAnsi="Arial" w:cs="Arial"/>
        </w:rPr>
        <w:t>CBP offers two ACH options to pay duties and taxes – ACH debit and ACH Credit.  ACH debit allows the importer or their broker to push the information to CBP with a UNIQUE PAYER UNIT NUMBER.  Customs then, through an arrangement with the importer or broker’s bank, collects the validated duty amount as notified on the statement of entry summaries on the 10</w:t>
      </w:r>
      <w:r w:rsidRPr="004F79EB">
        <w:rPr>
          <w:rFonts w:ascii="Arial" w:hAnsi="Arial" w:cs="Arial"/>
          <w:vertAlign w:val="superscript"/>
        </w:rPr>
        <w:t>th</w:t>
      </w:r>
      <w:r w:rsidRPr="004F79EB">
        <w:rPr>
          <w:rFonts w:ascii="Arial" w:hAnsi="Arial" w:cs="Arial"/>
        </w:rPr>
        <w:t xml:space="preserve"> </w:t>
      </w:r>
      <w:r w:rsidRPr="004F79EB">
        <w:rPr>
          <w:rFonts w:ascii="Arial" w:hAnsi="Arial" w:cs="Arial"/>
        </w:rPr>
        <w:t xml:space="preserve">day after the entry is filed.  </w:t>
      </w:r>
      <w:r w:rsidRPr="004F79EB">
        <w:rPr>
          <w:rFonts w:ascii="Arial" w:hAnsi="Arial" w:cs="Arial"/>
        </w:rPr>
        <w:t>BP cannot begin the transfer of funds until the filer tr</w:t>
      </w:r>
      <w:r w:rsidRPr="004F79EB">
        <w:rPr>
          <w:rFonts w:ascii="Arial" w:hAnsi="Arial" w:cs="Arial"/>
        </w:rPr>
        <w:t>ansmits payment authorization. </w:t>
      </w:r>
      <w:r w:rsidRPr="004F79EB">
        <w:rPr>
          <w:rFonts w:ascii="Arial" w:hAnsi="Arial" w:cs="Arial"/>
        </w:rPr>
        <w:t xml:space="preserve">And final payment authorization is not accepted unless the payer’s statement total equals the total recorded by CBP for that </w:t>
      </w:r>
      <w:r w:rsidRPr="004F79EB">
        <w:rPr>
          <w:rFonts w:ascii="Arial" w:hAnsi="Arial" w:cs="Arial"/>
        </w:rPr>
        <w:t>statement</w:t>
      </w:r>
      <w:r w:rsidRPr="004F79EB">
        <w:rPr>
          <w:rFonts w:ascii="Arial" w:hAnsi="Arial" w:cs="Arial"/>
        </w:rPr>
        <w:t xml:space="preserve">. </w:t>
      </w:r>
    </w:p>
    <w:p w:rsidR="004F79EB" w:rsidRPr="004F79EB" w:rsidRDefault="004F79EB" w:rsidP="004F79EB">
      <w:pPr>
        <w:jc w:val="both"/>
        <w:rPr>
          <w:rFonts w:ascii="Arial" w:hAnsi="Arial" w:cs="Arial"/>
        </w:rPr>
      </w:pPr>
    </w:p>
    <w:p w:rsidR="004F79EB" w:rsidRPr="004F79EB" w:rsidRDefault="004F79EB" w:rsidP="004F79EB">
      <w:pPr>
        <w:jc w:val="both"/>
        <w:rPr>
          <w:rFonts w:ascii="Arial" w:hAnsi="Arial" w:cs="Arial"/>
        </w:rPr>
      </w:pPr>
      <w:r w:rsidRPr="004F79EB">
        <w:rPr>
          <w:rFonts w:ascii="Arial" w:hAnsi="Arial" w:cs="Arial"/>
        </w:rPr>
        <w:t>ACH Credit allows the importer to push the information to CBP and then arrange payment of the duty and taxes on the agreed date, therefore allowing the payer to control the initiatio</w:t>
      </w:r>
      <w:r w:rsidRPr="004F79EB">
        <w:rPr>
          <w:rFonts w:ascii="Arial" w:hAnsi="Arial" w:cs="Arial"/>
        </w:rPr>
        <w:t xml:space="preserve">n and timing of the payment. </w:t>
      </w:r>
      <w:r w:rsidRPr="004F79EB">
        <w:rPr>
          <w:rFonts w:ascii="Arial" w:hAnsi="Arial" w:cs="Arial"/>
        </w:rPr>
        <w:t xml:space="preserve">There is no Unique Payer Unit Number because the process is managed by the importer – from validation of the statement amount to payment of the statement amount to Customs. </w:t>
      </w:r>
    </w:p>
    <w:p w:rsidR="00693088" w:rsidRDefault="004F79EB"/>
    <w:sectPr w:rsidR="0069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57A44"/>
    <w:multiLevelType w:val="hybridMultilevel"/>
    <w:tmpl w:val="B91C0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EB"/>
    <w:rsid w:val="004F79EB"/>
    <w:rsid w:val="00AA3A78"/>
    <w:rsid w:val="00B63E3F"/>
    <w:rsid w:val="00CE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7DA2"/>
  <w15:chartTrackingRefBased/>
  <w15:docId w15:val="{C8FD18A9-A136-476D-9E1F-1B673192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9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5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Frendreis (R1DOW x3007712)</dc:creator>
  <cp:keywords/>
  <dc:description/>
  <cp:lastModifiedBy>Ian Frendreis (R1DOW x3007712)</cp:lastModifiedBy>
  <cp:revision>1</cp:revision>
  <dcterms:created xsi:type="dcterms:W3CDTF">2018-09-28T16:10:00Z</dcterms:created>
  <dcterms:modified xsi:type="dcterms:W3CDTF">2018-09-28T16:13:00Z</dcterms:modified>
</cp:coreProperties>
</file>