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E2" w:rsidRDefault="00323DE2"/>
    <w:p w:rsidR="00862904" w:rsidRDefault="00862904" w:rsidP="00862904">
      <w:pPr>
        <w:pStyle w:val="Default"/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</w:p>
    <w:p w:rsidR="00862904" w:rsidRPr="00862904" w:rsidRDefault="00862904" w:rsidP="00862904">
      <w:pPr>
        <w:pStyle w:val="Default"/>
        <w:jc w:val="center"/>
        <w:rPr>
          <w:color w:val="002060"/>
          <w:sz w:val="48"/>
          <w:szCs w:val="48"/>
        </w:rPr>
      </w:pPr>
      <w:r w:rsidRPr="00862904">
        <w:rPr>
          <w:b/>
          <w:bCs/>
          <w:color w:val="002060"/>
          <w:sz w:val="48"/>
          <w:szCs w:val="48"/>
        </w:rPr>
        <w:t>Öffentliches Verfahrensverzeichnis</w:t>
      </w:r>
    </w:p>
    <w:p w:rsidR="00862904" w:rsidRDefault="00862904" w:rsidP="00862904">
      <w:pPr>
        <w:pStyle w:val="Default"/>
        <w:jc w:val="center"/>
        <w:rPr>
          <w:b/>
          <w:bCs/>
          <w:color w:val="002060"/>
          <w:sz w:val="48"/>
          <w:szCs w:val="48"/>
        </w:rPr>
      </w:pPr>
      <w:r w:rsidRPr="00862904">
        <w:rPr>
          <w:b/>
          <w:bCs/>
          <w:color w:val="002060"/>
          <w:sz w:val="48"/>
          <w:szCs w:val="48"/>
        </w:rPr>
        <w:t>nach § 4 g Absatz 2 BDSG</w:t>
      </w:r>
    </w:p>
    <w:p w:rsidR="00862904" w:rsidRPr="00862904" w:rsidRDefault="00862904" w:rsidP="00862904">
      <w:pPr>
        <w:pStyle w:val="Default"/>
        <w:jc w:val="center"/>
        <w:rPr>
          <w:color w:val="002060"/>
          <w:sz w:val="48"/>
          <w:szCs w:val="48"/>
        </w:rPr>
      </w:pPr>
    </w:p>
    <w:p w:rsidR="00862904" w:rsidRDefault="00370AC8" w:rsidP="00862904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von </w:t>
      </w:r>
      <w:r w:rsidR="009B5FBC">
        <w:rPr>
          <w:b/>
          <w:bCs/>
          <w:color w:val="002060"/>
          <w:sz w:val="28"/>
          <w:szCs w:val="28"/>
        </w:rPr>
        <w:t xml:space="preserve">Engel &amp; Paschhoff, </w:t>
      </w:r>
      <w:r w:rsidR="00CB6577">
        <w:rPr>
          <w:b/>
          <w:bCs/>
          <w:color w:val="002060"/>
          <w:sz w:val="28"/>
          <w:szCs w:val="28"/>
        </w:rPr>
        <w:t>Rechtsanwälte &amp; Steuerberater,</w:t>
      </w:r>
      <w:r w:rsidR="009E76AA">
        <w:rPr>
          <w:b/>
          <w:bCs/>
          <w:color w:val="002060"/>
          <w:sz w:val="28"/>
          <w:szCs w:val="28"/>
        </w:rPr>
        <w:t xml:space="preserve"> PartG mbB,</w:t>
      </w:r>
      <w:r w:rsidR="00CB6577">
        <w:rPr>
          <w:b/>
          <w:bCs/>
          <w:color w:val="002060"/>
          <w:sz w:val="28"/>
          <w:szCs w:val="28"/>
        </w:rPr>
        <w:t xml:space="preserve"> </w:t>
      </w:r>
      <w:r w:rsidR="009B5FBC">
        <w:rPr>
          <w:b/>
          <w:bCs/>
          <w:color w:val="002060"/>
          <w:sz w:val="28"/>
          <w:szCs w:val="28"/>
        </w:rPr>
        <w:t>Wuppertal</w:t>
      </w: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203342" w:rsidRDefault="0020334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Default="00862904" w:rsidP="00862904">
      <w:pPr>
        <w:jc w:val="center"/>
        <w:rPr>
          <w:b/>
          <w:bCs/>
          <w:color w:val="002060"/>
          <w:sz w:val="28"/>
          <w:szCs w:val="28"/>
        </w:rPr>
      </w:pPr>
    </w:p>
    <w:p w:rsidR="00862904" w:rsidRPr="00862904" w:rsidRDefault="00862904" w:rsidP="00862904">
      <w:pPr>
        <w:pStyle w:val="Default"/>
        <w:rPr>
          <w:color w:val="002060"/>
          <w:sz w:val="32"/>
          <w:szCs w:val="32"/>
        </w:rPr>
      </w:pPr>
      <w:r w:rsidRPr="00203342">
        <w:rPr>
          <w:color w:val="002060"/>
          <w:sz w:val="32"/>
          <w:szCs w:val="32"/>
        </w:rPr>
        <w:t xml:space="preserve">1 </w:t>
      </w:r>
      <w:r w:rsidRPr="00203342">
        <w:rPr>
          <w:color w:val="002060"/>
          <w:sz w:val="32"/>
          <w:szCs w:val="32"/>
        </w:rPr>
        <w:tab/>
      </w:r>
      <w:r w:rsidRPr="00862904">
        <w:rPr>
          <w:color w:val="002060"/>
          <w:sz w:val="32"/>
          <w:szCs w:val="32"/>
        </w:rPr>
        <w:t xml:space="preserve">Name der verantwortlichen Stelle </w:t>
      </w:r>
    </w:p>
    <w:p w:rsidR="00862904" w:rsidRDefault="0037167B" w:rsidP="00370AC8">
      <w:pPr>
        <w:pStyle w:val="Default"/>
        <w:ind w:firstLine="705"/>
      </w:pPr>
      <w:r>
        <w:t>Engel &amp; Paschhoff, Rechtsanwälte &amp; Steuerberater</w:t>
      </w:r>
    </w:p>
    <w:p w:rsidR="00D00240" w:rsidRDefault="00D00240" w:rsidP="00370AC8">
      <w:pPr>
        <w:pStyle w:val="Default"/>
        <w:ind w:firstLine="705"/>
      </w:pPr>
    </w:p>
    <w:p w:rsidR="00D00240" w:rsidRDefault="00D00240" w:rsidP="00862904">
      <w:pPr>
        <w:pStyle w:val="Default"/>
        <w:rPr>
          <w:sz w:val="22"/>
          <w:szCs w:val="22"/>
        </w:rPr>
      </w:pPr>
    </w:p>
    <w:p w:rsidR="00862904" w:rsidRPr="00862904" w:rsidRDefault="00862904" w:rsidP="00862904">
      <w:pPr>
        <w:pStyle w:val="Default"/>
        <w:ind w:left="705" w:hanging="705"/>
        <w:rPr>
          <w:color w:val="002060"/>
          <w:sz w:val="32"/>
          <w:szCs w:val="32"/>
        </w:rPr>
      </w:pPr>
      <w:r w:rsidRPr="00B03288">
        <w:rPr>
          <w:color w:val="002060"/>
          <w:sz w:val="32"/>
          <w:szCs w:val="32"/>
        </w:rPr>
        <w:t>2</w:t>
      </w:r>
      <w:r>
        <w:rPr>
          <w:color w:val="002060"/>
          <w:sz w:val="28"/>
          <w:szCs w:val="28"/>
        </w:rPr>
        <w:tab/>
      </w:r>
      <w:r w:rsidR="00D00240" w:rsidRPr="00D00240">
        <w:rPr>
          <w:color w:val="002060"/>
          <w:sz w:val="32"/>
          <w:szCs w:val="32"/>
        </w:rPr>
        <w:t>Leiter der verantwortlichen Stelle (</w:t>
      </w:r>
      <w:r w:rsidRPr="00862904">
        <w:rPr>
          <w:color w:val="002060"/>
          <w:sz w:val="32"/>
          <w:szCs w:val="32"/>
        </w:rPr>
        <w:t xml:space="preserve">Inhaber, </w:t>
      </w:r>
      <w:r w:rsidR="00D00240">
        <w:rPr>
          <w:color w:val="002060"/>
          <w:sz w:val="32"/>
          <w:szCs w:val="32"/>
        </w:rPr>
        <w:t>Kanzleileitung</w:t>
      </w:r>
      <w:r w:rsidRPr="00862904">
        <w:rPr>
          <w:color w:val="002060"/>
          <w:sz w:val="32"/>
          <w:szCs w:val="32"/>
        </w:rPr>
        <w:t xml:space="preserve"> oder sonstige</w:t>
      </w:r>
      <w:r w:rsidR="00D00240">
        <w:rPr>
          <w:color w:val="002060"/>
          <w:sz w:val="32"/>
          <w:szCs w:val="32"/>
        </w:rPr>
        <w:t xml:space="preserve"> </w:t>
      </w:r>
      <w:r w:rsidRPr="00862904">
        <w:rPr>
          <w:color w:val="002060"/>
          <w:sz w:val="32"/>
          <w:szCs w:val="32"/>
        </w:rPr>
        <w:t>gesetzliche oder nach der Verfassung des Unternehmens berufene Leiter und die mit der Leitung der Datenverarbeitung beauftragten Personen</w:t>
      </w:r>
      <w:r w:rsidR="00D00240">
        <w:rPr>
          <w:color w:val="002060"/>
          <w:sz w:val="32"/>
          <w:szCs w:val="32"/>
        </w:rPr>
        <w:t>)</w:t>
      </w:r>
      <w:r w:rsidRPr="00862904">
        <w:rPr>
          <w:color w:val="002060"/>
          <w:sz w:val="32"/>
          <w:szCs w:val="32"/>
        </w:rPr>
        <w:t xml:space="preserve"> </w:t>
      </w:r>
    </w:p>
    <w:p w:rsidR="00862904" w:rsidRDefault="00D00240" w:rsidP="00862904">
      <w:pPr>
        <w:pStyle w:val="Default"/>
        <w:ind w:firstLine="705"/>
        <w:rPr>
          <w:sz w:val="22"/>
          <w:szCs w:val="22"/>
        </w:rPr>
      </w:pPr>
      <w:r>
        <w:rPr>
          <w:sz w:val="22"/>
          <w:szCs w:val="22"/>
        </w:rPr>
        <w:t>Kanzleileitung</w:t>
      </w:r>
      <w:r w:rsidR="00862904">
        <w:rPr>
          <w:sz w:val="22"/>
          <w:szCs w:val="22"/>
        </w:rPr>
        <w:t xml:space="preserve">: </w:t>
      </w:r>
      <w:r w:rsidR="0037167B">
        <w:rPr>
          <w:sz w:val="22"/>
          <w:szCs w:val="22"/>
        </w:rPr>
        <w:t>Harald Engel, Andreas Paschhoff</w:t>
      </w:r>
    </w:p>
    <w:p w:rsidR="00862904" w:rsidRDefault="00D00240" w:rsidP="00862904">
      <w:pPr>
        <w:pStyle w:val="Default"/>
        <w:ind w:firstLine="705"/>
        <w:rPr>
          <w:sz w:val="22"/>
          <w:szCs w:val="22"/>
        </w:rPr>
      </w:pPr>
      <w:r>
        <w:rPr>
          <w:sz w:val="22"/>
          <w:szCs w:val="22"/>
        </w:rPr>
        <w:t>Interne IT-Betreuung</w:t>
      </w:r>
      <w:r w:rsidR="00862904">
        <w:rPr>
          <w:sz w:val="22"/>
          <w:szCs w:val="22"/>
        </w:rPr>
        <w:t xml:space="preserve">: </w:t>
      </w:r>
      <w:r w:rsidR="0037167B">
        <w:rPr>
          <w:sz w:val="22"/>
          <w:szCs w:val="22"/>
        </w:rPr>
        <w:t>Harald Engel, Andreas Paschhoff</w:t>
      </w:r>
    </w:p>
    <w:p w:rsidR="00862904" w:rsidRDefault="00862904" w:rsidP="00862904">
      <w:pPr>
        <w:pStyle w:val="Default"/>
        <w:rPr>
          <w:sz w:val="22"/>
          <w:szCs w:val="22"/>
        </w:rPr>
      </w:pPr>
    </w:p>
    <w:p w:rsidR="00862904" w:rsidRDefault="00862904" w:rsidP="00862904">
      <w:pPr>
        <w:pStyle w:val="Default"/>
        <w:rPr>
          <w:sz w:val="22"/>
          <w:szCs w:val="22"/>
        </w:rPr>
      </w:pPr>
    </w:p>
    <w:p w:rsidR="00D00240" w:rsidRDefault="00862904" w:rsidP="00D00240">
      <w:pPr>
        <w:pStyle w:val="Default"/>
        <w:rPr>
          <w:color w:val="002060"/>
          <w:sz w:val="32"/>
          <w:szCs w:val="32"/>
        </w:rPr>
      </w:pPr>
      <w:r w:rsidRPr="00B03288">
        <w:rPr>
          <w:color w:val="002060"/>
          <w:sz w:val="32"/>
          <w:szCs w:val="32"/>
        </w:rPr>
        <w:t xml:space="preserve">3 </w:t>
      </w:r>
      <w:r>
        <w:rPr>
          <w:color w:val="002060"/>
          <w:sz w:val="28"/>
          <w:szCs w:val="28"/>
        </w:rPr>
        <w:tab/>
      </w:r>
      <w:r w:rsidRPr="00862904">
        <w:rPr>
          <w:color w:val="002060"/>
          <w:sz w:val="32"/>
          <w:szCs w:val="32"/>
        </w:rPr>
        <w:t>Anschrift der verantwortlichen Stell</w:t>
      </w:r>
      <w:r w:rsidR="00D00240">
        <w:rPr>
          <w:color w:val="002060"/>
          <w:sz w:val="32"/>
          <w:szCs w:val="32"/>
        </w:rPr>
        <w:t xml:space="preserve">e </w:t>
      </w:r>
    </w:p>
    <w:p w:rsidR="0037167B" w:rsidRPr="009E76AA" w:rsidRDefault="0037167B" w:rsidP="00D00240">
      <w:pPr>
        <w:pStyle w:val="Default"/>
        <w:ind w:firstLine="708"/>
        <w:rPr>
          <w:rStyle w:val="notranslate"/>
          <w:color w:val="0A0A0A"/>
          <w:sz w:val="22"/>
          <w:szCs w:val="22"/>
        </w:rPr>
      </w:pPr>
      <w:r w:rsidRPr="009E76AA">
        <w:rPr>
          <w:rStyle w:val="notranslate"/>
          <w:color w:val="0A0A0A"/>
          <w:sz w:val="22"/>
          <w:szCs w:val="22"/>
        </w:rPr>
        <w:t xml:space="preserve">Funckstraße 71 </w:t>
      </w:r>
    </w:p>
    <w:p w:rsidR="00D00240" w:rsidRPr="0037167B" w:rsidRDefault="0037167B" w:rsidP="00D00240">
      <w:pPr>
        <w:pStyle w:val="Default"/>
        <w:ind w:firstLine="708"/>
        <w:rPr>
          <w:rFonts w:eastAsia="Times New Roman"/>
          <w:color w:val="auto"/>
          <w:sz w:val="22"/>
          <w:szCs w:val="22"/>
          <w:lang w:eastAsia="de-DE"/>
        </w:rPr>
      </w:pPr>
      <w:r w:rsidRPr="0037167B">
        <w:rPr>
          <w:rFonts w:eastAsia="Times New Roman"/>
          <w:color w:val="auto"/>
          <w:sz w:val="22"/>
          <w:szCs w:val="22"/>
          <w:lang w:eastAsia="de-DE"/>
        </w:rPr>
        <w:t>42115 Wuppertal</w:t>
      </w:r>
    </w:p>
    <w:p w:rsidR="00D00240" w:rsidRPr="0037167B" w:rsidRDefault="00E723CF" w:rsidP="00D00240">
      <w:pPr>
        <w:pStyle w:val="Default"/>
        <w:ind w:firstLine="708"/>
        <w:rPr>
          <w:rFonts w:eastAsia="Times New Roman"/>
          <w:color w:val="auto"/>
          <w:sz w:val="22"/>
          <w:szCs w:val="22"/>
          <w:lang w:eastAsia="de-DE"/>
        </w:rPr>
      </w:pPr>
      <w:r w:rsidRPr="0037167B">
        <w:rPr>
          <w:rFonts w:eastAsia="Times New Roman"/>
          <w:color w:val="auto"/>
          <w:sz w:val="22"/>
          <w:szCs w:val="22"/>
          <w:lang w:eastAsia="de-DE"/>
        </w:rPr>
        <w:t xml:space="preserve">Telefon: </w:t>
      </w:r>
      <w:r w:rsidR="0037167B" w:rsidRPr="009E76AA">
        <w:rPr>
          <w:rStyle w:val="notranslate"/>
          <w:color w:val="0A0A0A"/>
          <w:sz w:val="22"/>
          <w:szCs w:val="22"/>
        </w:rPr>
        <w:t>0202 / 61275-300</w:t>
      </w:r>
    </w:p>
    <w:p w:rsidR="008B13F3" w:rsidRPr="0037167B" w:rsidRDefault="00E723CF" w:rsidP="00D00240">
      <w:pPr>
        <w:pStyle w:val="Default"/>
        <w:ind w:firstLine="708"/>
        <w:rPr>
          <w:rFonts w:eastAsia="Times New Roman"/>
          <w:color w:val="auto"/>
          <w:sz w:val="22"/>
          <w:szCs w:val="22"/>
          <w:lang w:eastAsia="de-DE"/>
        </w:rPr>
      </w:pPr>
      <w:r w:rsidRPr="0037167B">
        <w:rPr>
          <w:rFonts w:eastAsia="Times New Roman"/>
          <w:color w:val="auto"/>
          <w:sz w:val="22"/>
          <w:szCs w:val="22"/>
          <w:lang w:eastAsia="de-DE"/>
        </w:rPr>
        <w:t xml:space="preserve">Telefax: </w:t>
      </w:r>
      <w:r w:rsidR="0037167B" w:rsidRPr="009E76AA">
        <w:rPr>
          <w:rStyle w:val="notranslate"/>
          <w:color w:val="0A0A0A"/>
          <w:sz w:val="22"/>
          <w:szCs w:val="22"/>
        </w:rPr>
        <w:t>0202 / 61275-329</w:t>
      </w:r>
    </w:p>
    <w:p w:rsidR="00D00240" w:rsidRPr="0037167B" w:rsidRDefault="00D00240" w:rsidP="00D00240">
      <w:pPr>
        <w:pStyle w:val="Default"/>
        <w:ind w:firstLine="708"/>
        <w:rPr>
          <w:rFonts w:eastAsia="Times New Roman"/>
          <w:color w:val="auto"/>
          <w:sz w:val="22"/>
          <w:szCs w:val="22"/>
          <w:lang w:eastAsia="de-DE"/>
        </w:rPr>
      </w:pPr>
      <w:r w:rsidRPr="0037167B">
        <w:rPr>
          <w:rFonts w:eastAsia="Times New Roman"/>
          <w:color w:val="auto"/>
          <w:sz w:val="22"/>
          <w:szCs w:val="22"/>
          <w:lang w:eastAsia="de-DE"/>
        </w:rPr>
        <w:t xml:space="preserve">E-Mail: </w:t>
      </w:r>
      <w:r w:rsidR="0037167B" w:rsidRPr="009E76AA">
        <w:rPr>
          <w:color w:val="0A0A0A"/>
          <w:sz w:val="22"/>
          <w:szCs w:val="22"/>
        </w:rPr>
        <w:t>service@eundp.net</w:t>
      </w:r>
    </w:p>
    <w:p w:rsidR="008B13F3" w:rsidRPr="00D00240" w:rsidRDefault="008B13F3" w:rsidP="00D00240">
      <w:pPr>
        <w:pStyle w:val="Default"/>
        <w:ind w:firstLine="708"/>
        <w:rPr>
          <w:color w:val="auto"/>
          <w:sz w:val="22"/>
          <w:szCs w:val="22"/>
        </w:rPr>
      </w:pPr>
    </w:p>
    <w:p w:rsidR="00862904" w:rsidRDefault="00862904" w:rsidP="00862904">
      <w:pPr>
        <w:pStyle w:val="Default"/>
        <w:ind w:left="708"/>
        <w:rPr>
          <w:sz w:val="22"/>
          <w:szCs w:val="22"/>
        </w:rPr>
      </w:pPr>
    </w:p>
    <w:p w:rsidR="00862904" w:rsidRDefault="00862904" w:rsidP="00862904">
      <w:pPr>
        <w:pStyle w:val="Default"/>
        <w:rPr>
          <w:sz w:val="22"/>
          <w:szCs w:val="22"/>
        </w:rPr>
      </w:pPr>
    </w:p>
    <w:p w:rsidR="00862904" w:rsidRPr="00862904" w:rsidRDefault="00862904" w:rsidP="00862904">
      <w:pPr>
        <w:pStyle w:val="Default"/>
        <w:ind w:left="705" w:hanging="705"/>
        <w:rPr>
          <w:color w:val="002060"/>
          <w:sz w:val="32"/>
          <w:szCs w:val="32"/>
        </w:rPr>
      </w:pPr>
      <w:r w:rsidRPr="0087043C">
        <w:rPr>
          <w:color w:val="002060"/>
          <w:sz w:val="32"/>
          <w:szCs w:val="32"/>
        </w:rPr>
        <w:t xml:space="preserve">4 </w:t>
      </w:r>
      <w:r w:rsidRPr="0087043C">
        <w:rPr>
          <w:color w:val="002060"/>
          <w:sz w:val="32"/>
          <w:szCs w:val="32"/>
        </w:rPr>
        <w:tab/>
      </w:r>
      <w:r w:rsidRPr="00862904">
        <w:rPr>
          <w:color w:val="002060"/>
          <w:sz w:val="32"/>
          <w:szCs w:val="32"/>
        </w:rPr>
        <w:t xml:space="preserve">Zweckbestimmungen der Datenerhebung, -verarbeitung oder -nutzung </w:t>
      </w:r>
    </w:p>
    <w:p w:rsidR="00260D52" w:rsidRPr="00260D52" w:rsidRDefault="009E76AA" w:rsidP="00260D5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Betrieb einer Rechtsanwalts- und Steuerberatungs</w:t>
      </w:r>
      <w:r w:rsidR="00260D52" w:rsidRPr="00260D52">
        <w:rPr>
          <w:rFonts w:ascii="Arial" w:hAnsi="Arial" w:cs="Arial"/>
        </w:rPr>
        <w:t>kanzlei mit Erhe</w:t>
      </w:r>
      <w:r w:rsidR="0037167B">
        <w:rPr>
          <w:rFonts w:ascii="Arial" w:hAnsi="Arial" w:cs="Arial"/>
        </w:rPr>
        <w:t>bung, Verarbeitung, Nutzung und</w:t>
      </w:r>
      <w:r w:rsidR="00260D52" w:rsidRPr="00260D52">
        <w:rPr>
          <w:rFonts w:ascii="Arial" w:hAnsi="Arial" w:cs="Arial"/>
        </w:rPr>
        <w:t xml:space="preserve"> ggf. Übermittlung von personenbezogenen Daten zum Zweck der Erstellung bzw. Erledigung der Finanzbuchführungen, Lohn- und Gehaltsabrechnungen, Jahresabschlüsse</w:t>
      </w:r>
      <w:r>
        <w:rPr>
          <w:rFonts w:ascii="Arial" w:hAnsi="Arial" w:cs="Arial"/>
        </w:rPr>
        <w:t>n</w:t>
      </w:r>
      <w:r w:rsidR="00260D52" w:rsidRPr="00260D52">
        <w:rPr>
          <w:rFonts w:ascii="Arial" w:hAnsi="Arial" w:cs="Arial"/>
        </w:rPr>
        <w:t>, Steuererklärungen, Teilnahme und Beratung im Zusammenhang mit Betriebsprüfu</w:t>
      </w:r>
      <w:r w:rsidR="00C353A7">
        <w:rPr>
          <w:rFonts w:ascii="Arial" w:hAnsi="Arial" w:cs="Arial"/>
        </w:rPr>
        <w:t xml:space="preserve">ngen, Beratung in steuerlichen </w:t>
      </w:r>
      <w:r w:rsidR="00260D52" w:rsidRPr="00260D52">
        <w:rPr>
          <w:rFonts w:ascii="Arial" w:hAnsi="Arial" w:cs="Arial"/>
        </w:rPr>
        <w:t>und wirtschaftlichen Angelegenheiten, Abschlussprüfungen</w:t>
      </w:r>
      <w:r>
        <w:rPr>
          <w:rFonts w:ascii="Arial" w:hAnsi="Arial" w:cs="Arial"/>
        </w:rPr>
        <w:t>,</w:t>
      </w:r>
      <w:r w:rsidR="00260D52" w:rsidRPr="00260D52">
        <w:rPr>
          <w:rFonts w:ascii="Arial" w:hAnsi="Arial" w:cs="Arial"/>
        </w:rPr>
        <w:t xml:space="preserve"> sonstigen Prüfungen</w:t>
      </w:r>
      <w:r>
        <w:rPr>
          <w:rFonts w:ascii="Arial" w:hAnsi="Arial" w:cs="Arial"/>
        </w:rPr>
        <w:t>, Rechtsberatungen und Vertretungen in Rechtsstreitigkeiten</w:t>
      </w:r>
      <w:r w:rsidR="00260D52" w:rsidRPr="00260D52">
        <w:rPr>
          <w:rFonts w:ascii="Arial" w:hAnsi="Arial" w:cs="Arial"/>
        </w:rPr>
        <w:t>.</w:t>
      </w:r>
      <w:r w:rsidR="00260D52" w:rsidRPr="00260D52">
        <w:rPr>
          <w:rFonts w:ascii="Arial" w:hAnsi="Arial" w:cs="Arial"/>
        </w:rPr>
        <w:br/>
        <w:t>Personalverwaltung: Datenerhebung, -verarbeitung, -nutzung und ggf. -übermittlung zu eigenen Zwecken und zur Erfüllung sozialversicherungsrechtlicher</w:t>
      </w:r>
      <w:r>
        <w:rPr>
          <w:rFonts w:ascii="Arial" w:hAnsi="Arial" w:cs="Arial"/>
        </w:rPr>
        <w:t xml:space="preserve"> und anderer</w:t>
      </w:r>
      <w:r w:rsidR="00260D52" w:rsidRPr="00260D52">
        <w:rPr>
          <w:rFonts w:ascii="Arial" w:hAnsi="Arial" w:cs="Arial"/>
        </w:rPr>
        <w:t xml:space="preserve"> gesetzlicher Verpflichtungen.</w:t>
      </w:r>
    </w:p>
    <w:p w:rsidR="00260D52" w:rsidRDefault="00260D52" w:rsidP="00260D52">
      <w:pPr>
        <w:pStyle w:val="Default"/>
        <w:ind w:left="705"/>
        <w:rPr>
          <w:b/>
          <w:bCs/>
          <w:sz w:val="22"/>
          <w:szCs w:val="22"/>
        </w:rPr>
      </w:pPr>
    </w:p>
    <w:p w:rsidR="00260D52" w:rsidRDefault="00862904" w:rsidP="00862904">
      <w:pPr>
        <w:pStyle w:val="Default"/>
        <w:ind w:left="705" w:hanging="705"/>
        <w:rPr>
          <w:b/>
          <w:bCs/>
          <w:color w:val="002060"/>
          <w:sz w:val="22"/>
          <w:szCs w:val="22"/>
        </w:rPr>
      </w:pPr>
      <w:r w:rsidRPr="00862904">
        <w:rPr>
          <w:b/>
          <w:bCs/>
          <w:color w:val="002060"/>
          <w:sz w:val="22"/>
          <w:szCs w:val="22"/>
        </w:rPr>
        <w:t xml:space="preserve">4.1 </w:t>
      </w:r>
      <w:r>
        <w:rPr>
          <w:b/>
          <w:bCs/>
          <w:color w:val="002060"/>
          <w:sz w:val="22"/>
          <w:szCs w:val="22"/>
        </w:rPr>
        <w:tab/>
      </w:r>
      <w:r w:rsidR="00260D52">
        <w:rPr>
          <w:b/>
          <w:bCs/>
          <w:color w:val="002060"/>
          <w:sz w:val="22"/>
          <w:szCs w:val="22"/>
        </w:rPr>
        <w:t>Besonderheiten</w:t>
      </w:r>
    </w:p>
    <w:p w:rsidR="00862904" w:rsidRDefault="00260D52" w:rsidP="00862904">
      <w:pPr>
        <w:pStyle w:val="Default"/>
        <w:ind w:left="705" w:hanging="705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ab/>
      </w:r>
      <w:r w:rsidR="0037167B">
        <w:rPr>
          <w:sz w:val="22"/>
          <w:szCs w:val="22"/>
        </w:rPr>
        <w:t>Engel &amp; Paschhoff</w:t>
      </w:r>
      <w:r w:rsidRPr="00260D52">
        <w:rPr>
          <w:sz w:val="22"/>
          <w:szCs w:val="22"/>
        </w:rPr>
        <w:t xml:space="preserve"> ist eine </w:t>
      </w:r>
      <w:r w:rsidR="009E76AA">
        <w:t xml:space="preserve">Rechtsanwalts- und </w:t>
      </w:r>
      <w:r w:rsidRPr="00260D52">
        <w:rPr>
          <w:sz w:val="22"/>
          <w:szCs w:val="22"/>
        </w:rPr>
        <w:t xml:space="preserve">Steuerberatungsgesellschaft, welche sich primär </w:t>
      </w:r>
      <w:r w:rsidR="009E76AA">
        <w:rPr>
          <w:sz w:val="22"/>
          <w:szCs w:val="22"/>
        </w:rPr>
        <w:t>mit</w:t>
      </w:r>
      <w:r w:rsidRPr="00260D52">
        <w:rPr>
          <w:sz w:val="22"/>
          <w:szCs w:val="22"/>
        </w:rPr>
        <w:t xml:space="preserve"> de</w:t>
      </w:r>
      <w:r w:rsidR="009E76AA">
        <w:rPr>
          <w:sz w:val="22"/>
          <w:szCs w:val="22"/>
        </w:rPr>
        <w:t>r</w:t>
      </w:r>
      <w:r w:rsidRPr="00260D52">
        <w:rPr>
          <w:sz w:val="22"/>
          <w:szCs w:val="22"/>
        </w:rPr>
        <w:t xml:space="preserve"> </w:t>
      </w:r>
      <w:r w:rsidR="009E76AA">
        <w:rPr>
          <w:sz w:val="22"/>
          <w:szCs w:val="22"/>
        </w:rPr>
        <w:t xml:space="preserve">rechtlichen und </w:t>
      </w:r>
      <w:r w:rsidRPr="00260D52">
        <w:rPr>
          <w:sz w:val="22"/>
          <w:szCs w:val="22"/>
        </w:rPr>
        <w:t>steuerliche</w:t>
      </w:r>
      <w:r w:rsidR="009E76AA">
        <w:rPr>
          <w:sz w:val="22"/>
          <w:szCs w:val="22"/>
        </w:rPr>
        <w:t>n</w:t>
      </w:r>
      <w:r w:rsidRPr="00260D52">
        <w:rPr>
          <w:sz w:val="22"/>
          <w:szCs w:val="22"/>
        </w:rPr>
        <w:t xml:space="preserve"> Betreuung von Mandanten beschäftigt. Der Schutz personenbezogener Daten ist </w:t>
      </w:r>
      <w:r>
        <w:rPr>
          <w:sz w:val="22"/>
          <w:szCs w:val="22"/>
        </w:rPr>
        <w:t>unserer Kanzlei</w:t>
      </w:r>
      <w:r w:rsidRPr="00260D52">
        <w:rPr>
          <w:sz w:val="22"/>
          <w:szCs w:val="22"/>
        </w:rPr>
        <w:t xml:space="preserve"> daher nicht nur auf Grund der gesetzlichen Verschwiegenheitspflicht ein b</w:t>
      </w:r>
      <w:r w:rsidR="009E76AA">
        <w:rPr>
          <w:sz w:val="22"/>
          <w:szCs w:val="22"/>
        </w:rPr>
        <w:t>esonders wichtiges Anliegen, zu</w:t>
      </w:r>
      <w:r w:rsidRPr="00260D52">
        <w:rPr>
          <w:sz w:val="22"/>
          <w:szCs w:val="22"/>
        </w:rPr>
        <w:t xml:space="preserve">dem Bestandteil unserer Firmenphilosophie und darüber hinaus auch bezüglich der erforderlichen Mandantenbindung unverzichtbar und somit existentiell relevant. Deshalb beachtet </w:t>
      </w:r>
      <w:r>
        <w:rPr>
          <w:sz w:val="22"/>
          <w:szCs w:val="22"/>
        </w:rPr>
        <w:t>unsere Kanzlei</w:t>
      </w:r>
      <w:r w:rsidRPr="00260D52">
        <w:rPr>
          <w:sz w:val="22"/>
          <w:szCs w:val="22"/>
        </w:rPr>
        <w:t xml:space="preserve"> bei allen Aktivitäten und </w:t>
      </w:r>
      <w:r>
        <w:rPr>
          <w:sz w:val="22"/>
          <w:szCs w:val="22"/>
        </w:rPr>
        <w:t>Mandanten</w:t>
      </w:r>
      <w:r w:rsidRPr="00260D52">
        <w:rPr>
          <w:sz w:val="22"/>
          <w:szCs w:val="22"/>
        </w:rPr>
        <w:t>kontakten die anwendbaren Rechtsvorschriften zum Schutz personenbezogener Daten und zur Datensicherheit.</w:t>
      </w:r>
      <w:r w:rsidR="00862904" w:rsidRPr="00260D52">
        <w:rPr>
          <w:b/>
          <w:bCs/>
          <w:color w:val="002060"/>
          <w:sz w:val="22"/>
          <w:szCs w:val="22"/>
        </w:rPr>
        <w:t xml:space="preserve"> </w:t>
      </w:r>
      <w:r w:rsidR="009E76AA">
        <w:rPr>
          <w:b/>
          <w:bCs/>
          <w:color w:val="002060"/>
          <w:sz w:val="22"/>
          <w:szCs w:val="22"/>
        </w:rPr>
        <w:t xml:space="preserve"> </w:t>
      </w:r>
    </w:p>
    <w:p w:rsidR="002271F5" w:rsidRDefault="002271F5" w:rsidP="00862904">
      <w:pPr>
        <w:pStyle w:val="Default"/>
        <w:ind w:left="705" w:hanging="705"/>
        <w:rPr>
          <w:b/>
          <w:bCs/>
          <w:color w:val="002060"/>
          <w:sz w:val="22"/>
          <w:szCs w:val="22"/>
        </w:rPr>
      </w:pPr>
    </w:p>
    <w:p w:rsidR="00203342" w:rsidRDefault="00203342">
      <w:pPr>
        <w:rPr>
          <w:rFonts w:ascii="Arial" w:hAnsi="Arial" w:cs="Arial"/>
          <w:b/>
          <w:bCs/>
          <w:color w:val="002060"/>
        </w:rPr>
      </w:pPr>
      <w:r>
        <w:rPr>
          <w:b/>
          <w:bCs/>
          <w:color w:val="002060"/>
        </w:rPr>
        <w:br w:type="page"/>
      </w:r>
    </w:p>
    <w:p w:rsidR="002271F5" w:rsidRDefault="002271F5" w:rsidP="00862904">
      <w:pPr>
        <w:pStyle w:val="Default"/>
        <w:ind w:left="705" w:hanging="705"/>
        <w:rPr>
          <w:b/>
          <w:bCs/>
          <w:color w:val="002060"/>
          <w:sz w:val="22"/>
          <w:szCs w:val="22"/>
        </w:rPr>
      </w:pPr>
    </w:p>
    <w:p w:rsidR="002271F5" w:rsidRPr="00260D52" w:rsidRDefault="002271F5" w:rsidP="00862904">
      <w:pPr>
        <w:pStyle w:val="Default"/>
        <w:ind w:left="705" w:hanging="705"/>
        <w:rPr>
          <w:color w:val="002060"/>
          <w:sz w:val="22"/>
          <w:szCs w:val="22"/>
        </w:rPr>
      </w:pPr>
    </w:p>
    <w:p w:rsidR="00862904" w:rsidRPr="00862904" w:rsidRDefault="00862904" w:rsidP="00862904">
      <w:pPr>
        <w:pStyle w:val="Default"/>
        <w:rPr>
          <w:b/>
          <w:bCs/>
          <w:color w:val="002060"/>
          <w:sz w:val="22"/>
          <w:szCs w:val="22"/>
        </w:rPr>
      </w:pPr>
    </w:p>
    <w:p w:rsidR="002271F5" w:rsidRDefault="002271F5" w:rsidP="002271F5">
      <w:pPr>
        <w:pStyle w:val="Default"/>
        <w:ind w:left="705" w:hanging="705"/>
        <w:rPr>
          <w:sz w:val="32"/>
          <w:szCs w:val="32"/>
        </w:rPr>
      </w:pPr>
      <w:r w:rsidRPr="00B03288">
        <w:rPr>
          <w:color w:val="002060"/>
          <w:sz w:val="32"/>
          <w:szCs w:val="32"/>
        </w:rPr>
        <w:t>5</w:t>
      </w:r>
      <w:r w:rsidRPr="002271F5">
        <w:rPr>
          <w:color w:val="002060"/>
          <w:sz w:val="28"/>
          <w:szCs w:val="28"/>
        </w:rPr>
        <w:t xml:space="preserve"> </w:t>
      </w:r>
      <w:r w:rsidRPr="002271F5">
        <w:rPr>
          <w:color w:val="002060"/>
          <w:sz w:val="28"/>
          <w:szCs w:val="28"/>
        </w:rPr>
        <w:tab/>
      </w:r>
      <w:r w:rsidRPr="002271F5">
        <w:rPr>
          <w:color w:val="002060"/>
          <w:sz w:val="32"/>
          <w:szCs w:val="32"/>
        </w:rPr>
        <w:t xml:space="preserve">Beschreibung der betroffenen Personengruppen und der diesbezüglichen Daten oder Datenkategorien </w:t>
      </w:r>
    </w:p>
    <w:p w:rsidR="00260D52" w:rsidRDefault="00260D52" w:rsidP="00862904">
      <w:pPr>
        <w:jc w:val="center"/>
        <w:rPr>
          <w:color w:val="002060"/>
        </w:rPr>
      </w:pPr>
    </w:p>
    <w:p w:rsidR="002271F5" w:rsidRPr="002271F5" w:rsidRDefault="002271F5" w:rsidP="002271F5">
      <w:pPr>
        <w:ind w:left="705"/>
        <w:rPr>
          <w:rFonts w:ascii="Arial" w:hAnsi="Arial" w:cs="Arial"/>
        </w:rPr>
      </w:pPr>
      <w:r w:rsidRPr="002271F5">
        <w:rPr>
          <w:rFonts w:ascii="Arial" w:hAnsi="Arial" w:cs="Arial"/>
          <w:b/>
          <w:bCs/>
          <w:color w:val="002060"/>
        </w:rPr>
        <w:t>Mandanten und deren Familienangehörige, Mitarbeiter von Mandanten, Kunden und Lieferanten der Mandanten</w:t>
      </w:r>
      <w:r>
        <w:rPr>
          <w:rFonts w:ascii="Arial" w:hAnsi="Arial" w:cs="Arial"/>
        </w:rPr>
        <w:br/>
      </w:r>
      <w:r w:rsidR="009E76AA">
        <w:rPr>
          <w:rFonts w:ascii="Arial" w:hAnsi="Arial" w:cs="Arial"/>
        </w:rPr>
        <w:t>Rechtlich oder s</w:t>
      </w:r>
      <w:r w:rsidRPr="002271F5">
        <w:rPr>
          <w:rFonts w:ascii="Arial" w:hAnsi="Arial" w:cs="Arial"/>
        </w:rPr>
        <w:t>teuerlich relevante Daten jedweder Art, Adressen, allg. Kommunikationsdaten, Kontaktdaten, Vertrags- und Zahlungsdaten, Bankverbindungen, Daten zur IT- Kommunikation, Abrechnungs- und Leistungsdaten, Betreuungsinformationen</w:t>
      </w:r>
      <w:r w:rsidR="00CB6577">
        <w:rPr>
          <w:rFonts w:ascii="Arial" w:hAnsi="Arial" w:cs="Arial"/>
        </w:rPr>
        <w:t>.</w:t>
      </w:r>
    </w:p>
    <w:p w:rsidR="002271F5" w:rsidRPr="002271F5" w:rsidRDefault="002271F5" w:rsidP="002271F5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  <w:bCs/>
          <w:color w:val="002060"/>
        </w:rPr>
        <w:t>Interessenten</w:t>
      </w:r>
      <w:r w:rsidRPr="002271F5">
        <w:rPr>
          <w:rFonts w:ascii="Arial" w:hAnsi="Arial" w:cs="Arial"/>
          <w:color w:val="002060"/>
        </w:rPr>
        <w:br/>
      </w:r>
      <w:r w:rsidRPr="002271F5">
        <w:rPr>
          <w:rFonts w:ascii="Arial" w:hAnsi="Arial" w:cs="Arial"/>
        </w:rPr>
        <w:t>Adressen, allg. Kommunikationsdaten, Kontaktdaten, Daten zur IT- Kommunikation, Betreuungsinformationen</w:t>
      </w:r>
      <w:r w:rsidR="00CB6577">
        <w:rPr>
          <w:rFonts w:ascii="Arial" w:hAnsi="Arial" w:cs="Arial"/>
        </w:rPr>
        <w:t>.</w:t>
      </w:r>
    </w:p>
    <w:p w:rsidR="002271F5" w:rsidRPr="002271F5" w:rsidRDefault="002271F5" w:rsidP="002271F5">
      <w:pPr>
        <w:ind w:left="705"/>
        <w:rPr>
          <w:rFonts w:ascii="Arial" w:hAnsi="Arial" w:cs="Arial"/>
        </w:rPr>
      </w:pPr>
      <w:r w:rsidRPr="002271F5">
        <w:rPr>
          <w:rFonts w:ascii="Arial" w:hAnsi="Arial" w:cs="Arial"/>
          <w:b/>
          <w:bCs/>
          <w:color w:val="002060"/>
        </w:rPr>
        <w:t xml:space="preserve">Eigene </w:t>
      </w:r>
      <w:r>
        <w:rPr>
          <w:rFonts w:ascii="Arial" w:hAnsi="Arial" w:cs="Arial"/>
          <w:b/>
          <w:bCs/>
          <w:color w:val="002060"/>
        </w:rPr>
        <w:t>Mitarbeiter</w:t>
      </w:r>
      <w:r w:rsidRPr="002271F5">
        <w:rPr>
          <w:rFonts w:ascii="Arial" w:hAnsi="Arial" w:cs="Arial"/>
          <w:color w:val="002060"/>
        </w:rPr>
        <w:t xml:space="preserve"> </w:t>
      </w:r>
      <w:r w:rsidRPr="002271F5">
        <w:rPr>
          <w:rFonts w:ascii="Arial" w:hAnsi="Arial" w:cs="Arial"/>
          <w:color w:val="002060"/>
        </w:rPr>
        <w:br/>
      </w:r>
      <w:r w:rsidRPr="002271F5">
        <w:rPr>
          <w:rFonts w:ascii="Arial" w:hAnsi="Arial" w:cs="Arial"/>
        </w:rPr>
        <w:t>Adressen, allg. Kommunikationsdaten, Vertragsdaten, Bankverbindungen, Abrechnungs- und Leistungsdaten</w:t>
      </w:r>
      <w:r w:rsidR="00CB6577">
        <w:rPr>
          <w:rFonts w:ascii="Arial" w:hAnsi="Arial" w:cs="Arial"/>
        </w:rPr>
        <w:t>.</w:t>
      </w:r>
    </w:p>
    <w:p w:rsidR="002271F5" w:rsidRPr="002271F5" w:rsidRDefault="002271F5" w:rsidP="002271F5">
      <w:pPr>
        <w:ind w:left="705"/>
        <w:rPr>
          <w:rFonts w:ascii="Arial" w:hAnsi="Arial" w:cs="Arial"/>
        </w:rPr>
      </w:pPr>
      <w:r w:rsidRPr="002271F5">
        <w:rPr>
          <w:rFonts w:ascii="Arial" w:hAnsi="Arial" w:cs="Arial"/>
          <w:b/>
          <w:bCs/>
          <w:color w:val="002060"/>
        </w:rPr>
        <w:t>Eigene Lieferanten, Dienstleister, Vertragspartner und Kontaktpersonen zu vorgenannten Gruppen</w:t>
      </w:r>
      <w:r w:rsidRPr="002271F5">
        <w:rPr>
          <w:rFonts w:ascii="Arial" w:hAnsi="Arial" w:cs="Arial"/>
          <w:color w:val="002060"/>
        </w:rPr>
        <w:t xml:space="preserve"> </w:t>
      </w:r>
      <w:r w:rsidRPr="002271F5">
        <w:rPr>
          <w:rFonts w:ascii="Arial" w:hAnsi="Arial" w:cs="Arial"/>
          <w:color w:val="002060"/>
        </w:rPr>
        <w:br/>
      </w:r>
      <w:r w:rsidRPr="002271F5">
        <w:rPr>
          <w:rFonts w:ascii="Arial" w:hAnsi="Arial" w:cs="Arial"/>
        </w:rPr>
        <w:t>Adressen, allg. Kommunikationsdaten, Kontaktdaten, Vertrags- und Zahlungsdaten, Bankverbindungen, Daten zur IT- Kommunikation, Betreuungsinformationen</w:t>
      </w:r>
      <w:r w:rsidR="00CB6577">
        <w:rPr>
          <w:rFonts w:ascii="Arial" w:hAnsi="Arial" w:cs="Arial"/>
        </w:rPr>
        <w:t>.</w:t>
      </w:r>
    </w:p>
    <w:p w:rsidR="002271F5" w:rsidRDefault="00565872" w:rsidP="002271F5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  <w:bCs/>
          <w:color w:val="002060"/>
        </w:rPr>
        <w:t>Ö</w:t>
      </w:r>
      <w:r w:rsidR="002271F5">
        <w:rPr>
          <w:rFonts w:ascii="Arial" w:hAnsi="Arial" w:cs="Arial"/>
          <w:b/>
          <w:bCs/>
          <w:color w:val="002060"/>
        </w:rPr>
        <w:t>ffentliche Behörden</w:t>
      </w:r>
      <w:r w:rsidR="002271F5" w:rsidRPr="002271F5">
        <w:rPr>
          <w:rFonts w:ascii="Arial" w:hAnsi="Arial" w:cs="Arial"/>
          <w:color w:val="002060"/>
        </w:rPr>
        <w:br/>
      </w:r>
      <w:r>
        <w:rPr>
          <w:rFonts w:ascii="Arial" w:hAnsi="Arial" w:cs="Arial"/>
        </w:rPr>
        <w:t xml:space="preserve">Rechtlich oder </w:t>
      </w:r>
      <w:r w:rsidR="002271F5" w:rsidRPr="002271F5">
        <w:rPr>
          <w:rFonts w:ascii="Arial" w:hAnsi="Arial" w:cs="Arial"/>
        </w:rPr>
        <w:t xml:space="preserve">steuerlich relevante Daten jedweder Art, Adressen, allg. </w:t>
      </w:r>
      <w:r>
        <w:rPr>
          <w:rFonts w:ascii="Arial" w:hAnsi="Arial" w:cs="Arial"/>
        </w:rPr>
        <w:t>K</w:t>
      </w:r>
      <w:r w:rsidR="002271F5" w:rsidRPr="002271F5">
        <w:rPr>
          <w:rFonts w:ascii="Arial" w:hAnsi="Arial" w:cs="Arial"/>
        </w:rPr>
        <w:t>ommunikationsdaten, Kontaktdaten, Bankverbindungen, Daten zur IT-Kommunikation, Betreuungsinformationen.</w:t>
      </w:r>
    </w:p>
    <w:p w:rsidR="002271F5" w:rsidRDefault="002271F5" w:rsidP="002271F5">
      <w:pPr>
        <w:ind w:left="705"/>
        <w:rPr>
          <w:rFonts w:ascii="Arial" w:hAnsi="Arial" w:cs="Arial"/>
        </w:rPr>
      </w:pPr>
    </w:p>
    <w:p w:rsidR="002271F5" w:rsidRDefault="002271F5" w:rsidP="002271F5">
      <w:pPr>
        <w:ind w:left="705" w:hanging="705"/>
        <w:rPr>
          <w:rFonts w:ascii="Arial" w:hAnsi="Arial" w:cs="Arial"/>
          <w:color w:val="002060"/>
          <w:sz w:val="32"/>
          <w:szCs w:val="32"/>
        </w:rPr>
      </w:pPr>
      <w:r w:rsidRPr="002271F5">
        <w:rPr>
          <w:rFonts w:ascii="Arial" w:hAnsi="Arial" w:cs="Arial"/>
          <w:color w:val="002060"/>
          <w:sz w:val="32"/>
          <w:szCs w:val="32"/>
        </w:rPr>
        <w:t>6</w:t>
      </w:r>
      <w:r w:rsidRPr="002271F5">
        <w:rPr>
          <w:rFonts w:ascii="Arial" w:hAnsi="Arial" w:cs="Arial"/>
          <w:color w:val="002060"/>
          <w:sz w:val="32"/>
          <w:szCs w:val="32"/>
        </w:rPr>
        <w:tab/>
        <w:t>Empfänger oder Kategorien von Empfängern, denen die Daten mitgeteilt werden können</w:t>
      </w:r>
      <w:r w:rsidR="002C1362">
        <w:rPr>
          <w:rFonts w:ascii="Arial" w:hAnsi="Arial" w:cs="Arial"/>
          <w:color w:val="002060"/>
          <w:sz w:val="32"/>
          <w:szCs w:val="32"/>
        </w:rPr>
        <w:br/>
      </w:r>
    </w:p>
    <w:p w:rsidR="002C1362" w:rsidRDefault="002C1362" w:rsidP="00203342">
      <w:pPr>
        <w:ind w:left="705" w:hanging="705"/>
        <w:rPr>
          <w:rFonts w:ascii="Arial" w:hAnsi="Arial" w:cs="Arial"/>
        </w:rPr>
      </w:pPr>
      <w:r w:rsidRPr="002C1362">
        <w:rPr>
          <w:rFonts w:ascii="Arial" w:hAnsi="Arial" w:cs="Arial"/>
          <w:b/>
          <w:color w:val="002060"/>
        </w:rPr>
        <w:t>6.1</w:t>
      </w:r>
      <w:r w:rsidRPr="002C1362">
        <w:rPr>
          <w:rFonts w:ascii="Arial" w:hAnsi="Arial" w:cs="Arial"/>
          <w:b/>
          <w:color w:val="002060"/>
        </w:rPr>
        <w:tab/>
        <w:t>Öffentliche Empfänger der Daten, denen ggf. die Daten mitgeteilt werden können</w:t>
      </w:r>
      <w:r w:rsidRPr="002C1362">
        <w:rPr>
          <w:rFonts w:ascii="Arial" w:hAnsi="Arial" w:cs="Arial"/>
        </w:rPr>
        <w:br/>
        <w:t>Externe Stellen je nach Einzelfall wie Behörden, Gerichte, Versicherer der beteiligten Personen, andere am Vorgang beteiligte Personen, Kreditinstitute, Gemeinden und weitere notwendige Behörden.</w:t>
      </w:r>
      <w:r w:rsidRPr="002C1362">
        <w:rPr>
          <w:rFonts w:ascii="Arial" w:hAnsi="Arial" w:cs="Arial"/>
        </w:rPr>
        <w:br/>
        <w:t>Für die Personalverwaltung: Vorgesetzte des Betroffenen, Kreditinstitute (zur Gehaltsüberweisung), Gläubiger (bei Lohn- und Gehaltspfändung), Sozialversicherungsträger, Finanzamt, DATEV</w:t>
      </w:r>
      <w:r w:rsidR="00C353A7">
        <w:rPr>
          <w:rFonts w:ascii="Arial" w:hAnsi="Arial" w:cs="Arial"/>
        </w:rPr>
        <w:t xml:space="preserve">, </w:t>
      </w:r>
      <w:r w:rsidR="00CB6577">
        <w:rPr>
          <w:rFonts w:ascii="Arial" w:hAnsi="Arial" w:cs="Arial"/>
        </w:rPr>
        <w:t>Geiger BDT</w:t>
      </w:r>
      <w:r w:rsidR="00C353A7">
        <w:rPr>
          <w:rFonts w:ascii="Arial" w:hAnsi="Arial" w:cs="Arial"/>
        </w:rPr>
        <w:t xml:space="preserve"> GmbH</w:t>
      </w:r>
      <w:r w:rsidR="00CB6577">
        <w:rPr>
          <w:rFonts w:ascii="Arial" w:hAnsi="Arial" w:cs="Arial"/>
        </w:rPr>
        <w:t>.</w:t>
      </w:r>
    </w:p>
    <w:p w:rsidR="002C1362" w:rsidRDefault="002C1362" w:rsidP="002C1362">
      <w:pPr>
        <w:ind w:left="705" w:hanging="705"/>
        <w:rPr>
          <w:rFonts w:ascii="Arial" w:hAnsi="Arial" w:cs="Arial"/>
        </w:rPr>
      </w:pPr>
      <w:r w:rsidRPr="002C1362">
        <w:rPr>
          <w:rFonts w:ascii="Arial" w:hAnsi="Arial" w:cs="Arial"/>
          <w:b/>
          <w:bCs/>
          <w:color w:val="002060"/>
        </w:rPr>
        <w:t>6.2</w:t>
      </w:r>
      <w:r w:rsidRPr="002C1362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ab/>
      </w:r>
      <w:r w:rsidRPr="002C1362">
        <w:rPr>
          <w:rFonts w:ascii="Arial" w:hAnsi="Arial" w:cs="Arial"/>
          <w:b/>
          <w:color w:val="002060"/>
        </w:rPr>
        <w:t>Interne Empfänger der Daten, denen ggf. Daten mitgeteilt werden können</w:t>
      </w:r>
      <w:r>
        <w:rPr>
          <w:rFonts w:ascii="Arial" w:hAnsi="Arial" w:cs="Arial"/>
          <w:b/>
          <w:color w:val="002060"/>
        </w:rPr>
        <w:br/>
      </w:r>
      <w:r w:rsidRPr="00C353A7">
        <w:rPr>
          <w:rFonts w:ascii="Arial" w:hAnsi="Arial" w:cs="Arial"/>
        </w:rPr>
        <w:t>Intern zuständige Sachbearbeiter (soweit vorhanden: der Leiter der Datenverarbeitung), der EDV-Betreuer, der Daten</w:t>
      </w:r>
      <w:r w:rsidR="00C353A7">
        <w:rPr>
          <w:rFonts w:ascii="Arial" w:hAnsi="Arial" w:cs="Arial"/>
        </w:rPr>
        <w:t>schutzbeauftragte sowie externe Datenverarbeitungszentren</w:t>
      </w:r>
      <w:r w:rsidRPr="00C353A7">
        <w:rPr>
          <w:rFonts w:ascii="Arial" w:hAnsi="Arial" w:cs="Arial"/>
        </w:rPr>
        <w:t>, Buchhaltung der Arbeitgeber sowi</w:t>
      </w:r>
      <w:r w:rsidR="00C353A7">
        <w:rPr>
          <w:rFonts w:ascii="Arial" w:hAnsi="Arial" w:cs="Arial"/>
        </w:rPr>
        <w:t xml:space="preserve">e alle weiteren Mitarbeiter der </w:t>
      </w:r>
      <w:r w:rsidR="00CB6577">
        <w:rPr>
          <w:rFonts w:ascii="Arial" w:hAnsi="Arial" w:cs="Arial"/>
        </w:rPr>
        <w:t>Kanzlei.</w:t>
      </w:r>
    </w:p>
    <w:p w:rsidR="00203342" w:rsidRDefault="00203342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:rsidR="00203342" w:rsidRPr="002C1362" w:rsidRDefault="00203342" w:rsidP="002C1362">
      <w:pPr>
        <w:ind w:left="705" w:hanging="705"/>
        <w:rPr>
          <w:rFonts w:ascii="Arial" w:hAnsi="Arial" w:cs="Arial"/>
          <w:b/>
          <w:color w:val="002060"/>
        </w:rPr>
      </w:pPr>
    </w:p>
    <w:p w:rsidR="002C1362" w:rsidRDefault="002C1362" w:rsidP="002C1362">
      <w:pPr>
        <w:ind w:left="705" w:hanging="705"/>
        <w:rPr>
          <w:rFonts w:ascii="Arial" w:hAnsi="Arial" w:cs="Arial"/>
        </w:rPr>
      </w:pPr>
      <w:r w:rsidRPr="002C1362">
        <w:rPr>
          <w:rFonts w:ascii="Arial" w:hAnsi="Arial" w:cs="Arial"/>
          <w:b/>
          <w:bCs/>
          <w:color w:val="002060"/>
        </w:rPr>
        <w:t xml:space="preserve">6.2a </w:t>
      </w:r>
      <w:r>
        <w:rPr>
          <w:rFonts w:ascii="Arial" w:hAnsi="Arial" w:cs="Arial"/>
          <w:b/>
          <w:bCs/>
          <w:color w:val="002060"/>
        </w:rPr>
        <w:tab/>
      </w:r>
      <w:r w:rsidRPr="002C1362">
        <w:rPr>
          <w:rFonts w:ascii="Arial" w:hAnsi="Arial" w:cs="Arial"/>
          <w:b/>
          <w:bCs/>
          <w:color w:val="002060"/>
        </w:rPr>
        <w:t>Besonderheiten:</w:t>
      </w:r>
      <w:r w:rsidRPr="002C1362">
        <w:rPr>
          <w:rFonts w:ascii="Arial" w:hAnsi="Arial" w:cs="Arial"/>
          <w:b/>
          <w:color w:val="002060"/>
        </w:rPr>
        <w:t xml:space="preserve"> Verschwiegenheits-Verpflichtung der möglichen Empfänger der Daten:</w:t>
      </w:r>
      <w:r>
        <w:rPr>
          <w:rFonts w:ascii="Arial" w:hAnsi="Arial" w:cs="Arial"/>
          <w:b/>
          <w:color w:val="002060"/>
        </w:rPr>
        <w:br/>
      </w:r>
      <w:r w:rsidRPr="002C1362">
        <w:rPr>
          <w:rFonts w:ascii="Arial" w:hAnsi="Arial" w:cs="Arial"/>
        </w:rPr>
        <w:t xml:space="preserve">Alle Mitarbeiter </w:t>
      </w:r>
      <w:r w:rsidR="00B9094A">
        <w:rPr>
          <w:rFonts w:ascii="Arial" w:hAnsi="Arial" w:cs="Arial"/>
        </w:rPr>
        <w:t>der Kanzlei</w:t>
      </w:r>
      <w:r w:rsidRPr="002C1362">
        <w:rPr>
          <w:rFonts w:ascii="Arial" w:hAnsi="Arial" w:cs="Arial"/>
        </w:rPr>
        <w:t xml:space="preserve"> werden auf die Wahrung des Datengeheimnisses und des Datenschutzes nach § 5 BDSG sowie auf die besondere berufsständische Verschwiegenheit verpflichtet. Die Kooperationspartner sind durch analoge gesetzliche Regelungen ebenfalls zu entsprechender Verschwiegenheit verpflichtet</w:t>
      </w:r>
      <w:r w:rsidR="00CB6577">
        <w:rPr>
          <w:rFonts w:ascii="Arial" w:hAnsi="Arial" w:cs="Arial"/>
        </w:rPr>
        <w:t>.</w:t>
      </w:r>
    </w:p>
    <w:p w:rsidR="002C1362" w:rsidRPr="002C1362" w:rsidRDefault="002C1362" w:rsidP="002C1362">
      <w:pPr>
        <w:ind w:left="705" w:hanging="705"/>
        <w:rPr>
          <w:rFonts w:ascii="Arial" w:hAnsi="Arial" w:cs="Arial"/>
          <w:b/>
          <w:color w:val="002060"/>
        </w:rPr>
      </w:pPr>
    </w:p>
    <w:p w:rsidR="002C1362" w:rsidRDefault="002C1362" w:rsidP="00203342">
      <w:pPr>
        <w:ind w:left="705" w:hanging="705"/>
        <w:rPr>
          <w:rFonts w:ascii="Arial" w:hAnsi="Arial" w:cs="Arial"/>
        </w:rPr>
      </w:pPr>
      <w:r w:rsidRPr="002C1362">
        <w:rPr>
          <w:rFonts w:ascii="Arial" w:hAnsi="Arial" w:cs="Arial"/>
          <w:b/>
          <w:bCs/>
          <w:color w:val="002060"/>
        </w:rPr>
        <w:t>6.3</w:t>
      </w:r>
      <w:r w:rsidRPr="002C1362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ab/>
      </w:r>
      <w:r w:rsidRPr="002C1362">
        <w:rPr>
          <w:rFonts w:ascii="Arial" w:hAnsi="Arial" w:cs="Arial"/>
          <w:b/>
          <w:color w:val="002060"/>
        </w:rPr>
        <w:t>Weitere Empfänger der Daten:</w:t>
      </w:r>
      <w:r w:rsidR="00203342">
        <w:rPr>
          <w:rFonts w:ascii="Arial" w:hAnsi="Arial" w:cs="Arial"/>
          <w:b/>
          <w:color w:val="002060"/>
        </w:rPr>
        <w:br/>
      </w:r>
      <w:r w:rsidRPr="002C1362">
        <w:rPr>
          <w:rFonts w:ascii="Arial" w:hAnsi="Arial" w:cs="Arial"/>
        </w:rPr>
        <w:t>Evtl. einzelfallbezogene Weitergabe der Daten an Kooperationspartner sowie soweit erforderlich, externe weitere Berater oder Dienstleister, im Rahmen umfassender Beratungsleistungen nach vorheriger Autorisier</w:t>
      </w:r>
      <w:r w:rsidR="00C23B93">
        <w:rPr>
          <w:rFonts w:ascii="Arial" w:hAnsi="Arial" w:cs="Arial"/>
        </w:rPr>
        <w:t>ung zur Datenweitergabe durch d</w:t>
      </w:r>
      <w:r w:rsidRPr="002C1362">
        <w:rPr>
          <w:rFonts w:ascii="Arial" w:hAnsi="Arial" w:cs="Arial"/>
        </w:rPr>
        <w:t>e</w:t>
      </w:r>
      <w:r w:rsidR="00C23B93">
        <w:rPr>
          <w:rFonts w:ascii="Arial" w:hAnsi="Arial" w:cs="Arial"/>
        </w:rPr>
        <w:t>n</w:t>
      </w:r>
      <w:r w:rsidRPr="002C1362">
        <w:rPr>
          <w:rFonts w:ascii="Arial" w:hAnsi="Arial" w:cs="Arial"/>
        </w:rPr>
        <w:t xml:space="preserve"> jeweiligen Mandanten.</w:t>
      </w:r>
    </w:p>
    <w:p w:rsidR="00203342" w:rsidRPr="00203342" w:rsidRDefault="00203342" w:rsidP="00203342">
      <w:pPr>
        <w:ind w:left="705" w:hanging="705"/>
        <w:rPr>
          <w:rFonts w:ascii="Arial" w:hAnsi="Arial" w:cs="Arial"/>
          <w:b/>
          <w:color w:val="002060"/>
        </w:rPr>
      </w:pPr>
    </w:p>
    <w:p w:rsidR="00203342" w:rsidRPr="00203342" w:rsidRDefault="002C1362" w:rsidP="00203342">
      <w:pPr>
        <w:ind w:left="705" w:hanging="705"/>
        <w:rPr>
          <w:rFonts w:ascii="Arial" w:hAnsi="Arial" w:cs="Arial"/>
          <w:b/>
          <w:color w:val="002060"/>
        </w:rPr>
      </w:pPr>
      <w:r w:rsidRPr="002C1362">
        <w:rPr>
          <w:rFonts w:ascii="Arial" w:hAnsi="Arial" w:cs="Arial"/>
          <w:b/>
          <w:bCs/>
          <w:color w:val="002060"/>
        </w:rPr>
        <w:t>6.4</w:t>
      </w:r>
      <w:r w:rsidRPr="002C1362">
        <w:rPr>
          <w:rFonts w:ascii="Arial" w:hAnsi="Arial" w:cs="Arial"/>
          <w:b/>
          <w:color w:val="002060"/>
        </w:rPr>
        <w:t xml:space="preserve"> </w:t>
      </w:r>
      <w:r w:rsidR="00203342">
        <w:rPr>
          <w:rFonts w:ascii="Arial" w:hAnsi="Arial" w:cs="Arial"/>
          <w:b/>
          <w:color w:val="002060"/>
        </w:rPr>
        <w:tab/>
      </w:r>
      <w:r w:rsidRPr="002C1362">
        <w:rPr>
          <w:rFonts w:ascii="Arial" w:hAnsi="Arial" w:cs="Arial"/>
          <w:b/>
          <w:color w:val="002060"/>
        </w:rPr>
        <w:t xml:space="preserve">Empfänger der Daten, denen ggf. die Daten auch noch prozessbedingt </w:t>
      </w:r>
      <w:r w:rsidR="00203342">
        <w:rPr>
          <w:rFonts w:ascii="Arial" w:hAnsi="Arial" w:cs="Arial"/>
          <w:b/>
          <w:color w:val="002060"/>
        </w:rPr>
        <w:br/>
      </w:r>
      <w:r w:rsidRPr="002C1362">
        <w:rPr>
          <w:rFonts w:ascii="Arial" w:hAnsi="Arial" w:cs="Arial"/>
          <w:b/>
          <w:color w:val="002060"/>
        </w:rPr>
        <w:t>mitgeteilt werden können:</w:t>
      </w:r>
      <w:r w:rsidR="00203342">
        <w:rPr>
          <w:rFonts w:ascii="Arial" w:hAnsi="Arial" w:cs="Arial"/>
          <w:b/>
          <w:color w:val="002060"/>
        </w:rPr>
        <w:br/>
      </w:r>
      <w:r w:rsidR="00B9094A">
        <w:rPr>
          <w:rFonts w:ascii="Arial" w:hAnsi="Arial" w:cs="Arial"/>
        </w:rPr>
        <w:t xml:space="preserve">Die Kanzlei </w:t>
      </w:r>
      <w:r w:rsidRPr="002C1362">
        <w:rPr>
          <w:rFonts w:ascii="Arial" w:hAnsi="Arial" w:cs="Arial"/>
        </w:rPr>
        <w:t xml:space="preserve">arbeitet mit der DATEV e.G. </w:t>
      </w:r>
      <w:r w:rsidR="00B9094A">
        <w:rPr>
          <w:rFonts w:ascii="Arial" w:hAnsi="Arial" w:cs="Arial"/>
        </w:rPr>
        <w:t xml:space="preserve">sowie mit der </w:t>
      </w:r>
      <w:r w:rsidR="00CB6577">
        <w:rPr>
          <w:rFonts w:ascii="Arial" w:hAnsi="Arial" w:cs="Arial"/>
        </w:rPr>
        <w:t>geiger BDT</w:t>
      </w:r>
      <w:r w:rsidR="00537BE0">
        <w:rPr>
          <w:rFonts w:ascii="Arial" w:hAnsi="Arial" w:cs="Arial"/>
        </w:rPr>
        <w:t xml:space="preserve"> GmbH</w:t>
      </w:r>
      <w:r w:rsidR="00537BE0" w:rsidRPr="002C1362">
        <w:rPr>
          <w:rFonts w:ascii="Arial" w:hAnsi="Arial" w:cs="Arial"/>
        </w:rPr>
        <w:t xml:space="preserve"> </w:t>
      </w:r>
      <w:r w:rsidRPr="002C1362">
        <w:rPr>
          <w:rFonts w:ascii="Arial" w:hAnsi="Arial" w:cs="Arial"/>
        </w:rPr>
        <w:t>zusammen, welche einen Teil der Datenverarbeitung als Auftragsdatenverarbeitung bzw. Datenarchivierung</w:t>
      </w:r>
      <w:r>
        <w:rPr>
          <w:rFonts w:ascii="Arial" w:hAnsi="Arial" w:cs="Arial"/>
        </w:rPr>
        <w:t xml:space="preserve"> übernehmen</w:t>
      </w:r>
      <w:r w:rsidRPr="002C1362">
        <w:rPr>
          <w:rFonts w:ascii="Arial" w:hAnsi="Arial" w:cs="Arial"/>
        </w:rPr>
        <w:t>.</w:t>
      </w:r>
      <w:r w:rsidR="00203342">
        <w:rPr>
          <w:rFonts w:ascii="Arial" w:hAnsi="Arial" w:cs="Arial"/>
        </w:rPr>
        <w:br/>
      </w:r>
    </w:p>
    <w:p w:rsidR="00203342" w:rsidRDefault="00203342" w:rsidP="00203342">
      <w:pPr>
        <w:rPr>
          <w:rFonts w:ascii="Arial" w:hAnsi="Arial" w:cs="Arial"/>
        </w:rPr>
      </w:pPr>
    </w:p>
    <w:p w:rsidR="00203342" w:rsidRPr="00203342" w:rsidRDefault="00203342" w:rsidP="00203342">
      <w:pPr>
        <w:ind w:left="705" w:hanging="705"/>
        <w:rPr>
          <w:rFonts w:ascii="Arial" w:hAnsi="Arial" w:cs="Arial"/>
        </w:rPr>
      </w:pPr>
      <w:r w:rsidRPr="00294CD6">
        <w:rPr>
          <w:rFonts w:ascii="Arial" w:hAnsi="Arial" w:cs="Arial"/>
          <w:color w:val="002060"/>
          <w:sz w:val="32"/>
          <w:szCs w:val="32"/>
        </w:rPr>
        <w:t xml:space="preserve">7 </w:t>
      </w:r>
      <w:r w:rsidRPr="00294CD6">
        <w:rPr>
          <w:rFonts w:ascii="Arial" w:hAnsi="Arial" w:cs="Arial"/>
          <w:color w:val="002060"/>
          <w:sz w:val="32"/>
          <w:szCs w:val="32"/>
        </w:rPr>
        <w:tab/>
        <w:t>Regelfristen</w:t>
      </w:r>
      <w:r w:rsidRPr="00203342">
        <w:rPr>
          <w:rFonts w:ascii="Arial" w:hAnsi="Arial" w:cs="Arial"/>
          <w:color w:val="002060"/>
          <w:sz w:val="32"/>
          <w:szCs w:val="32"/>
        </w:rPr>
        <w:t xml:space="preserve"> für die Löschung der Daten</w:t>
      </w:r>
      <w:r>
        <w:rPr>
          <w:rFonts w:ascii="Arial" w:hAnsi="Arial" w:cs="Arial"/>
          <w:color w:val="002060"/>
          <w:sz w:val="32"/>
          <w:szCs w:val="32"/>
        </w:rPr>
        <w:br/>
      </w:r>
      <w:r w:rsidRPr="00203342">
        <w:rPr>
          <w:rFonts w:ascii="Arial" w:hAnsi="Arial" w:cs="Arial"/>
        </w:rPr>
        <w:t xml:space="preserve">Der Gesetzgeber hat vielfältige Aufbewahrungspflichten und –fristen erlassen. Nach Ablauf dieser Fristen werden die entsprechenden Daten routinemäßig gelöscht, wenn sie nicht mehr zur Vertragserfüllung (z.B. Versicherungs-, Miet- und Dienstverträge) erforderlich sind, soweit </w:t>
      </w:r>
      <w:r w:rsidR="00C23B93">
        <w:rPr>
          <w:rFonts w:ascii="Arial" w:hAnsi="Arial" w:cs="Arial"/>
        </w:rPr>
        <w:t>gesetzliche</w:t>
      </w:r>
      <w:r w:rsidRPr="00203342">
        <w:rPr>
          <w:rFonts w:ascii="Arial" w:hAnsi="Arial" w:cs="Arial"/>
        </w:rPr>
        <w:t xml:space="preserve"> Aufbewahrungspflichten und –fristen dem nicht entgegenstehen. Sofern Daten hiervon nicht berührt sind, werde</w:t>
      </w:r>
      <w:r w:rsidR="00B9094A">
        <w:rPr>
          <w:rFonts w:ascii="Arial" w:hAnsi="Arial" w:cs="Arial"/>
        </w:rPr>
        <w:t>n</w:t>
      </w:r>
      <w:r w:rsidRPr="00203342">
        <w:rPr>
          <w:rFonts w:ascii="Arial" w:hAnsi="Arial" w:cs="Arial"/>
        </w:rPr>
        <w:t xml:space="preserve"> sie gelöscht, wenn die unter Nr. 4 genannten Zwecke wegfallen.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03342" w:rsidRDefault="00203342" w:rsidP="00203342">
      <w:pPr>
        <w:ind w:left="705" w:hanging="705"/>
        <w:rPr>
          <w:rFonts w:ascii="Arial" w:hAnsi="Arial" w:cs="Arial"/>
          <w:color w:val="000000" w:themeColor="text1"/>
        </w:rPr>
      </w:pPr>
      <w:r w:rsidRPr="00203342">
        <w:rPr>
          <w:rFonts w:ascii="Arial" w:hAnsi="Arial" w:cs="Arial"/>
          <w:color w:val="002060"/>
          <w:sz w:val="32"/>
          <w:szCs w:val="32"/>
        </w:rPr>
        <w:t>8</w:t>
      </w:r>
      <w:r w:rsidRPr="00203342">
        <w:rPr>
          <w:rFonts w:ascii="Arial" w:hAnsi="Arial" w:cs="Arial"/>
          <w:color w:val="002060"/>
          <w:sz w:val="32"/>
          <w:szCs w:val="32"/>
        </w:rPr>
        <w:tab/>
        <w:t>Geplante Datenübermittlung in Drittstaaten</w:t>
      </w:r>
      <w:r>
        <w:rPr>
          <w:rFonts w:ascii="Arial" w:hAnsi="Arial" w:cs="Arial"/>
          <w:color w:val="002060"/>
          <w:sz w:val="32"/>
          <w:szCs w:val="32"/>
        </w:rPr>
        <w:br/>
      </w:r>
      <w:r w:rsidRPr="00203342">
        <w:rPr>
          <w:rFonts w:ascii="Arial" w:hAnsi="Arial" w:cs="Arial"/>
          <w:color w:val="000000" w:themeColor="text1"/>
        </w:rPr>
        <w:t>Eine Übermittlung der Daten in Drittstaaten ist generell nicht geplant, allerdings möglich, soweit mandats- und fallbezogen gesetzlich erforderlich oder nach vorheriger Autorisierung durch den Mandanten.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</w:p>
    <w:p w:rsidR="00203342" w:rsidRPr="00277FFE" w:rsidRDefault="00203342" w:rsidP="00203342">
      <w:pPr>
        <w:ind w:left="705" w:hanging="705"/>
        <w:rPr>
          <w:rFonts w:ascii="Calibri" w:hAnsi="Calibri" w:cs="Arial"/>
          <w:sz w:val="17"/>
          <w:szCs w:val="17"/>
        </w:rPr>
      </w:pPr>
      <w:r w:rsidRPr="00203342">
        <w:rPr>
          <w:rFonts w:ascii="Arial" w:hAnsi="Arial" w:cs="Arial"/>
          <w:color w:val="002060"/>
          <w:sz w:val="32"/>
          <w:szCs w:val="32"/>
        </w:rPr>
        <w:t xml:space="preserve">9 </w:t>
      </w:r>
      <w:r>
        <w:rPr>
          <w:rFonts w:ascii="Arial" w:hAnsi="Arial" w:cs="Arial"/>
          <w:color w:val="002060"/>
          <w:sz w:val="32"/>
          <w:szCs w:val="32"/>
        </w:rPr>
        <w:tab/>
      </w:r>
      <w:r w:rsidRPr="00203342">
        <w:rPr>
          <w:rFonts w:ascii="Arial" w:hAnsi="Arial" w:cs="Arial"/>
          <w:color w:val="002060"/>
          <w:sz w:val="32"/>
          <w:szCs w:val="32"/>
        </w:rPr>
        <w:t xml:space="preserve">Beauftragter für den </w:t>
      </w:r>
      <w:r>
        <w:rPr>
          <w:rFonts w:ascii="Arial" w:hAnsi="Arial" w:cs="Arial"/>
          <w:color w:val="002060"/>
          <w:sz w:val="32"/>
          <w:szCs w:val="32"/>
        </w:rPr>
        <w:t>Datenschutz</w:t>
      </w:r>
      <w:r>
        <w:rPr>
          <w:rFonts w:ascii="Arial" w:hAnsi="Arial" w:cs="Arial"/>
          <w:color w:val="002060"/>
          <w:sz w:val="32"/>
          <w:szCs w:val="32"/>
        </w:rPr>
        <w:br/>
      </w:r>
      <w:r w:rsidR="00326785">
        <w:rPr>
          <w:rFonts w:ascii="Arial" w:hAnsi="Arial" w:cs="Arial"/>
          <w:color w:val="000000" w:themeColor="text1"/>
        </w:rPr>
        <w:t>Unsere</w:t>
      </w:r>
      <w:r w:rsidR="00BF0286">
        <w:rPr>
          <w:rFonts w:ascii="Arial" w:hAnsi="Arial" w:cs="Arial"/>
          <w:color w:val="000000" w:themeColor="text1"/>
        </w:rPr>
        <w:t xml:space="preserve"> Kanzlei</w:t>
      </w:r>
      <w:r w:rsidRPr="00203342">
        <w:rPr>
          <w:rFonts w:ascii="Arial" w:hAnsi="Arial" w:cs="Arial"/>
          <w:color w:val="000000" w:themeColor="text1"/>
        </w:rPr>
        <w:t xml:space="preserve"> hat den gesetzlichen Verpflichtungen folgend einen externen Datenschutzbeauftragten bestellt. </w:t>
      </w:r>
      <w:r w:rsidR="00B03288">
        <w:rPr>
          <w:rFonts w:ascii="Arial" w:hAnsi="Arial" w:cs="Arial"/>
          <w:color w:val="000000" w:themeColor="text1"/>
        </w:rPr>
        <w:br/>
      </w:r>
      <w:r w:rsidRPr="00203342">
        <w:rPr>
          <w:rFonts w:ascii="Arial" w:hAnsi="Arial" w:cs="Arial"/>
          <w:color w:val="000000" w:themeColor="text1"/>
        </w:rPr>
        <w:t xml:space="preserve">Sie erreichen unseren Datenschutzbeauftragten </w:t>
      </w:r>
      <w:r w:rsidR="00B03288">
        <w:rPr>
          <w:rFonts w:ascii="Arial" w:hAnsi="Arial" w:cs="Arial"/>
          <w:color w:val="000000" w:themeColor="text1"/>
        </w:rPr>
        <w:t xml:space="preserve">Stefan Droß unter </w:t>
      </w:r>
      <w:r w:rsidR="00B03288" w:rsidRPr="00B03288">
        <w:rPr>
          <w:rFonts w:ascii="Arial" w:hAnsi="Arial" w:cs="Arial"/>
          <w:color w:val="000000" w:themeColor="text1"/>
        </w:rPr>
        <w:t>dross@sdw-consulting.de</w:t>
      </w:r>
      <w:r w:rsidR="00B03288">
        <w:rPr>
          <w:rFonts w:ascii="Arial" w:hAnsi="Arial" w:cs="Arial"/>
          <w:color w:val="000000" w:themeColor="text1"/>
        </w:rPr>
        <w:t xml:space="preserve"> </w:t>
      </w:r>
      <w:r w:rsidR="00C01459">
        <w:rPr>
          <w:rFonts w:ascii="Arial" w:hAnsi="Arial" w:cs="Arial"/>
          <w:color w:val="000000" w:themeColor="text1"/>
        </w:rPr>
        <w:t xml:space="preserve">oder über die unter Position 3 genannte </w:t>
      </w:r>
      <w:r w:rsidRPr="00203342">
        <w:rPr>
          <w:rFonts w:ascii="Arial" w:hAnsi="Arial" w:cs="Arial"/>
          <w:color w:val="000000" w:themeColor="text1"/>
        </w:rPr>
        <w:t>Adresse.</w:t>
      </w:r>
    </w:p>
    <w:p w:rsidR="002271F5" w:rsidRPr="00B9094A" w:rsidRDefault="002271F5" w:rsidP="002271F5">
      <w:pPr>
        <w:rPr>
          <w:rFonts w:ascii="Arial" w:hAnsi="Arial" w:cs="Arial"/>
          <w:sz w:val="17"/>
          <w:szCs w:val="17"/>
        </w:rPr>
      </w:pPr>
    </w:p>
    <w:sectPr w:rsidR="002271F5" w:rsidRPr="00B90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343"/>
    <w:multiLevelType w:val="multilevel"/>
    <w:tmpl w:val="2DB036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4"/>
    <w:rsid w:val="00203342"/>
    <w:rsid w:val="002271F5"/>
    <w:rsid w:val="00260D52"/>
    <w:rsid w:val="00294CD6"/>
    <w:rsid w:val="002C1362"/>
    <w:rsid w:val="00323DE2"/>
    <w:rsid w:val="00326785"/>
    <w:rsid w:val="00370AC8"/>
    <w:rsid w:val="0037167B"/>
    <w:rsid w:val="00537BE0"/>
    <w:rsid w:val="00565872"/>
    <w:rsid w:val="00565CB9"/>
    <w:rsid w:val="006A3C6A"/>
    <w:rsid w:val="00862904"/>
    <w:rsid w:val="0087043C"/>
    <w:rsid w:val="00892840"/>
    <w:rsid w:val="008B13F3"/>
    <w:rsid w:val="009B5FBC"/>
    <w:rsid w:val="009E76AA"/>
    <w:rsid w:val="00B03288"/>
    <w:rsid w:val="00B9094A"/>
    <w:rsid w:val="00BF0286"/>
    <w:rsid w:val="00C01459"/>
    <w:rsid w:val="00C23B93"/>
    <w:rsid w:val="00C353A7"/>
    <w:rsid w:val="00CB6577"/>
    <w:rsid w:val="00D00240"/>
    <w:rsid w:val="00DE7F6C"/>
    <w:rsid w:val="00E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00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6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024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D002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0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CF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Absatz-Standardschriftart"/>
    <w:rsid w:val="0037167B"/>
  </w:style>
  <w:style w:type="character" w:customStyle="1" w:styleId="Mention">
    <w:name w:val="Mention"/>
    <w:basedOn w:val="Absatz-Standardschriftart"/>
    <w:uiPriority w:val="99"/>
    <w:semiHidden/>
    <w:unhideWhenUsed/>
    <w:rsid w:val="00B0328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00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6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024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D002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0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CF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Absatz-Standardschriftart"/>
    <w:rsid w:val="0037167B"/>
  </w:style>
  <w:style w:type="character" w:customStyle="1" w:styleId="Mention">
    <w:name w:val="Mention"/>
    <w:basedOn w:val="Absatz-Standardschriftart"/>
    <w:uiPriority w:val="99"/>
    <w:semiHidden/>
    <w:unhideWhenUsed/>
    <w:rsid w:val="00B032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Droß</dc:creator>
  <cp:keywords/>
  <dc:description/>
  <cp:lastModifiedBy>Stefan Droß</cp:lastModifiedBy>
  <cp:revision>6</cp:revision>
  <cp:lastPrinted>2017-03-31T13:01:00Z</cp:lastPrinted>
  <dcterms:created xsi:type="dcterms:W3CDTF">2017-04-03T10:06:00Z</dcterms:created>
  <dcterms:modified xsi:type="dcterms:W3CDTF">2017-04-03T12:14:00Z</dcterms:modified>
</cp:coreProperties>
</file>