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718C3" w14:textId="22405952" w:rsidR="00227923" w:rsidRDefault="00AF5BA4" w:rsidP="00227923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706727" wp14:editId="2C64EB80">
            <wp:simplePos x="0" y="0"/>
            <wp:positionH relativeFrom="column">
              <wp:posOffset>-648422</wp:posOffset>
            </wp:positionH>
            <wp:positionV relativeFrom="paragraph">
              <wp:posOffset>0</wp:posOffset>
            </wp:positionV>
            <wp:extent cx="1310727" cy="737235"/>
            <wp:effectExtent l="0" t="0" r="0" b="0"/>
            <wp:wrapSquare wrapText="bothSides"/>
            <wp:docPr id="1" name="Picture 1" descr="A picture containing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Enabling-Services-0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9" cy="754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923">
        <w:t>Work from Home Security Checklist</w:t>
      </w:r>
    </w:p>
    <w:p w14:paraId="62003B55" w14:textId="41E9CC1E" w:rsidR="00227923" w:rsidRDefault="00227923" w:rsidP="00227923">
      <w:pPr>
        <w:pStyle w:val="Title"/>
      </w:pPr>
    </w:p>
    <w:p w14:paraId="414877A9" w14:textId="70636B55" w:rsidR="001056E3" w:rsidRPr="001056E3" w:rsidRDefault="009C62D9" w:rsidP="001056E3">
      <w:r>
        <w:t xml:space="preserve">Perimeter security is </w:t>
      </w:r>
      <w:r w:rsidR="001141DD">
        <w:t xml:space="preserve">dead. </w:t>
      </w:r>
      <w:r w:rsidR="00791295">
        <w:t xml:space="preserve">With </w:t>
      </w:r>
      <w:r>
        <w:t xml:space="preserve">data being </w:t>
      </w:r>
      <w:r w:rsidR="00791295">
        <w:t>access</w:t>
      </w:r>
      <w:r>
        <w:t>ed</w:t>
      </w:r>
      <w:r w:rsidR="00791295">
        <w:t xml:space="preserve"> from unknown locations on untrusted devices, </w:t>
      </w:r>
      <w:r>
        <w:t xml:space="preserve">new risks are at an all-time high.  </w:t>
      </w:r>
      <w:r w:rsidR="001056E3">
        <w:t xml:space="preserve">These checklists are meant to highlight the most important tasks to ensure </w:t>
      </w:r>
      <w:r w:rsidR="001A2EF2">
        <w:t>your users, devices, apps, and data are protected.</w:t>
      </w:r>
      <w:r w:rsidR="00A90943">
        <w:t xml:space="preserve"> </w:t>
      </w:r>
      <w:r w:rsidR="0091214A">
        <w:t xml:space="preserve">It focuses on </w:t>
      </w:r>
      <w:r w:rsidR="00275551">
        <w:t xml:space="preserve">hybrid </w:t>
      </w:r>
      <w:r w:rsidR="0091214A">
        <w:t>Mic</w:t>
      </w:r>
      <w:r w:rsidR="00F54A19">
        <w:t>r</w:t>
      </w:r>
      <w:r w:rsidR="0091214A">
        <w:t xml:space="preserve">osoft </w:t>
      </w:r>
      <w:r w:rsidR="00275551">
        <w:t>O365</w:t>
      </w:r>
      <w:r w:rsidR="0094326C">
        <w:t xml:space="preserve"> and (</w:t>
      </w:r>
      <w:r w:rsidR="00275551">
        <w:t>Azure</w:t>
      </w:r>
      <w:r w:rsidR="0094326C">
        <w:t>)</w:t>
      </w:r>
      <w:r w:rsidR="00275551">
        <w:t xml:space="preserve"> Active Directory </w:t>
      </w:r>
      <w:r w:rsidR="0091214A">
        <w:t>technologies</w:t>
      </w:r>
      <w:r w:rsidR="00F54A19">
        <w:t xml:space="preserve">. </w:t>
      </w:r>
      <w:r w:rsidR="00A90943">
        <w:t>It is not meant to be a completely exhaustive list.</w:t>
      </w:r>
      <w:r w:rsidR="001A2EF2">
        <w:t xml:space="preserve"> </w:t>
      </w:r>
      <w:r w:rsidR="00D6240F">
        <w:t>The guidance is based on common</w:t>
      </w:r>
      <w:r w:rsidR="00634BB2">
        <w:t xml:space="preserve"> </w:t>
      </w:r>
      <w:r w:rsidR="00CB30F5">
        <w:t xml:space="preserve">Microsoft </w:t>
      </w:r>
      <w:r w:rsidR="00D6240F">
        <w:t xml:space="preserve">licensing, </w:t>
      </w:r>
      <w:r w:rsidR="00CF349B">
        <w:t xml:space="preserve">but </w:t>
      </w:r>
      <w:r w:rsidR="004B5C8D">
        <w:t xml:space="preserve">notes </w:t>
      </w:r>
      <w:r w:rsidR="001111E8">
        <w:t>premium features</w:t>
      </w:r>
      <w:r w:rsidR="004B5C8D">
        <w:t xml:space="preserve"> when applicable</w:t>
      </w:r>
      <w:r w:rsidR="000E59F0">
        <w:t xml:space="preserve">. </w:t>
      </w:r>
      <w:r w:rsidR="00A90943">
        <w:t xml:space="preserve">Recommendations </w:t>
      </w:r>
      <w:r w:rsidR="001A2EF2">
        <w:t>are gleaned from sources such as Microsoft, CIS, NIST, and Enabling’s own experiences.</w:t>
      </w:r>
    </w:p>
    <w:p w14:paraId="018B612F" w14:textId="77777777" w:rsidR="00227923" w:rsidRDefault="00227923" w:rsidP="00DD52FF">
      <w:pPr>
        <w:pStyle w:val="Heading1"/>
        <w:numPr>
          <w:ilvl w:val="0"/>
          <w:numId w:val="1"/>
        </w:numPr>
      </w:pPr>
      <w:r>
        <w:t>Identities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7604"/>
        <w:gridCol w:w="1251"/>
      </w:tblGrid>
      <w:tr w:rsidR="007A77E2" w14:paraId="0E68A43B" w14:textId="77777777" w:rsidTr="007A77E2">
        <w:tc>
          <w:tcPr>
            <w:tcW w:w="445" w:type="dxa"/>
          </w:tcPr>
          <w:p w14:paraId="66A89945" w14:textId="6A282FEE" w:rsidR="007A77E2" w:rsidRDefault="007A77E2" w:rsidP="001056E3">
            <w:r>
              <w:t>ID</w:t>
            </w:r>
          </w:p>
        </w:tc>
        <w:tc>
          <w:tcPr>
            <w:tcW w:w="7650" w:type="dxa"/>
          </w:tcPr>
          <w:p w14:paraId="6D0CE29A" w14:textId="577EE478" w:rsidR="007A77E2" w:rsidRDefault="007A77E2" w:rsidP="001056E3">
            <w:r>
              <w:t>Description</w:t>
            </w:r>
          </w:p>
        </w:tc>
        <w:tc>
          <w:tcPr>
            <w:tcW w:w="1255" w:type="dxa"/>
          </w:tcPr>
          <w:p w14:paraId="225E156C" w14:textId="18546065" w:rsidR="007A77E2" w:rsidRDefault="007A77E2" w:rsidP="001056E3">
            <w:r>
              <w:t>Status</w:t>
            </w:r>
          </w:p>
        </w:tc>
      </w:tr>
      <w:tr w:rsidR="007A77E2" w14:paraId="0F132E6E" w14:textId="77777777" w:rsidTr="007A77E2">
        <w:tc>
          <w:tcPr>
            <w:tcW w:w="445" w:type="dxa"/>
          </w:tcPr>
          <w:p w14:paraId="5F7136A9" w14:textId="62E4926C" w:rsidR="007A77E2" w:rsidRDefault="007A77E2" w:rsidP="001056E3">
            <w:r>
              <w:t>1.0</w:t>
            </w:r>
          </w:p>
        </w:tc>
        <w:tc>
          <w:tcPr>
            <w:tcW w:w="7650" w:type="dxa"/>
          </w:tcPr>
          <w:p w14:paraId="422DB4FA" w14:textId="77777777" w:rsidR="007A77E2" w:rsidRDefault="001056E3" w:rsidP="001056E3">
            <w:r>
              <w:t>Ensure multifactor authentication is enabled for all users in administrative roles</w:t>
            </w:r>
          </w:p>
          <w:p w14:paraId="2FA6AD0D" w14:textId="77777777" w:rsidR="001032E5" w:rsidRDefault="001032E5" w:rsidP="00FC74E2">
            <w:pPr>
              <w:ind w:left="720"/>
              <w:rPr>
                <w:i/>
                <w:iCs/>
              </w:rPr>
            </w:pPr>
            <w:r>
              <w:rPr>
                <w:i/>
                <w:iCs/>
              </w:rPr>
              <w:t xml:space="preserve">Minimize the number global admin accounts (2-4 ideal) </w:t>
            </w:r>
          </w:p>
          <w:p w14:paraId="154AD953" w14:textId="056EAA93" w:rsidR="00FC74E2" w:rsidRPr="00CC778E" w:rsidRDefault="00FC74E2" w:rsidP="00FC74E2">
            <w:pPr>
              <w:ind w:left="720"/>
              <w:rPr>
                <w:i/>
                <w:iCs/>
              </w:rPr>
            </w:pPr>
            <w:r w:rsidRPr="00CC778E">
              <w:rPr>
                <w:i/>
                <w:iCs/>
              </w:rPr>
              <w:t xml:space="preserve">Ensure an emergency account </w:t>
            </w:r>
            <w:r w:rsidR="009A77DA">
              <w:rPr>
                <w:i/>
                <w:iCs/>
              </w:rPr>
              <w:t xml:space="preserve">exists </w:t>
            </w:r>
            <w:r w:rsidRPr="00CC778E">
              <w:rPr>
                <w:i/>
                <w:iCs/>
              </w:rPr>
              <w:t xml:space="preserve">with a 128-character password </w:t>
            </w:r>
          </w:p>
        </w:tc>
        <w:tc>
          <w:tcPr>
            <w:tcW w:w="1255" w:type="dxa"/>
          </w:tcPr>
          <w:p w14:paraId="737FF627" w14:textId="0C023232" w:rsidR="00B65AD1" w:rsidRDefault="00B65AD1" w:rsidP="001056E3"/>
        </w:tc>
      </w:tr>
      <w:tr w:rsidR="007A77E2" w14:paraId="51F70E58" w14:textId="77777777" w:rsidTr="007A77E2">
        <w:tc>
          <w:tcPr>
            <w:tcW w:w="445" w:type="dxa"/>
          </w:tcPr>
          <w:p w14:paraId="6DE8F9F7" w14:textId="0F5EE2BE" w:rsidR="007A77E2" w:rsidRDefault="007A77E2" w:rsidP="001056E3">
            <w:r>
              <w:t>1.1</w:t>
            </w:r>
          </w:p>
        </w:tc>
        <w:tc>
          <w:tcPr>
            <w:tcW w:w="7650" w:type="dxa"/>
          </w:tcPr>
          <w:p w14:paraId="486AFC3A" w14:textId="756B0ECE" w:rsidR="007A77E2" w:rsidRDefault="009A77DA" w:rsidP="001056E3">
            <w:r>
              <w:t xml:space="preserve">Enable </w:t>
            </w:r>
            <w:r w:rsidR="00AB74A6">
              <w:t>multifactor authentication is enabled for all users in all roles</w:t>
            </w:r>
          </w:p>
          <w:p w14:paraId="1DCA67ED" w14:textId="4E86EBD7" w:rsidR="00FC74E2" w:rsidRPr="00CC778E" w:rsidRDefault="00FC74E2" w:rsidP="00FC74E2">
            <w:pPr>
              <w:ind w:left="720"/>
              <w:rPr>
                <w:i/>
                <w:iCs/>
              </w:rPr>
            </w:pPr>
            <w:r w:rsidRPr="00CC778E">
              <w:rPr>
                <w:i/>
                <w:iCs/>
              </w:rPr>
              <w:t>Use the Azure AD Application Proxy to secure on-prem servers with MFA</w:t>
            </w:r>
          </w:p>
        </w:tc>
        <w:tc>
          <w:tcPr>
            <w:tcW w:w="1255" w:type="dxa"/>
          </w:tcPr>
          <w:p w14:paraId="7901B7DA" w14:textId="77777777" w:rsidR="007A77E2" w:rsidRDefault="007A77E2" w:rsidP="001056E3"/>
        </w:tc>
      </w:tr>
      <w:tr w:rsidR="00C27379" w14:paraId="0A76F6C1" w14:textId="77777777" w:rsidTr="007A77E2">
        <w:tc>
          <w:tcPr>
            <w:tcW w:w="445" w:type="dxa"/>
          </w:tcPr>
          <w:p w14:paraId="745270B6" w14:textId="5D8C0E85" w:rsidR="00C27379" w:rsidRDefault="00C27379" w:rsidP="001056E3">
            <w:r>
              <w:t>1.2</w:t>
            </w:r>
          </w:p>
        </w:tc>
        <w:tc>
          <w:tcPr>
            <w:tcW w:w="7650" w:type="dxa"/>
          </w:tcPr>
          <w:p w14:paraId="19BAEFBA" w14:textId="299E45BF" w:rsidR="00C27379" w:rsidRDefault="00C27379" w:rsidP="001056E3">
            <w:r>
              <w:t>Enable AAD Password Protection to AD to prohibit the use of common passwords.</w:t>
            </w:r>
          </w:p>
        </w:tc>
        <w:tc>
          <w:tcPr>
            <w:tcW w:w="1255" w:type="dxa"/>
          </w:tcPr>
          <w:p w14:paraId="338B84EB" w14:textId="77777777" w:rsidR="00C27379" w:rsidRDefault="00C27379" w:rsidP="001056E3"/>
        </w:tc>
      </w:tr>
      <w:tr w:rsidR="007A77E2" w14:paraId="423844EE" w14:textId="77777777" w:rsidTr="007A77E2">
        <w:tc>
          <w:tcPr>
            <w:tcW w:w="445" w:type="dxa"/>
          </w:tcPr>
          <w:p w14:paraId="0DEE3265" w14:textId="66CC3596" w:rsidR="007A77E2" w:rsidRDefault="007A77E2" w:rsidP="001056E3">
            <w:r>
              <w:t>1.</w:t>
            </w:r>
            <w:r w:rsidR="0090638E">
              <w:t>3</w:t>
            </w:r>
          </w:p>
        </w:tc>
        <w:tc>
          <w:tcPr>
            <w:tcW w:w="7650" w:type="dxa"/>
          </w:tcPr>
          <w:p w14:paraId="060FF9CD" w14:textId="66123641" w:rsidR="007A77E2" w:rsidRDefault="0090638E" w:rsidP="001056E3">
            <w:r>
              <w:t xml:space="preserve">Configure </w:t>
            </w:r>
            <w:r w:rsidR="009A77DA">
              <w:t xml:space="preserve">Self-Service Password Reset </w:t>
            </w:r>
            <w:r w:rsidR="00DD52FF">
              <w:t xml:space="preserve">in </w:t>
            </w:r>
            <w:r w:rsidR="001000ED">
              <w:t>Azure AD (Premium 1 req</w:t>
            </w:r>
            <w:r w:rsidR="00DD52FF">
              <w:t>uired</w:t>
            </w:r>
            <w:r w:rsidR="001000ED">
              <w:t>)</w:t>
            </w:r>
          </w:p>
        </w:tc>
        <w:tc>
          <w:tcPr>
            <w:tcW w:w="1255" w:type="dxa"/>
          </w:tcPr>
          <w:p w14:paraId="2DEEEE49" w14:textId="77777777" w:rsidR="007A77E2" w:rsidRDefault="007A77E2" w:rsidP="001056E3"/>
        </w:tc>
      </w:tr>
      <w:tr w:rsidR="007A77E2" w14:paraId="3FF92F64" w14:textId="77777777" w:rsidTr="007A77E2">
        <w:tc>
          <w:tcPr>
            <w:tcW w:w="445" w:type="dxa"/>
          </w:tcPr>
          <w:p w14:paraId="03B93335" w14:textId="540D889A" w:rsidR="007A77E2" w:rsidRDefault="00DD52FF" w:rsidP="001056E3">
            <w:r>
              <w:t>1.</w:t>
            </w:r>
            <w:r w:rsidR="0090638E">
              <w:t>4</w:t>
            </w:r>
          </w:p>
        </w:tc>
        <w:tc>
          <w:tcPr>
            <w:tcW w:w="7650" w:type="dxa"/>
          </w:tcPr>
          <w:p w14:paraId="72EE3C70" w14:textId="592F5BA3" w:rsidR="007A77E2" w:rsidRDefault="00036C1B" w:rsidP="001056E3">
            <w:r>
              <w:t>Block legacy authentication with Conditional Access policies</w:t>
            </w:r>
            <w:r w:rsidR="00E46B44">
              <w:t xml:space="preserve"> </w:t>
            </w:r>
          </w:p>
        </w:tc>
        <w:tc>
          <w:tcPr>
            <w:tcW w:w="1255" w:type="dxa"/>
          </w:tcPr>
          <w:p w14:paraId="389179C4" w14:textId="77777777" w:rsidR="007A77E2" w:rsidRDefault="007A77E2" w:rsidP="001056E3"/>
        </w:tc>
      </w:tr>
      <w:tr w:rsidR="007A77E2" w14:paraId="62787752" w14:textId="77777777" w:rsidTr="007A77E2">
        <w:tc>
          <w:tcPr>
            <w:tcW w:w="445" w:type="dxa"/>
          </w:tcPr>
          <w:p w14:paraId="559BEB57" w14:textId="40260064" w:rsidR="007A77E2" w:rsidRDefault="008E3A9E" w:rsidP="001056E3">
            <w:r>
              <w:t>1.</w:t>
            </w:r>
            <w:r w:rsidR="0090638E">
              <w:t>5</w:t>
            </w:r>
            <w:r>
              <w:t xml:space="preserve"> </w:t>
            </w:r>
          </w:p>
        </w:tc>
        <w:tc>
          <w:tcPr>
            <w:tcW w:w="7650" w:type="dxa"/>
          </w:tcPr>
          <w:p w14:paraId="59A0448B" w14:textId="2FDD907C" w:rsidR="007A77E2" w:rsidRDefault="008E3A9E" w:rsidP="001056E3">
            <w:r>
              <w:t xml:space="preserve">Configure </w:t>
            </w:r>
            <w:r w:rsidR="00C8004B">
              <w:t>password hash sync (even if using AD</w:t>
            </w:r>
            <w:r w:rsidR="00193353">
              <w:t xml:space="preserve"> </w:t>
            </w:r>
            <w:r w:rsidR="00C8004B">
              <w:t>FS)</w:t>
            </w:r>
          </w:p>
        </w:tc>
        <w:tc>
          <w:tcPr>
            <w:tcW w:w="1255" w:type="dxa"/>
          </w:tcPr>
          <w:p w14:paraId="74725D76" w14:textId="77777777" w:rsidR="007A77E2" w:rsidRDefault="007A77E2" w:rsidP="001056E3"/>
        </w:tc>
      </w:tr>
      <w:tr w:rsidR="007A77E2" w14:paraId="794179E7" w14:textId="77777777" w:rsidTr="007A77E2">
        <w:tc>
          <w:tcPr>
            <w:tcW w:w="445" w:type="dxa"/>
          </w:tcPr>
          <w:p w14:paraId="42865D94" w14:textId="7EB664BA" w:rsidR="007A77E2" w:rsidRDefault="00C8004B" w:rsidP="001056E3">
            <w:r>
              <w:t>1.</w:t>
            </w:r>
            <w:r w:rsidR="0090638E">
              <w:t>6</w:t>
            </w:r>
          </w:p>
        </w:tc>
        <w:tc>
          <w:tcPr>
            <w:tcW w:w="7650" w:type="dxa"/>
          </w:tcPr>
          <w:p w14:paraId="37C0D9F9" w14:textId="53E95C1D" w:rsidR="007A77E2" w:rsidRDefault="00C8004B" w:rsidP="001056E3">
            <w:r>
              <w:t>Enable Identity Protection</w:t>
            </w:r>
            <w:r w:rsidR="00F761B4">
              <w:t xml:space="preserve"> </w:t>
            </w:r>
            <w:r w:rsidR="00702703">
              <w:t xml:space="preserve">and review (weekly) </w:t>
            </w:r>
            <w:r w:rsidR="00F761B4">
              <w:t>for anomalous logins</w:t>
            </w:r>
          </w:p>
        </w:tc>
        <w:tc>
          <w:tcPr>
            <w:tcW w:w="1255" w:type="dxa"/>
          </w:tcPr>
          <w:p w14:paraId="7C76EBD0" w14:textId="054330DA" w:rsidR="007A77E2" w:rsidRDefault="00C8004B" w:rsidP="001056E3">
            <w:r>
              <w:t xml:space="preserve"> </w:t>
            </w:r>
          </w:p>
        </w:tc>
      </w:tr>
      <w:tr w:rsidR="007A77E2" w14:paraId="39AD34FD" w14:textId="77777777" w:rsidTr="007A77E2">
        <w:tc>
          <w:tcPr>
            <w:tcW w:w="445" w:type="dxa"/>
          </w:tcPr>
          <w:p w14:paraId="5FEE901F" w14:textId="1ABD23F2" w:rsidR="007A77E2" w:rsidRDefault="00CC1E03" w:rsidP="001056E3">
            <w:r>
              <w:t>1.7</w:t>
            </w:r>
          </w:p>
        </w:tc>
        <w:tc>
          <w:tcPr>
            <w:tcW w:w="7650" w:type="dxa"/>
          </w:tcPr>
          <w:p w14:paraId="5E1BE32E" w14:textId="12940D67" w:rsidR="007A77E2" w:rsidRDefault="00302B8F" w:rsidP="001056E3">
            <w:r>
              <w:t xml:space="preserve">Block logins from </w:t>
            </w:r>
            <w:r w:rsidR="004B6B15">
              <w:t xml:space="preserve">countries where your </w:t>
            </w:r>
            <w:r w:rsidR="00BF5CF3">
              <w:t>org</w:t>
            </w:r>
            <w:r w:rsidR="004B6B15">
              <w:t xml:space="preserve"> has no legitimate users (AAD P1)</w:t>
            </w:r>
          </w:p>
        </w:tc>
        <w:tc>
          <w:tcPr>
            <w:tcW w:w="1255" w:type="dxa"/>
          </w:tcPr>
          <w:p w14:paraId="6EE74775" w14:textId="77777777" w:rsidR="007A77E2" w:rsidRDefault="007A77E2" w:rsidP="001056E3"/>
        </w:tc>
      </w:tr>
    </w:tbl>
    <w:p w14:paraId="586A428F" w14:textId="77777777" w:rsidR="00227923" w:rsidRPr="00227923" w:rsidRDefault="00227923" w:rsidP="00227923"/>
    <w:p w14:paraId="3C33D5E4" w14:textId="0562EEB7" w:rsidR="00227923" w:rsidRDefault="00227923" w:rsidP="00DD52FF">
      <w:pPr>
        <w:pStyle w:val="Heading1"/>
        <w:numPr>
          <w:ilvl w:val="0"/>
          <w:numId w:val="1"/>
        </w:numPr>
      </w:pPr>
      <w:r>
        <w:t>Devices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7604"/>
        <w:gridCol w:w="1251"/>
      </w:tblGrid>
      <w:tr w:rsidR="007024C3" w14:paraId="29F92D34" w14:textId="77777777" w:rsidTr="007E2341">
        <w:tc>
          <w:tcPr>
            <w:tcW w:w="495" w:type="dxa"/>
          </w:tcPr>
          <w:p w14:paraId="04BF29D1" w14:textId="77777777" w:rsidR="008C15A9" w:rsidRDefault="008C15A9" w:rsidP="00052BFA">
            <w:r>
              <w:t>ID</w:t>
            </w:r>
          </w:p>
        </w:tc>
        <w:tc>
          <w:tcPr>
            <w:tcW w:w="7604" w:type="dxa"/>
          </w:tcPr>
          <w:p w14:paraId="34B3EF93" w14:textId="77777777" w:rsidR="008C15A9" w:rsidRDefault="008C15A9" w:rsidP="00052BFA">
            <w:r>
              <w:t>Description</w:t>
            </w:r>
          </w:p>
        </w:tc>
        <w:tc>
          <w:tcPr>
            <w:tcW w:w="1251" w:type="dxa"/>
          </w:tcPr>
          <w:p w14:paraId="75FA9A2A" w14:textId="77777777" w:rsidR="008C15A9" w:rsidRDefault="008C15A9" w:rsidP="00052BFA">
            <w:r>
              <w:t>Status</w:t>
            </w:r>
          </w:p>
        </w:tc>
      </w:tr>
      <w:tr w:rsidR="007024C3" w14:paraId="67E3F6F4" w14:textId="77777777" w:rsidTr="007E2341">
        <w:tc>
          <w:tcPr>
            <w:tcW w:w="495" w:type="dxa"/>
          </w:tcPr>
          <w:p w14:paraId="5747E5C0" w14:textId="04BA969C" w:rsidR="008C15A9" w:rsidRDefault="007B10B7" w:rsidP="00052BFA">
            <w:r>
              <w:t>2</w:t>
            </w:r>
            <w:r w:rsidR="008C15A9">
              <w:t>.0</w:t>
            </w:r>
          </w:p>
        </w:tc>
        <w:tc>
          <w:tcPr>
            <w:tcW w:w="7604" w:type="dxa"/>
          </w:tcPr>
          <w:p w14:paraId="0E8C0772" w14:textId="439E022A" w:rsidR="008C15A9" w:rsidRPr="009B724E" w:rsidRDefault="007C68FF" w:rsidP="009B724E">
            <w:r w:rsidRPr="007C68FF">
              <w:t>Ensure IT staff and Privileged Users</w:t>
            </w:r>
            <w:r>
              <w:t xml:space="preserve"> </w:t>
            </w:r>
            <w:r w:rsidRPr="007C68FF">
              <w:t xml:space="preserve">are using dedicated, corporate workstations </w:t>
            </w:r>
            <w:r w:rsidR="00107B26">
              <w:t xml:space="preserve">(or a </w:t>
            </w:r>
            <w:proofErr w:type="spellStart"/>
            <w:r w:rsidR="00107B26">
              <w:t>jumpbox</w:t>
            </w:r>
            <w:proofErr w:type="spellEnd"/>
            <w:r w:rsidR="00107B26">
              <w:t xml:space="preserve"> such as Azure Bastion</w:t>
            </w:r>
            <w:r w:rsidR="007E3ED5">
              <w:t xml:space="preserve"> with Just-in-Time access</w:t>
            </w:r>
            <w:r w:rsidR="00107B26">
              <w:t xml:space="preserve">) </w:t>
            </w:r>
            <w:r w:rsidRPr="007C68FF">
              <w:t xml:space="preserve">to perform </w:t>
            </w:r>
            <w:r w:rsidR="00EC4D75">
              <w:t xml:space="preserve">admin </w:t>
            </w:r>
            <w:r w:rsidRPr="007C68FF">
              <w:t>changes in the environment (not personal devices).</w:t>
            </w:r>
            <w:r w:rsidR="00107B26">
              <w:t xml:space="preserve"> </w:t>
            </w:r>
          </w:p>
        </w:tc>
        <w:tc>
          <w:tcPr>
            <w:tcW w:w="1251" w:type="dxa"/>
          </w:tcPr>
          <w:p w14:paraId="2D065B29" w14:textId="77777777" w:rsidR="008C15A9" w:rsidRDefault="008C15A9" w:rsidP="00052BFA"/>
        </w:tc>
      </w:tr>
      <w:tr w:rsidR="00D245D5" w14:paraId="1DEB487F" w14:textId="77777777" w:rsidTr="007E2341">
        <w:tc>
          <w:tcPr>
            <w:tcW w:w="495" w:type="dxa"/>
          </w:tcPr>
          <w:p w14:paraId="2F85DE49" w14:textId="328BF72D" w:rsidR="00D245D5" w:rsidRDefault="00D245D5" w:rsidP="00D245D5">
            <w:r>
              <w:t>2.1</w:t>
            </w:r>
          </w:p>
        </w:tc>
        <w:tc>
          <w:tcPr>
            <w:tcW w:w="7604" w:type="dxa"/>
          </w:tcPr>
          <w:p w14:paraId="3FB122A2" w14:textId="026D216E" w:rsidR="00D245D5" w:rsidRPr="004D7938" w:rsidRDefault="00D245D5" w:rsidP="00D245D5">
            <w:r>
              <w:t>Disable local Admin rights, or restrict potentially unwanted app installation using Defender Application Guard</w:t>
            </w:r>
          </w:p>
        </w:tc>
        <w:tc>
          <w:tcPr>
            <w:tcW w:w="1251" w:type="dxa"/>
          </w:tcPr>
          <w:p w14:paraId="098A6903" w14:textId="77777777" w:rsidR="00D245D5" w:rsidRDefault="00D245D5" w:rsidP="00D245D5"/>
        </w:tc>
      </w:tr>
      <w:tr w:rsidR="00D245D5" w14:paraId="7BB1D8F2" w14:textId="77777777" w:rsidTr="007E2341">
        <w:tc>
          <w:tcPr>
            <w:tcW w:w="495" w:type="dxa"/>
          </w:tcPr>
          <w:p w14:paraId="6648F0A6" w14:textId="28444723" w:rsidR="00D245D5" w:rsidRDefault="00D245D5" w:rsidP="00D245D5">
            <w:r>
              <w:t>2.2</w:t>
            </w:r>
          </w:p>
        </w:tc>
        <w:tc>
          <w:tcPr>
            <w:tcW w:w="7604" w:type="dxa"/>
          </w:tcPr>
          <w:p w14:paraId="1744F935" w14:textId="2FA82758" w:rsidR="00D245D5" w:rsidRDefault="00D245D5" w:rsidP="00D245D5">
            <w:r>
              <w:t>Control macros by using Defender Exploit Guard Attack Surface Area Reduction, Controlled Folder Access, and Network Protection rules</w:t>
            </w:r>
          </w:p>
        </w:tc>
        <w:tc>
          <w:tcPr>
            <w:tcW w:w="1251" w:type="dxa"/>
          </w:tcPr>
          <w:p w14:paraId="4C19251E" w14:textId="77777777" w:rsidR="00D245D5" w:rsidRDefault="00D245D5" w:rsidP="00D245D5"/>
        </w:tc>
      </w:tr>
      <w:tr w:rsidR="00D245D5" w14:paraId="22991EAB" w14:textId="77777777" w:rsidTr="007E2341">
        <w:tc>
          <w:tcPr>
            <w:tcW w:w="495" w:type="dxa"/>
          </w:tcPr>
          <w:p w14:paraId="70DCAF14" w14:textId="6F6E3B4A" w:rsidR="00D245D5" w:rsidRDefault="00D245D5" w:rsidP="00D245D5">
            <w:r>
              <w:t>2.3</w:t>
            </w:r>
          </w:p>
        </w:tc>
        <w:tc>
          <w:tcPr>
            <w:tcW w:w="7604" w:type="dxa"/>
          </w:tcPr>
          <w:p w14:paraId="5D357325" w14:textId="60FA1F27" w:rsidR="00D245D5" w:rsidRDefault="00D245D5" w:rsidP="00D245D5">
            <w:r>
              <w:t xml:space="preserve">Either disable USB altogether via Intune or protect against malware by scanning removable drives (using </w:t>
            </w:r>
            <w:r w:rsidRPr="00C37A51">
              <w:rPr>
                <w:rFonts w:ascii="Segoe UI" w:eastAsia="Times New Roman" w:hAnsi="Segoe UI" w:cs="Segoe UI"/>
                <w:sz w:val="21"/>
                <w:szCs w:val="21"/>
              </w:rPr>
              <w:t>M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icrosoft </w:t>
            </w:r>
            <w:r w:rsidRPr="00C37A51">
              <w:rPr>
                <w:rFonts w:ascii="Segoe UI" w:eastAsia="Times New Roman" w:hAnsi="Segoe UI" w:cs="Segoe UI"/>
                <w:sz w:val="21"/>
                <w:szCs w:val="21"/>
              </w:rPr>
              <w:t>D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>efender or similar)</w:t>
            </w:r>
          </w:p>
        </w:tc>
        <w:tc>
          <w:tcPr>
            <w:tcW w:w="1251" w:type="dxa"/>
          </w:tcPr>
          <w:p w14:paraId="668F4D66" w14:textId="77777777" w:rsidR="00D245D5" w:rsidRDefault="00D245D5" w:rsidP="00D245D5"/>
        </w:tc>
      </w:tr>
      <w:tr w:rsidR="00D245D5" w14:paraId="55EC584F" w14:textId="77777777" w:rsidTr="007E2341">
        <w:tc>
          <w:tcPr>
            <w:tcW w:w="495" w:type="dxa"/>
          </w:tcPr>
          <w:p w14:paraId="673A4D13" w14:textId="20C2C7CA" w:rsidR="00D245D5" w:rsidRDefault="00D245D5" w:rsidP="00D245D5">
            <w:r>
              <w:t>2.4</w:t>
            </w:r>
          </w:p>
        </w:tc>
        <w:tc>
          <w:tcPr>
            <w:tcW w:w="7604" w:type="dxa"/>
          </w:tcPr>
          <w:p w14:paraId="42ABD2A1" w14:textId="768A173F" w:rsidR="00D245D5" w:rsidRDefault="00D245D5" w:rsidP="00065EEA">
            <w:r>
              <w:t xml:space="preserve">Use Windows Firewall, Hello for Business, Screen Saver timeouts, and SmartScreen </w:t>
            </w:r>
          </w:p>
        </w:tc>
        <w:tc>
          <w:tcPr>
            <w:tcW w:w="1251" w:type="dxa"/>
          </w:tcPr>
          <w:p w14:paraId="54BC4693" w14:textId="77777777" w:rsidR="00D245D5" w:rsidRDefault="00D245D5" w:rsidP="00D245D5"/>
        </w:tc>
      </w:tr>
      <w:tr w:rsidR="00D245D5" w14:paraId="52E8BDF6" w14:textId="77777777" w:rsidTr="007E2341">
        <w:tc>
          <w:tcPr>
            <w:tcW w:w="495" w:type="dxa"/>
          </w:tcPr>
          <w:p w14:paraId="67049F8B" w14:textId="5A88BD4F" w:rsidR="00D245D5" w:rsidRDefault="00D245D5" w:rsidP="00D245D5">
            <w:r>
              <w:t xml:space="preserve">2.5 </w:t>
            </w:r>
          </w:p>
        </w:tc>
        <w:tc>
          <w:tcPr>
            <w:tcW w:w="7604" w:type="dxa"/>
          </w:tcPr>
          <w:p w14:paraId="2AAAC44C" w14:textId="314ED71D" w:rsidR="00D245D5" w:rsidRDefault="00EC6F57" w:rsidP="00D245D5">
            <w:r>
              <w:t xml:space="preserve">Keep machines patched! </w:t>
            </w:r>
            <w:r w:rsidR="00D245D5">
              <w:t xml:space="preserve">Ensure proper configuration </w:t>
            </w:r>
            <w:r w:rsidR="00275173">
              <w:t xml:space="preserve">of </w:t>
            </w:r>
            <w:r w:rsidR="00D245D5">
              <w:t>Automatic Windows Updates using Intune, Config Manager, or Windows Update Service</w:t>
            </w:r>
          </w:p>
          <w:p w14:paraId="37699753" w14:textId="74396D8D" w:rsidR="00D245D5" w:rsidRPr="00345487" w:rsidRDefault="00D245D5" w:rsidP="0079159E">
            <w:pPr>
              <w:ind w:left="720"/>
            </w:pPr>
            <w:r w:rsidRPr="000B2B22">
              <w:rPr>
                <w:i/>
                <w:iCs/>
              </w:rPr>
              <w:t xml:space="preserve">Optimize updates </w:t>
            </w:r>
            <w:r>
              <w:rPr>
                <w:i/>
                <w:iCs/>
              </w:rPr>
              <w:t xml:space="preserve">when </w:t>
            </w:r>
            <w:r w:rsidRPr="000B2B22">
              <w:rPr>
                <w:i/>
                <w:iCs/>
              </w:rPr>
              <w:t>using Configuration Manager and Cloud Management Gateway</w:t>
            </w:r>
          </w:p>
        </w:tc>
        <w:tc>
          <w:tcPr>
            <w:tcW w:w="1251" w:type="dxa"/>
          </w:tcPr>
          <w:p w14:paraId="68DF2058" w14:textId="77777777" w:rsidR="00D245D5" w:rsidRDefault="00D245D5" w:rsidP="00D245D5"/>
        </w:tc>
      </w:tr>
      <w:tr w:rsidR="00D245D5" w14:paraId="6CFB87F4" w14:textId="77777777" w:rsidTr="007E2341">
        <w:tc>
          <w:tcPr>
            <w:tcW w:w="495" w:type="dxa"/>
          </w:tcPr>
          <w:p w14:paraId="45CC7915" w14:textId="325A597B" w:rsidR="00D245D5" w:rsidRDefault="00D245D5" w:rsidP="00D245D5">
            <w:r>
              <w:lastRenderedPageBreak/>
              <w:t>2.6</w:t>
            </w:r>
          </w:p>
        </w:tc>
        <w:tc>
          <w:tcPr>
            <w:tcW w:w="7604" w:type="dxa"/>
          </w:tcPr>
          <w:p w14:paraId="504DF7FD" w14:textId="5A2CA12C" w:rsidR="00D245D5" w:rsidRDefault="00D245D5" w:rsidP="00D245D5">
            <w:r w:rsidRPr="00345487">
              <w:t>Manage mobile devices using Intune MDM or Mobile Device Management</w:t>
            </w:r>
            <w:r>
              <w:t xml:space="preserve"> (EMS E3 required)</w:t>
            </w:r>
            <w:r w:rsidRPr="00345487">
              <w:t xml:space="preserve"> </w:t>
            </w:r>
          </w:p>
        </w:tc>
        <w:tc>
          <w:tcPr>
            <w:tcW w:w="1251" w:type="dxa"/>
          </w:tcPr>
          <w:p w14:paraId="5A2F8B30" w14:textId="77777777" w:rsidR="00D245D5" w:rsidRDefault="00D245D5" w:rsidP="00D245D5">
            <w:r>
              <w:t xml:space="preserve"> </w:t>
            </w:r>
          </w:p>
        </w:tc>
      </w:tr>
      <w:tr w:rsidR="00D245D5" w14:paraId="037F191E" w14:textId="77777777" w:rsidTr="007E2341">
        <w:tc>
          <w:tcPr>
            <w:tcW w:w="495" w:type="dxa"/>
          </w:tcPr>
          <w:p w14:paraId="089B7B7A" w14:textId="3A771A4A" w:rsidR="00D245D5" w:rsidRDefault="00D245D5" w:rsidP="00D245D5">
            <w:r>
              <w:t>2.7</w:t>
            </w:r>
          </w:p>
        </w:tc>
        <w:tc>
          <w:tcPr>
            <w:tcW w:w="7604" w:type="dxa"/>
          </w:tcPr>
          <w:p w14:paraId="4FDCB715" w14:textId="363CC00B" w:rsidR="00D245D5" w:rsidRDefault="00D245D5" w:rsidP="00D245D5">
            <w:r>
              <w:t>Use device health and management status (from Defender ATP and Intune) as inputs into Conditional Access and MFA rules</w:t>
            </w:r>
          </w:p>
        </w:tc>
        <w:tc>
          <w:tcPr>
            <w:tcW w:w="1251" w:type="dxa"/>
          </w:tcPr>
          <w:p w14:paraId="61689092" w14:textId="77777777" w:rsidR="00D245D5" w:rsidRDefault="00D245D5" w:rsidP="00D245D5"/>
        </w:tc>
      </w:tr>
      <w:tr w:rsidR="00D245D5" w14:paraId="337F576A" w14:textId="77777777" w:rsidTr="007E2341">
        <w:tc>
          <w:tcPr>
            <w:tcW w:w="495" w:type="dxa"/>
          </w:tcPr>
          <w:p w14:paraId="713EA5AA" w14:textId="191CFE11" w:rsidR="00D245D5" w:rsidRDefault="00D245D5" w:rsidP="00D245D5">
            <w:r>
              <w:t>2.8</w:t>
            </w:r>
          </w:p>
        </w:tc>
        <w:tc>
          <w:tcPr>
            <w:tcW w:w="7604" w:type="dxa"/>
          </w:tcPr>
          <w:p w14:paraId="0B6656BC" w14:textId="1382C4FA" w:rsidR="00D245D5" w:rsidRDefault="00437BF5" w:rsidP="00D245D5">
            <w:r>
              <w:t>Use Conditional Access</w:t>
            </w:r>
            <w:r w:rsidR="007A3B0C">
              <w:t xml:space="preserve">, </w:t>
            </w:r>
            <w:r w:rsidR="00BD5880">
              <w:t>Cloud App Security</w:t>
            </w:r>
            <w:r w:rsidR="007A3B0C">
              <w:t>, and Intune</w:t>
            </w:r>
            <w:r w:rsidR="00BD5880">
              <w:t xml:space="preserve"> to control unmanaged device access</w:t>
            </w:r>
          </w:p>
        </w:tc>
        <w:tc>
          <w:tcPr>
            <w:tcW w:w="1251" w:type="dxa"/>
          </w:tcPr>
          <w:p w14:paraId="701A1408" w14:textId="77777777" w:rsidR="00D245D5" w:rsidRDefault="00D245D5" w:rsidP="00D245D5"/>
        </w:tc>
      </w:tr>
      <w:tr w:rsidR="00D245D5" w14:paraId="5E5914E5" w14:textId="77777777" w:rsidTr="007E2341">
        <w:tc>
          <w:tcPr>
            <w:tcW w:w="495" w:type="dxa"/>
          </w:tcPr>
          <w:p w14:paraId="7A18ECD1" w14:textId="588562CD" w:rsidR="00D245D5" w:rsidRDefault="00D245D5" w:rsidP="00D245D5">
            <w:r>
              <w:t>2.9</w:t>
            </w:r>
          </w:p>
        </w:tc>
        <w:tc>
          <w:tcPr>
            <w:tcW w:w="7604" w:type="dxa"/>
          </w:tcPr>
          <w:p w14:paraId="294200F1" w14:textId="06936584" w:rsidR="00D245D5" w:rsidRDefault="00AD195C" w:rsidP="00D245D5">
            <w:r>
              <w:t xml:space="preserve">Use Intune application control policies </w:t>
            </w:r>
            <w:r w:rsidR="00176A42">
              <w:t>for device</w:t>
            </w:r>
            <w:r w:rsidR="00356A1C">
              <w:t>-</w:t>
            </w:r>
            <w:r w:rsidR="0024265D">
              <w:t>level</w:t>
            </w:r>
            <w:r w:rsidR="00356A1C">
              <w:t xml:space="preserve"> information protection</w:t>
            </w:r>
          </w:p>
        </w:tc>
        <w:tc>
          <w:tcPr>
            <w:tcW w:w="1251" w:type="dxa"/>
          </w:tcPr>
          <w:p w14:paraId="642AF07F" w14:textId="77777777" w:rsidR="00D245D5" w:rsidRDefault="00D245D5" w:rsidP="00D245D5"/>
        </w:tc>
      </w:tr>
    </w:tbl>
    <w:p w14:paraId="55021C86" w14:textId="77777777" w:rsidR="008C15A9" w:rsidRPr="008C15A9" w:rsidRDefault="008C15A9" w:rsidP="008C15A9"/>
    <w:p w14:paraId="6093A316" w14:textId="6BE04BE6" w:rsidR="008C15A9" w:rsidRDefault="00227923" w:rsidP="00DD52FF">
      <w:pPr>
        <w:pStyle w:val="Heading1"/>
        <w:numPr>
          <w:ilvl w:val="0"/>
          <w:numId w:val="1"/>
        </w:numPr>
      </w:pPr>
      <w:r>
        <w:t>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7500"/>
        <w:gridCol w:w="1243"/>
      </w:tblGrid>
      <w:tr w:rsidR="00E05E22" w14:paraId="786F49EF" w14:textId="77777777" w:rsidTr="00562B76">
        <w:tc>
          <w:tcPr>
            <w:tcW w:w="607" w:type="dxa"/>
          </w:tcPr>
          <w:p w14:paraId="0C112507" w14:textId="77777777" w:rsidR="00E05E22" w:rsidRDefault="00E05E22" w:rsidP="00052BFA">
            <w:r>
              <w:t>ID</w:t>
            </w:r>
          </w:p>
        </w:tc>
        <w:tc>
          <w:tcPr>
            <w:tcW w:w="7500" w:type="dxa"/>
          </w:tcPr>
          <w:p w14:paraId="08C62D80" w14:textId="77777777" w:rsidR="00E05E22" w:rsidRDefault="00E05E22" w:rsidP="00052BFA">
            <w:r>
              <w:t>Description</w:t>
            </w:r>
          </w:p>
        </w:tc>
        <w:tc>
          <w:tcPr>
            <w:tcW w:w="1243" w:type="dxa"/>
          </w:tcPr>
          <w:p w14:paraId="35CC4491" w14:textId="77777777" w:rsidR="00E05E22" w:rsidRDefault="00E05E22" w:rsidP="00052BFA">
            <w:r>
              <w:t>Status</w:t>
            </w:r>
          </w:p>
        </w:tc>
      </w:tr>
      <w:tr w:rsidR="00E05E22" w14:paraId="5812045D" w14:textId="77777777" w:rsidTr="00562B76">
        <w:tc>
          <w:tcPr>
            <w:tcW w:w="607" w:type="dxa"/>
          </w:tcPr>
          <w:p w14:paraId="60745F2B" w14:textId="30BA1030" w:rsidR="00E05E22" w:rsidRDefault="00753ED1" w:rsidP="00052BFA">
            <w:r>
              <w:t>3.</w:t>
            </w:r>
            <w:r w:rsidR="00E05E22">
              <w:t>0</w:t>
            </w:r>
          </w:p>
        </w:tc>
        <w:tc>
          <w:tcPr>
            <w:tcW w:w="7500" w:type="dxa"/>
          </w:tcPr>
          <w:p w14:paraId="6B73CC82" w14:textId="2583D6A3" w:rsidR="00E05E22" w:rsidRPr="009B724E" w:rsidRDefault="00E05E22" w:rsidP="00052BFA">
            <w:r>
              <w:t xml:space="preserve">Ensure </w:t>
            </w:r>
            <w:r w:rsidR="00550A38">
              <w:t xml:space="preserve">Exchange’s </w:t>
            </w:r>
            <w:r>
              <w:t xml:space="preserve">Common Attachment Types Filter is enabled </w:t>
            </w:r>
          </w:p>
        </w:tc>
        <w:tc>
          <w:tcPr>
            <w:tcW w:w="1243" w:type="dxa"/>
          </w:tcPr>
          <w:p w14:paraId="547999E7" w14:textId="77777777" w:rsidR="00E05E22" w:rsidRDefault="00E05E22" w:rsidP="00052BFA"/>
        </w:tc>
      </w:tr>
      <w:tr w:rsidR="00E05E22" w14:paraId="0D148DC2" w14:textId="77777777" w:rsidTr="00562B76">
        <w:tc>
          <w:tcPr>
            <w:tcW w:w="607" w:type="dxa"/>
          </w:tcPr>
          <w:p w14:paraId="463E4EA2" w14:textId="79303840" w:rsidR="00E05E22" w:rsidRDefault="00753ED1" w:rsidP="00052BFA">
            <w:r>
              <w:t>3.</w:t>
            </w:r>
            <w:r w:rsidR="00E05E22">
              <w:t>1</w:t>
            </w:r>
          </w:p>
        </w:tc>
        <w:tc>
          <w:tcPr>
            <w:tcW w:w="7500" w:type="dxa"/>
          </w:tcPr>
          <w:p w14:paraId="5F5B7770" w14:textId="77777777" w:rsidR="00E05E22" w:rsidRPr="00CC778E" w:rsidRDefault="00E05E22" w:rsidP="00052BFA">
            <w:pPr>
              <w:rPr>
                <w:i/>
                <w:iCs/>
              </w:rPr>
            </w:pPr>
            <w:r>
              <w:t>Ensure Exchange Online Spam Policies are set to notify an admin when a sender in your tenant has been blocked for sending spam emails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243" w:type="dxa"/>
          </w:tcPr>
          <w:p w14:paraId="5301F4AE" w14:textId="77777777" w:rsidR="00E05E22" w:rsidRDefault="00E05E22" w:rsidP="00052BFA"/>
        </w:tc>
      </w:tr>
      <w:tr w:rsidR="00E05E22" w14:paraId="50F5F113" w14:textId="77777777" w:rsidTr="00562B76">
        <w:tc>
          <w:tcPr>
            <w:tcW w:w="607" w:type="dxa"/>
          </w:tcPr>
          <w:p w14:paraId="688EF715" w14:textId="51A3ECE9" w:rsidR="00E05E22" w:rsidRDefault="00753ED1" w:rsidP="00052BFA">
            <w:r>
              <w:t>3.</w:t>
            </w:r>
            <w:r w:rsidR="00E05E22">
              <w:t>2</w:t>
            </w:r>
          </w:p>
        </w:tc>
        <w:tc>
          <w:tcPr>
            <w:tcW w:w="7500" w:type="dxa"/>
          </w:tcPr>
          <w:p w14:paraId="4FA9D5E4" w14:textId="5892BC63" w:rsidR="00E05E22" w:rsidRDefault="002C63F2" w:rsidP="00052BFA">
            <w:r>
              <w:t xml:space="preserve">Config </w:t>
            </w:r>
            <w:r w:rsidR="00732FA4">
              <w:t xml:space="preserve">and audit </w:t>
            </w:r>
            <w:r>
              <w:t xml:space="preserve">transport rules </w:t>
            </w:r>
            <w:r w:rsidR="00732FA4">
              <w:t xml:space="preserve">to </w:t>
            </w:r>
            <w:r>
              <w:t xml:space="preserve">prohibit </w:t>
            </w:r>
            <w:r w:rsidR="00E05E22">
              <w:t>forward</w:t>
            </w:r>
            <w:r>
              <w:t>ing email</w:t>
            </w:r>
            <w:r w:rsidR="00E05E22">
              <w:t xml:space="preserve"> to external domains</w:t>
            </w:r>
          </w:p>
        </w:tc>
        <w:tc>
          <w:tcPr>
            <w:tcW w:w="1243" w:type="dxa"/>
          </w:tcPr>
          <w:p w14:paraId="417F6FEF" w14:textId="77777777" w:rsidR="00E05E22" w:rsidRDefault="00E05E22" w:rsidP="00052BFA"/>
        </w:tc>
      </w:tr>
      <w:tr w:rsidR="00E05E22" w14:paraId="3303AF35" w14:textId="77777777" w:rsidTr="00562B76">
        <w:tc>
          <w:tcPr>
            <w:tcW w:w="607" w:type="dxa"/>
          </w:tcPr>
          <w:p w14:paraId="430BA80E" w14:textId="2B11B00B" w:rsidR="00E05E22" w:rsidRDefault="00753ED1" w:rsidP="00052BFA">
            <w:r>
              <w:t>3.</w:t>
            </w:r>
            <w:r w:rsidR="00550A38">
              <w:t>3</w:t>
            </w:r>
            <w:r w:rsidR="00E05E22">
              <w:t xml:space="preserve"> </w:t>
            </w:r>
          </w:p>
        </w:tc>
        <w:tc>
          <w:tcPr>
            <w:tcW w:w="7500" w:type="dxa"/>
          </w:tcPr>
          <w:p w14:paraId="313AF754" w14:textId="77777777" w:rsidR="00E05E22" w:rsidRDefault="00E05E22" w:rsidP="00052BFA">
            <w:r>
              <w:t>Ensure Advanced Threat Protection Safe Links &amp; Attachments are enabled (O365 E5)</w:t>
            </w:r>
          </w:p>
        </w:tc>
        <w:tc>
          <w:tcPr>
            <w:tcW w:w="1243" w:type="dxa"/>
          </w:tcPr>
          <w:p w14:paraId="3E2F2DFA" w14:textId="77777777" w:rsidR="00E05E22" w:rsidRDefault="00E05E22" w:rsidP="00052BFA"/>
        </w:tc>
      </w:tr>
      <w:tr w:rsidR="00E05E22" w14:paraId="0BB311FB" w14:textId="77777777" w:rsidTr="00562B76">
        <w:tc>
          <w:tcPr>
            <w:tcW w:w="607" w:type="dxa"/>
          </w:tcPr>
          <w:p w14:paraId="2F65407F" w14:textId="465D7392" w:rsidR="00E05E22" w:rsidRDefault="00753ED1" w:rsidP="00052BFA">
            <w:r>
              <w:t>3.</w:t>
            </w:r>
            <w:r w:rsidR="00550A38">
              <w:t>4</w:t>
            </w:r>
          </w:p>
        </w:tc>
        <w:tc>
          <w:tcPr>
            <w:tcW w:w="7500" w:type="dxa"/>
          </w:tcPr>
          <w:p w14:paraId="5A682379" w14:textId="37F0660E" w:rsidR="00E05E22" w:rsidRDefault="00E05E22" w:rsidP="00052BFA">
            <w:r>
              <w:t>Ensure basic authentication for Exchange Online is disabled</w:t>
            </w:r>
          </w:p>
        </w:tc>
        <w:tc>
          <w:tcPr>
            <w:tcW w:w="1243" w:type="dxa"/>
          </w:tcPr>
          <w:p w14:paraId="6825C2E7" w14:textId="77777777" w:rsidR="00E05E22" w:rsidRDefault="00E05E22" w:rsidP="00052BFA">
            <w:r>
              <w:t xml:space="preserve"> </w:t>
            </w:r>
          </w:p>
        </w:tc>
      </w:tr>
      <w:tr w:rsidR="00E05E22" w14:paraId="181D5C9F" w14:textId="77777777" w:rsidTr="00562B76">
        <w:tc>
          <w:tcPr>
            <w:tcW w:w="607" w:type="dxa"/>
          </w:tcPr>
          <w:p w14:paraId="6FC57989" w14:textId="26867F3E" w:rsidR="00E05E22" w:rsidRDefault="00753ED1" w:rsidP="00052BFA">
            <w:r>
              <w:t>3.</w:t>
            </w:r>
            <w:r w:rsidR="00550A38">
              <w:t>5</w:t>
            </w:r>
          </w:p>
        </w:tc>
        <w:tc>
          <w:tcPr>
            <w:tcW w:w="7500" w:type="dxa"/>
          </w:tcPr>
          <w:p w14:paraId="05D4752F" w14:textId="3B78AAFA" w:rsidR="00E05E22" w:rsidRDefault="00E05E22" w:rsidP="00052BFA">
            <w:r>
              <w:t>Configure anti-phishing polic</w:t>
            </w:r>
            <w:r w:rsidR="008E3034">
              <w:t>ies</w:t>
            </w:r>
            <w:r>
              <w:t xml:space="preserve"> to block impersonation attempts</w:t>
            </w:r>
          </w:p>
        </w:tc>
        <w:tc>
          <w:tcPr>
            <w:tcW w:w="1243" w:type="dxa"/>
          </w:tcPr>
          <w:p w14:paraId="42A03BA7" w14:textId="77777777" w:rsidR="00E05E22" w:rsidRDefault="00E05E22" w:rsidP="00052BFA"/>
        </w:tc>
      </w:tr>
      <w:tr w:rsidR="00E05E22" w14:paraId="0472BF69" w14:textId="77777777" w:rsidTr="00562B76">
        <w:tc>
          <w:tcPr>
            <w:tcW w:w="607" w:type="dxa"/>
          </w:tcPr>
          <w:p w14:paraId="39770944" w14:textId="05A16611" w:rsidR="00E05E22" w:rsidRDefault="00753ED1" w:rsidP="00052BFA">
            <w:r>
              <w:t>3.</w:t>
            </w:r>
            <w:r w:rsidR="00550A38">
              <w:t>6</w:t>
            </w:r>
          </w:p>
        </w:tc>
        <w:tc>
          <w:tcPr>
            <w:tcW w:w="7500" w:type="dxa"/>
          </w:tcPr>
          <w:p w14:paraId="26AB56D0" w14:textId="58A23DBC" w:rsidR="00E05E22" w:rsidRDefault="00E05E22" w:rsidP="00052BFA">
            <w:r>
              <w:t xml:space="preserve">Enable SPF, DKIM, and DMARC for all Exchange Online </w:t>
            </w:r>
            <w:r w:rsidR="005F27BD">
              <w:t xml:space="preserve">accepted </w:t>
            </w:r>
            <w:r w:rsidR="00BF1D8C">
              <w:t>custom d</w:t>
            </w:r>
            <w:r>
              <w:t>omains</w:t>
            </w:r>
          </w:p>
        </w:tc>
        <w:tc>
          <w:tcPr>
            <w:tcW w:w="1243" w:type="dxa"/>
          </w:tcPr>
          <w:p w14:paraId="162E2CA0" w14:textId="77777777" w:rsidR="00E05E22" w:rsidRDefault="00E05E22" w:rsidP="00052BFA"/>
        </w:tc>
      </w:tr>
      <w:tr w:rsidR="00E05E22" w14:paraId="5D428BCD" w14:textId="77777777" w:rsidTr="00562B76">
        <w:tc>
          <w:tcPr>
            <w:tcW w:w="607" w:type="dxa"/>
          </w:tcPr>
          <w:p w14:paraId="4125C4FC" w14:textId="0E0092A1" w:rsidR="00E05E22" w:rsidRDefault="00753ED1" w:rsidP="00052BFA">
            <w:r>
              <w:t>3.</w:t>
            </w:r>
            <w:r w:rsidR="00550A38">
              <w:t>7</w:t>
            </w:r>
          </w:p>
        </w:tc>
        <w:tc>
          <w:tcPr>
            <w:tcW w:w="7500" w:type="dxa"/>
          </w:tcPr>
          <w:p w14:paraId="6102C6F8" w14:textId="77777777" w:rsidR="00E05E22" w:rsidRDefault="00E05E22" w:rsidP="00052BFA">
            <w:r>
              <w:t xml:space="preserve">Config Exchange Online Protection to notify admin when internal users are blocked for sending malware </w:t>
            </w:r>
          </w:p>
        </w:tc>
        <w:tc>
          <w:tcPr>
            <w:tcW w:w="1243" w:type="dxa"/>
          </w:tcPr>
          <w:p w14:paraId="4298069D" w14:textId="77777777" w:rsidR="00E05E22" w:rsidRDefault="00E05E22" w:rsidP="00052BFA"/>
        </w:tc>
      </w:tr>
      <w:tr w:rsidR="0069461C" w14:paraId="2CDC6748" w14:textId="77777777" w:rsidTr="00562B76">
        <w:tc>
          <w:tcPr>
            <w:tcW w:w="607" w:type="dxa"/>
          </w:tcPr>
          <w:p w14:paraId="62436659" w14:textId="153561F2" w:rsidR="0069461C" w:rsidRDefault="0069461C" w:rsidP="00052BFA">
            <w:r>
              <w:t>3.</w:t>
            </w:r>
            <w:r w:rsidR="00550A38">
              <w:t>8</w:t>
            </w:r>
          </w:p>
        </w:tc>
        <w:tc>
          <w:tcPr>
            <w:tcW w:w="7500" w:type="dxa"/>
          </w:tcPr>
          <w:p w14:paraId="4EBA5DCA" w14:textId="401737D5" w:rsidR="0069461C" w:rsidRDefault="00155E99" w:rsidP="00052BFA">
            <w:r>
              <w:t xml:space="preserve">Audit </w:t>
            </w:r>
            <w:r w:rsidR="0069461C">
              <w:t xml:space="preserve">Teams with external guests </w:t>
            </w:r>
            <w:r>
              <w:t xml:space="preserve">and </w:t>
            </w:r>
            <w:r w:rsidR="009A4002">
              <w:t xml:space="preserve">force guests to authenticate with </w:t>
            </w:r>
            <w:r w:rsidR="0069461C">
              <w:t>MFA</w:t>
            </w:r>
          </w:p>
        </w:tc>
        <w:tc>
          <w:tcPr>
            <w:tcW w:w="1243" w:type="dxa"/>
          </w:tcPr>
          <w:p w14:paraId="5EACF914" w14:textId="77777777" w:rsidR="0069461C" w:rsidRDefault="0069461C" w:rsidP="00052BFA"/>
        </w:tc>
      </w:tr>
      <w:tr w:rsidR="00A02DD7" w14:paraId="0E2B86E9" w14:textId="77777777" w:rsidTr="00562B76">
        <w:tc>
          <w:tcPr>
            <w:tcW w:w="607" w:type="dxa"/>
          </w:tcPr>
          <w:p w14:paraId="2E899B3A" w14:textId="2B22D5F9" w:rsidR="00A02DD7" w:rsidRDefault="00C94603" w:rsidP="00052BFA">
            <w:r>
              <w:t>3.</w:t>
            </w:r>
            <w:r w:rsidR="00550A38">
              <w:t>9</w:t>
            </w:r>
          </w:p>
        </w:tc>
        <w:tc>
          <w:tcPr>
            <w:tcW w:w="7500" w:type="dxa"/>
          </w:tcPr>
          <w:p w14:paraId="7014D928" w14:textId="42308099" w:rsidR="00A02DD7" w:rsidRDefault="00794B96" w:rsidP="00052BFA">
            <w:r>
              <w:t>Prevent</w:t>
            </w:r>
            <w:r w:rsidR="00C94603">
              <w:t xml:space="preserve"> OneDrive syncing to non-</w:t>
            </w:r>
            <w:r w:rsidR="00B02BCA">
              <w:t xml:space="preserve">domain joined or </w:t>
            </w:r>
            <w:r>
              <w:t>un</w:t>
            </w:r>
            <w:r w:rsidR="00B02BCA">
              <w:t>managed devices</w:t>
            </w:r>
          </w:p>
        </w:tc>
        <w:tc>
          <w:tcPr>
            <w:tcW w:w="1243" w:type="dxa"/>
          </w:tcPr>
          <w:p w14:paraId="6ADBD29B" w14:textId="77777777" w:rsidR="00A02DD7" w:rsidRDefault="00A02DD7" w:rsidP="00052BFA"/>
        </w:tc>
      </w:tr>
    </w:tbl>
    <w:p w14:paraId="337AE0DC" w14:textId="77777777" w:rsidR="00E05E22" w:rsidRPr="00E05E22" w:rsidRDefault="00E05E22" w:rsidP="00E05E22"/>
    <w:p w14:paraId="09B1A0A7" w14:textId="068E303D" w:rsidR="00227923" w:rsidRDefault="00227923" w:rsidP="00DD52FF">
      <w:pPr>
        <w:pStyle w:val="Heading1"/>
        <w:numPr>
          <w:ilvl w:val="0"/>
          <w:numId w:val="1"/>
        </w:numPr>
      </w:pPr>
      <w: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7604"/>
        <w:gridCol w:w="1251"/>
      </w:tblGrid>
      <w:tr w:rsidR="00901766" w14:paraId="7C36D96A" w14:textId="77777777" w:rsidTr="00791295">
        <w:tc>
          <w:tcPr>
            <w:tcW w:w="495" w:type="dxa"/>
          </w:tcPr>
          <w:p w14:paraId="1E54526D" w14:textId="77777777" w:rsidR="00901766" w:rsidRDefault="00901766" w:rsidP="00052BFA">
            <w:r>
              <w:t>ID</w:t>
            </w:r>
          </w:p>
        </w:tc>
        <w:tc>
          <w:tcPr>
            <w:tcW w:w="7604" w:type="dxa"/>
          </w:tcPr>
          <w:p w14:paraId="23EAD613" w14:textId="77777777" w:rsidR="00901766" w:rsidRDefault="00901766" w:rsidP="00052BFA">
            <w:r>
              <w:t>Description</w:t>
            </w:r>
          </w:p>
        </w:tc>
        <w:tc>
          <w:tcPr>
            <w:tcW w:w="1251" w:type="dxa"/>
          </w:tcPr>
          <w:p w14:paraId="03234C68" w14:textId="77777777" w:rsidR="00901766" w:rsidRDefault="00901766" w:rsidP="00052BFA">
            <w:r>
              <w:t>Status</w:t>
            </w:r>
          </w:p>
        </w:tc>
      </w:tr>
      <w:tr w:rsidR="00901766" w14:paraId="2E15819B" w14:textId="77777777" w:rsidTr="00791295">
        <w:tc>
          <w:tcPr>
            <w:tcW w:w="495" w:type="dxa"/>
          </w:tcPr>
          <w:p w14:paraId="5F3FBB15" w14:textId="4D555B99" w:rsidR="00901766" w:rsidRDefault="00A61D49" w:rsidP="00052BFA">
            <w:r>
              <w:t>4.1</w:t>
            </w:r>
          </w:p>
        </w:tc>
        <w:tc>
          <w:tcPr>
            <w:tcW w:w="7604" w:type="dxa"/>
          </w:tcPr>
          <w:p w14:paraId="2AF9040D" w14:textId="08A438A2" w:rsidR="00901766" w:rsidRPr="009B724E" w:rsidRDefault="0009539A" w:rsidP="00052BFA">
            <w:r>
              <w:t xml:space="preserve">Use Office 365 </w:t>
            </w:r>
            <w:r w:rsidR="00E134DF">
              <w:t>Sensitivity L</w:t>
            </w:r>
            <w:r>
              <w:t xml:space="preserve">abels and Data Loss Prevention rules to prevent inappropriate sharing, sending, saving </w:t>
            </w:r>
            <w:r w:rsidR="00224B5E">
              <w:t xml:space="preserve">in </w:t>
            </w:r>
            <w:r>
              <w:t>Exchange, Teams, OneDrive, SharePoint</w:t>
            </w:r>
          </w:p>
        </w:tc>
        <w:tc>
          <w:tcPr>
            <w:tcW w:w="1251" w:type="dxa"/>
          </w:tcPr>
          <w:p w14:paraId="2E1D1E05" w14:textId="77777777" w:rsidR="00901766" w:rsidRDefault="00901766" w:rsidP="00052BFA"/>
        </w:tc>
      </w:tr>
      <w:tr w:rsidR="00901766" w14:paraId="1B93FE73" w14:textId="77777777" w:rsidTr="00791295">
        <w:tc>
          <w:tcPr>
            <w:tcW w:w="495" w:type="dxa"/>
          </w:tcPr>
          <w:p w14:paraId="0A19DE58" w14:textId="22C3E5CE" w:rsidR="00901766" w:rsidRDefault="00A61D49" w:rsidP="00052BFA">
            <w:r>
              <w:t>4.2</w:t>
            </w:r>
          </w:p>
        </w:tc>
        <w:tc>
          <w:tcPr>
            <w:tcW w:w="7604" w:type="dxa"/>
          </w:tcPr>
          <w:p w14:paraId="1D7390F1" w14:textId="5F36940B" w:rsidR="00901766" w:rsidRPr="00851C9B" w:rsidRDefault="00312FA3" w:rsidP="00052BFA">
            <w:r>
              <w:t>Prohibit leakage of work data into personal accounts/apps by using Intune App Protection Policies</w:t>
            </w:r>
            <w:r w:rsidR="00526CEE">
              <w:t xml:space="preserve"> (EMS E3 required)</w:t>
            </w:r>
          </w:p>
        </w:tc>
        <w:tc>
          <w:tcPr>
            <w:tcW w:w="1251" w:type="dxa"/>
          </w:tcPr>
          <w:p w14:paraId="758C1F26" w14:textId="77777777" w:rsidR="00901766" w:rsidRDefault="00901766" w:rsidP="00052BFA"/>
        </w:tc>
      </w:tr>
      <w:tr w:rsidR="00901766" w14:paraId="43697407" w14:textId="77777777" w:rsidTr="00791295">
        <w:tc>
          <w:tcPr>
            <w:tcW w:w="495" w:type="dxa"/>
          </w:tcPr>
          <w:p w14:paraId="17954F2E" w14:textId="78FAF7C7" w:rsidR="00901766" w:rsidRDefault="00A61D49" w:rsidP="00052BFA">
            <w:r>
              <w:t>4.3</w:t>
            </w:r>
          </w:p>
        </w:tc>
        <w:tc>
          <w:tcPr>
            <w:tcW w:w="7604" w:type="dxa"/>
          </w:tcPr>
          <w:p w14:paraId="560B638A" w14:textId="4767A9E4" w:rsidR="00901766" w:rsidRDefault="0023176C" w:rsidP="00052BFA">
            <w:r w:rsidRPr="006D5C24">
              <w:t xml:space="preserve">Use </w:t>
            </w:r>
            <w:r>
              <w:t>Microsoft Cloud App Security (</w:t>
            </w:r>
            <w:r w:rsidRPr="006D5C24">
              <w:t>CASB</w:t>
            </w:r>
            <w:r>
              <w:t xml:space="preserve">) </w:t>
            </w:r>
            <w:r w:rsidRPr="006D5C24">
              <w:t>to secure SaaS applications and ensure</w:t>
            </w:r>
            <w:r>
              <w:t xml:space="preserve"> </w:t>
            </w:r>
            <w:r w:rsidRPr="006D5C24">
              <w:t>security/confidentiality of</w:t>
            </w:r>
            <w:r>
              <w:t xml:space="preserve"> </w:t>
            </w:r>
            <w:r w:rsidRPr="006D5C24">
              <w:t>corporate files.</w:t>
            </w:r>
            <w:r>
              <w:t xml:space="preserve"> (EMS E5 required)</w:t>
            </w:r>
          </w:p>
        </w:tc>
        <w:tc>
          <w:tcPr>
            <w:tcW w:w="1251" w:type="dxa"/>
          </w:tcPr>
          <w:p w14:paraId="0DF67815" w14:textId="77777777" w:rsidR="00901766" w:rsidRDefault="00901766" w:rsidP="00052BFA"/>
        </w:tc>
      </w:tr>
      <w:tr w:rsidR="00901766" w14:paraId="514C5222" w14:textId="77777777" w:rsidTr="00791295">
        <w:tc>
          <w:tcPr>
            <w:tcW w:w="495" w:type="dxa"/>
          </w:tcPr>
          <w:p w14:paraId="3F950570" w14:textId="63DB3645" w:rsidR="00901766" w:rsidRDefault="00C73CF5" w:rsidP="00052BFA">
            <w:r>
              <w:t>4.4</w:t>
            </w:r>
          </w:p>
        </w:tc>
        <w:tc>
          <w:tcPr>
            <w:tcW w:w="7604" w:type="dxa"/>
          </w:tcPr>
          <w:p w14:paraId="52FE6BCF" w14:textId="3FEB72C8" w:rsidR="00901766" w:rsidRDefault="003B4094" w:rsidP="00052BFA">
            <w:r>
              <w:t xml:space="preserve">Instead of allowing access </w:t>
            </w:r>
            <w:r w:rsidR="008779B6">
              <w:t xml:space="preserve">to </w:t>
            </w:r>
            <w:r>
              <w:t xml:space="preserve">company content from personally owned PCs or laptops, </w:t>
            </w:r>
            <w:r w:rsidR="008779B6">
              <w:t xml:space="preserve">use </w:t>
            </w:r>
            <w:r>
              <w:t>Windows Virtual Desktop to securely publish Win10</w:t>
            </w:r>
            <w:r w:rsidR="008779B6">
              <w:t xml:space="preserve"> and LOB apps</w:t>
            </w:r>
          </w:p>
        </w:tc>
        <w:tc>
          <w:tcPr>
            <w:tcW w:w="1251" w:type="dxa"/>
          </w:tcPr>
          <w:p w14:paraId="057AC10A" w14:textId="77777777" w:rsidR="00901766" w:rsidRDefault="00901766" w:rsidP="00052BFA"/>
        </w:tc>
      </w:tr>
      <w:tr w:rsidR="00901766" w14:paraId="1853B099" w14:textId="77777777" w:rsidTr="00791295">
        <w:tc>
          <w:tcPr>
            <w:tcW w:w="495" w:type="dxa"/>
          </w:tcPr>
          <w:p w14:paraId="77F7B059" w14:textId="34BB8ED7" w:rsidR="00901766" w:rsidRDefault="00B21EDE" w:rsidP="00052BFA">
            <w:r>
              <w:t xml:space="preserve">4.5 </w:t>
            </w:r>
          </w:p>
        </w:tc>
        <w:tc>
          <w:tcPr>
            <w:tcW w:w="7604" w:type="dxa"/>
          </w:tcPr>
          <w:p w14:paraId="743549E7" w14:textId="55A5BCD7" w:rsidR="00901766" w:rsidRDefault="00B21EDE" w:rsidP="00052BFA">
            <w:r>
              <w:t xml:space="preserve">Use </w:t>
            </w:r>
            <w:r w:rsidR="00B93FE5">
              <w:t xml:space="preserve">Office 365 </w:t>
            </w:r>
            <w:r>
              <w:t xml:space="preserve">retention </w:t>
            </w:r>
            <w:r w:rsidR="00893343">
              <w:t>policies</w:t>
            </w:r>
            <w:r>
              <w:t xml:space="preserve"> and archiving to </w:t>
            </w:r>
            <w:r w:rsidR="001471FA">
              <w:rPr>
                <w:rFonts w:ascii="Lato" w:hAnsi="Lato"/>
                <w:color w:val="333333"/>
                <w:shd w:val="clear" w:color="auto" w:fill="FFFFFF"/>
              </w:rPr>
              <w:t>preserve data in the event of lost/stolen devices or regulatory requirements</w:t>
            </w:r>
          </w:p>
        </w:tc>
        <w:tc>
          <w:tcPr>
            <w:tcW w:w="1251" w:type="dxa"/>
          </w:tcPr>
          <w:p w14:paraId="3B61219F" w14:textId="77777777" w:rsidR="00901766" w:rsidRDefault="00901766" w:rsidP="00052BFA"/>
        </w:tc>
      </w:tr>
    </w:tbl>
    <w:p w14:paraId="17DD42B2" w14:textId="0A4CB6FA" w:rsidR="00901766" w:rsidRPr="00901766" w:rsidRDefault="00901766" w:rsidP="00901766"/>
    <w:p w14:paraId="3BD17DE3" w14:textId="5C3730CB" w:rsidR="00901766" w:rsidRDefault="00901766" w:rsidP="00DD52FF">
      <w:pPr>
        <w:pStyle w:val="Heading1"/>
        <w:numPr>
          <w:ilvl w:val="0"/>
          <w:numId w:val="1"/>
        </w:numPr>
      </w:pPr>
      <w:r>
        <w:t>Networks</w:t>
      </w:r>
      <w:r w:rsidR="0018750B">
        <w:t xml:space="preserve"> &amp; 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7604"/>
        <w:gridCol w:w="1251"/>
      </w:tblGrid>
      <w:tr w:rsidR="00901766" w14:paraId="00D1D16C" w14:textId="77777777" w:rsidTr="00791295">
        <w:tc>
          <w:tcPr>
            <w:tcW w:w="495" w:type="dxa"/>
          </w:tcPr>
          <w:p w14:paraId="692547B2" w14:textId="77777777" w:rsidR="00901766" w:rsidRDefault="00901766" w:rsidP="00052BFA">
            <w:r>
              <w:t>ID</w:t>
            </w:r>
          </w:p>
        </w:tc>
        <w:tc>
          <w:tcPr>
            <w:tcW w:w="7604" w:type="dxa"/>
          </w:tcPr>
          <w:p w14:paraId="563C6116" w14:textId="77777777" w:rsidR="00901766" w:rsidRDefault="00901766" w:rsidP="00052BFA">
            <w:r>
              <w:t>Description</w:t>
            </w:r>
          </w:p>
        </w:tc>
        <w:tc>
          <w:tcPr>
            <w:tcW w:w="1251" w:type="dxa"/>
          </w:tcPr>
          <w:p w14:paraId="656578A2" w14:textId="77777777" w:rsidR="00901766" w:rsidRDefault="00901766" w:rsidP="00052BFA">
            <w:r>
              <w:t>Status</w:t>
            </w:r>
          </w:p>
        </w:tc>
      </w:tr>
      <w:tr w:rsidR="00901766" w14:paraId="408A2A15" w14:textId="77777777" w:rsidTr="00791295">
        <w:tc>
          <w:tcPr>
            <w:tcW w:w="495" w:type="dxa"/>
          </w:tcPr>
          <w:p w14:paraId="0C5BC54C" w14:textId="017387DD" w:rsidR="00901766" w:rsidRDefault="002F5E18" w:rsidP="00052BFA">
            <w:r>
              <w:t>5.1</w:t>
            </w:r>
          </w:p>
        </w:tc>
        <w:tc>
          <w:tcPr>
            <w:tcW w:w="7604" w:type="dxa"/>
          </w:tcPr>
          <w:p w14:paraId="37ACBCC4" w14:textId="4D355E26" w:rsidR="00901766" w:rsidRPr="009B724E" w:rsidRDefault="000B0736" w:rsidP="00052BFA">
            <w:r>
              <w:t xml:space="preserve">Use VPN tunnel for on-premises apps, but split </w:t>
            </w:r>
            <w:r w:rsidR="006D6092">
              <w:t xml:space="preserve">the </w:t>
            </w:r>
            <w:r>
              <w:t>tunnel for Office 365/SaaS</w:t>
            </w:r>
            <w:r w:rsidR="007E477A">
              <w:t xml:space="preserve"> traffic</w:t>
            </w:r>
          </w:p>
        </w:tc>
        <w:tc>
          <w:tcPr>
            <w:tcW w:w="1251" w:type="dxa"/>
          </w:tcPr>
          <w:p w14:paraId="78D28D78" w14:textId="77777777" w:rsidR="00901766" w:rsidRDefault="00901766" w:rsidP="00052BFA"/>
        </w:tc>
      </w:tr>
      <w:tr w:rsidR="00901766" w14:paraId="580F2F7A" w14:textId="77777777" w:rsidTr="00791295">
        <w:tc>
          <w:tcPr>
            <w:tcW w:w="495" w:type="dxa"/>
          </w:tcPr>
          <w:p w14:paraId="0F7D3A47" w14:textId="193FC765" w:rsidR="00901766" w:rsidRDefault="002F5E18" w:rsidP="00052BFA">
            <w:r>
              <w:lastRenderedPageBreak/>
              <w:t>5.2</w:t>
            </w:r>
          </w:p>
        </w:tc>
        <w:tc>
          <w:tcPr>
            <w:tcW w:w="7604" w:type="dxa"/>
          </w:tcPr>
          <w:p w14:paraId="523176AE" w14:textId="2D90DC1B" w:rsidR="00901766" w:rsidRPr="008128F2" w:rsidRDefault="008128F2" w:rsidP="00052BFA">
            <w:r w:rsidRPr="008128F2">
              <w:t>Use</w:t>
            </w:r>
            <w:r>
              <w:t xml:space="preserve"> </w:t>
            </w:r>
            <w:r w:rsidRPr="008128F2">
              <w:t>layer</w:t>
            </w:r>
            <w:r>
              <w:t xml:space="preserve"> </w:t>
            </w:r>
            <w:r w:rsidRPr="008128F2">
              <w:t>7 firewalls with user-aware</w:t>
            </w:r>
            <w:r>
              <w:t xml:space="preserve"> </w:t>
            </w:r>
            <w:r w:rsidRPr="008128F2">
              <w:t>policies</w:t>
            </w:r>
            <w:r>
              <w:t xml:space="preserve"> </w:t>
            </w:r>
            <w:r w:rsidRPr="008128F2">
              <w:t>to inspect traffic after the user connects</w:t>
            </w:r>
            <w:r>
              <w:t xml:space="preserve"> </w:t>
            </w:r>
            <w:r w:rsidRPr="008128F2">
              <w:t xml:space="preserve">to </w:t>
            </w:r>
            <w:r w:rsidR="001D4CC2">
              <w:t>VPN</w:t>
            </w:r>
            <w:r w:rsidRPr="008128F2">
              <w:t>.</w:t>
            </w:r>
          </w:p>
        </w:tc>
        <w:tc>
          <w:tcPr>
            <w:tcW w:w="1251" w:type="dxa"/>
          </w:tcPr>
          <w:p w14:paraId="4EA2D697" w14:textId="77777777" w:rsidR="00901766" w:rsidRDefault="00901766" w:rsidP="00052BFA"/>
        </w:tc>
      </w:tr>
      <w:tr w:rsidR="00901766" w14:paraId="1489BBA3" w14:textId="77777777" w:rsidTr="00791295">
        <w:tc>
          <w:tcPr>
            <w:tcW w:w="495" w:type="dxa"/>
          </w:tcPr>
          <w:p w14:paraId="599D463E" w14:textId="784C5FF2" w:rsidR="00901766" w:rsidRDefault="002F5E18" w:rsidP="00052BFA">
            <w:r>
              <w:t>5.3</w:t>
            </w:r>
          </w:p>
        </w:tc>
        <w:tc>
          <w:tcPr>
            <w:tcW w:w="7604" w:type="dxa"/>
          </w:tcPr>
          <w:p w14:paraId="019C9A16" w14:textId="352FD9B5" w:rsidR="00901766" w:rsidRDefault="00FF693A" w:rsidP="00052BFA">
            <w:r>
              <w:t xml:space="preserve">Monitor VPN </w:t>
            </w:r>
            <w:r w:rsidR="00365469">
              <w:t>during patch updates</w:t>
            </w:r>
            <w:r w:rsidR="004B3BBD">
              <w:t xml:space="preserve">. If </w:t>
            </w:r>
            <w:r w:rsidR="00C149A5">
              <w:t xml:space="preserve">WSUS updates traverse the VPN/ISP circuit, use smaller group </w:t>
            </w:r>
            <w:proofErr w:type="gramStart"/>
            <w:r w:rsidR="00C149A5">
              <w:t>sizes</w:t>
            </w:r>
            <w:proofErr w:type="gramEnd"/>
            <w:r w:rsidR="00C149A5">
              <w:t xml:space="preserve"> or u</w:t>
            </w:r>
            <w:r w:rsidR="00365469">
              <w:t>se Cloud Management Gateway to avoid saturation</w:t>
            </w:r>
            <w:r w:rsidR="00C149A5">
              <w:t>.</w:t>
            </w:r>
          </w:p>
        </w:tc>
        <w:tc>
          <w:tcPr>
            <w:tcW w:w="1251" w:type="dxa"/>
          </w:tcPr>
          <w:p w14:paraId="6FCFDE22" w14:textId="77777777" w:rsidR="00901766" w:rsidRDefault="00901766" w:rsidP="00052BFA"/>
        </w:tc>
      </w:tr>
      <w:tr w:rsidR="00901766" w14:paraId="329B8978" w14:textId="77777777" w:rsidTr="00791295">
        <w:tc>
          <w:tcPr>
            <w:tcW w:w="495" w:type="dxa"/>
          </w:tcPr>
          <w:p w14:paraId="02F00FD8" w14:textId="190B64B3" w:rsidR="00901766" w:rsidRDefault="002F5E18" w:rsidP="00052BFA">
            <w:r>
              <w:t>5.4</w:t>
            </w:r>
          </w:p>
        </w:tc>
        <w:tc>
          <w:tcPr>
            <w:tcW w:w="7604" w:type="dxa"/>
          </w:tcPr>
          <w:p w14:paraId="4E9C8AB7" w14:textId="57B9827C" w:rsidR="00901766" w:rsidRDefault="00582223" w:rsidP="00052BFA">
            <w:r>
              <w:t>Block port 3389 (RDP) wherever and whenever possible</w:t>
            </w:r>
          </w:p>
        </w:tc>
        <w:tc>
          <w:tcPr>
            <w:tcW w:w="1251" w:type="dxa"/>
          </w:tcPr>
          <w:p w14:paraId="66825FA1" w14:textId="77777777" w:rsidR="00901766" w:rsidRDefault="00901766" w:rsidP="00052BFA"/>
        </w:tc>
      </w:tr>
      <w:tr w:rsidR="00901766" w14:paraId="66FAB60D" w14:textId="77777777" w:rsidTr="00791295">
        <w:tc>
          <w:tcPr>
            <w:tcW w:w="495" w:type="dxa"/>
          </w:tcPr>
          <w:p w14:paraId="13F57C3D" w14:textId="4CE57948" w:rsidR="00901766" w:rsidRDefault="002F5E18" w:rsidP="00052BFA">
            <w:r>
              <w:t>5.5</w:t>
            </w:r>
          </w:p>
        </w:tc>
        <w:tc>
          <w:tcPr>
            <w:tcW w:w="7604" w:type="dxa"/>
          </w:tcPr>
          <w:p w14:paraId="4BABFA1D" w14:textId="5B170D86" w:rsidR="00901766" w:rsidRDefault="007B2BAB" w:rsidP="00052BFA">
            <w:r>
              <w:t xml:space="preserve">Ensure home network routers are patched and have non-default passwords and </w:t>
            </w:r>
            <w:r w:rsidR="00721AB1">
              <w:t>WPA</w:t>
            </w:r>
            <w:r w:rsidR="00052BFA">
              <w:t>2 or WPA3 encryption</w:t>
            </w:r>
          </w:p>
        </w:tc>
        <w:tc>
          <w:tcPr>
            <w:tcW w:w="1251" w:type="dxa"/>
          </w:tcPr>
          <w:p w14:paraId="1FA70F17" w14:textId="77777777" w:rsidR="00901766" w:rsidRDefault="00901766" w:rsidP="00052BFA"/>
        </w:tc>
      </w:tr>
    </w:tbl>
    <w:p w14:paraId="45529A73" w14:textId="77777777" w:rsidR="00901766" w:rsidRPr="00901766" w:rsidRDefault="00901766" w:rsidP="00901766"/>
    <w:p w14:paraId="7DBA1943" w14:textId="46CB8B41" w:rsidR="00227923" w:rsidRDefault="0018750B" w:rsidP="00DD52FF">
      <w:pPr>
        <w:pStyle w:val="Heading1"/>
        <w:numPr>
          <w:ilvl w:val="0"/>
          <w:numId w:val="1"/>
        </w:numPr>
      </w:pPr>
      <w:r>
        <w:t>Social Engineering Awareness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7604"/>
        <w:gridCol w:w="1251"/>
      </w:tblGrid>
      <w:tr w:rsidR="00901766" w14:paraId="38209A86" w14:textId="77777777" w:rsidTr="00073C59">
        <w:tc>
          <w:tcPr>
            <w:tcW w:w="495" w:type="dxa"/>
          </w:tcPr>
          <w:p w14:paraId="3E0E9067" w14:textId="77777777" w:rsidR="00901766" w:rsidRDefault="00901766" w:rsidP="00052BFA">
            <w:r>
              <w:t>ID</w:t>
            </w:r>
          </w:p>
        </w:tc>
        <w:tc>
          <w:tcPr>
            <w:tcW w:w="7604" w:type="dxa"/>
          </w:tcPr>
          <w:p w14:paraId="4FC69B6E" w14:textId="77777777" w:rsidR="00901766" w:rsidRDefault="00901766" w:rsidP="00052BFA">
            <w:r>
              <w:t>Description</w:t>
            </w:r>
          </w:p>
        </w:tc>
        <w:tc>
          <w:tcPr>
            <w:tcW w:w="1251" w:type="dxa"/>
          </w:tcPr>
          <w:p w14:paraId="1145A6E7" w14:textId="77777777" w:rsidR="00901766" w:rsidRDefault="00901766" w:rsidP="00052BFA">
            <w:r>
              <w:t>Status</w:t>
            </w:r>
          </w:p>
        </w:tc>
      </w:tr>
      <w:tr w:rsidR="00901766" w14:paraId="7B61642B" w14:textId="77777777" w:rsidTr="00073C59">
        <w:tc>
          <w:tcPr>
            <w:tcW w:w="495" w:type="dxa"/>
          </w:tcPr>
          <w:p w14:paraId="55D4DFC5" w14:textId="509F31E9" w:rsidR="00901766" w:rsidRDefault="002F5E18" w:rsidP="00052BFA">
            <w:r>
              <w:t>6.1</w:t>
            </w:r>
          </w:p>
        </w:tc>
        <w:tc>
          <w:tcPr>
            <w:tcW w:w="7604" w:type="dxa"/>
          </w:tcPr>
          <w:p w14:paraId="62996148" w14:textId="176FB052" w:rsidR="00901766" w:rsidRPr="009B724E" w:rsidRDefault="00816F73" w:rsidP="00052BFA">
            <w:r>
              <w:t>D</w:t>
            </w:r>
            <w:r w:rsidR="00095BA5">
              <w:t xml:space="preserve">o not </w:t>
            </w:r>
            <w:r w:rsidR="00CA7A0A">
              <w:t xml:space="preserve">defer system </w:t>
            </w:r>
            <w:r w:rsidR="00095BA5">
              <w:t>software updates.</w:t>
            </w:r>
          </w:p>
        </w:tc>
        <w:tc>
          <w:tcPr>
            <w:tcW w:w="1251" w:type="dxa"/>
          </w:tcPr>
          <w:p w14:paraId="3135E365" w14:textId="77777777" w:rsidR="00901766" w:rsidRDefault="00901766" w:rsidP="00052BFA"/>
        </w:tc>
      </w:tr>
      <w:tr w:rsidR="00901766" w14:paraId="24D94BFA" w14:textId="77777777" w:rsidTr="00073C59">
        <w:tc>
          <w:tcPr>
            <w:tcW w:w="495" w:type="dxa"/>
          </w:tcPr>
          <w:p w14:paraId="624CB497" w14:textId="1C137750" w:rsidR="00901766" w:rsidRDefault="002F5E18" w:rsidP="00052BFA">
            <w:r>
              <w:t>6.2</w:t>
            </w:r>
          </w:p>
        </w:tc>
        <w:tc>
          <w:tcPr>
            <w:tcW w:w="7604" w:type="dxa"/>
          </w:tcPr>
          <w:p w14:paraId="33B8DF25" w14:textId="1AFBE130" w:rsidR="00901766" w:rsidRPr="00CA7A0A" w:rsidRDefault="00816F73" w:rsidP="00052BFA">
            <w:r>
              <w:t>V</w:t>
            </w:r>
            <w:r w:rsidR="00B74A19">
              <w:t>erify</w:t>
            </w:r>
            <w:r w:rsidR="00AD2471">
              <w:t xml:space="preserve"> the legitimacy of financial </w:t>
            </w:r>
            <w:r w:rsidR="00B74A19">
              <w:t>emails</w:t>
            </w:r>
            <w:r w:rsidR="00AD2471">
              <w:t>, by calling or texting the sender</w:t>
            </w:r>
          </w:p>
        </w:tc>
        <w:tc>
          <w:tcPr>
            <w:tcW w:w="1251" w:type="dxa"/>
          </w:tcPr>
          <w:p w14:paraId="5655638F" w14:textId="77777777" w:rsidR="00901766" w:rsidRDefault="00901766" w:rsidP="00052BFA"/>
        </w:tc>
      </w:tr>
      <w:tr w:rsidR="00901766" w14:paraId="5AC7E88E" w14:textId="77777777" w:rsidTr="00073C59">
        <w:tc>
          <w:tcPr>
            <w:tcW w:w="495" w:type="dxa"/>
          </w:tcPr>
          <w:p w14:paraId="3F44864B" w14:textId="760B39C6" w:rsidR="00901766" w:rsidRDefault="002F5E18" w:rsidP="00052BFA">
            <w:r>
              <w:t>6.3</w:t>
            </w:r>
          </w:p>
        </w:tc>
        <w:tc>
          <w:tcPr>
            <w:tcW w:w="7604" w:type="dxa"/>
          </w:tcPr>
          <w:p w14:paraId="42E0C83B" w14:textId="50190B4B" w:rsidR="00901766" w:rsidRDefault="00816F73" w:rsidP="00052BFA">
            <w:r>
              <w:t xml:space="preserve">Be wary of COVID-19 or other newsworthy emails, which are often phishing </w:t>
            </w:r>
          </w:p>
        </w:tc>
        <w:tc>
          <w:tcPr>
            <w:tcW w:w="1251" w:type="dxa"/>
          </w:tcPr>
          <w:p w14:paraId="446E693B" w14:textId="77777777" w:rsidR="00901766" w:rsidRDefault="00901766" w:rsidP="00052BFA"/>
        </w:tc>
      </w:tr>
      <w:tr w:rsidR="00901766" w14:paraId="71BDADE1" w14:textId="77777777" w:rsidTr="00073C59">
        <w:tc>
          <w:tcPr>
            <w:tcW w:w="495" w:type="dxa"/>
          </w:tcPr>
          <w:p w14:paraId="42316D8C" w14:textId="70A0C50B" w:rsidR="00901766" w:rsidRDefault="002F5E18" w:rsidP="00052BFA">
            <w:r>
              <w:t>6.4</w:t>
            </w:r>
          </w:p>
        </w:tc>
        <w:tc>
          <w:tcPr>
            <w:tcW w:w="7604" w:type="dxa"/>
          </w:tcPr>
          <w:p w14:paraId="7D446527" w14:textId="43F3F32D" w:rsidR="00901766" w:rsidRDefault="004F413B" w:rsidP="00052BFA">
            <w:r>
              <w:t>Report malware or phishing by using Outlook’s report message button</w:t>
            </w:r>
          </w:p>
        </w:tc>
        <w:tc>
          <w:tcPr>
            <w:tcW w:w="1251" w:type="dxa"/>
          </w:tcPr>
          <w:p w14:paraId="43E98C71" w14:textId="77777777" w:rsidR="00901766" w:rsidRDefault="00901766" w:rsidP="00052BFA"/>
        </w:tc>
      </w:tr>
      <w:tr w:rsidR="00901766" w14:paraId="2FF170E7" w14:textId="77777777" w:rsidTr="00073C59">
        <w:tc>
          <w:tcPr>
            <w:tcW w:w="495" w:type="dxa"/>
          </w:tcPr>
          <w:p w14:paraId="14C480FC" w14:textId="3433E718" w:rsidR="00901766" w:rsidRDefault="002F5E18" w:rsidP="00052BFA">
            <w:r>
              <w:t>6.5</w:t>
            </w:r>
          </w:p>
        </w:tc>
        <w:tc>
          <w:tcPr>
            <w:tcW w:w="7604" w:type="dxa"/>
          </w:tcPr>
          <w:p w14:paraId="5194FAEB" w14:textId="439E0D2B" w:rsidR="00901766" w:rsidRDefault="00F97E30" w:rsidP="00052BFA">
            <w:proofErr w:type="gramStart"/>
            <w:r>
              <w:t>Don’t</w:t>
            </w:r>
            <w:proofErr w:type="gramEnd"/>
            <w:r>
              <w:t xml:space="preserve"> allow </w:t>
            </w:r>
            <w:r w:rsidR="00CB7910">
              <w:t xml:space="preserve">family </w:t>
            </w:r>
            <w:r>
              <w:t>to use work machines, and don’t share passwords</w:t>
            </w:r>
          </w:p>
        </w:tc>
        <w:tc>
          <w:tcPr>
            <w:tcW w:w="1251" w:type="dxa"/>
          </w:tcPr>
          <w:p w14:paraId="5B6AEC20" w14:textId="77777777" w:rsidR="00901766" w:rsidRDefault="00901766" w:rsidP="00052BFA"/>
        </w:tc>
      </w:tr>
      <w:tr w:rsidR="00901766" w14:paraId="4A691003" w14:textId="77777777" w:rsidTr="00073C59">
        <w:tc>
          <w:tcPr>
            <w:tcW w:w="495" w:type="dxa"/>
          </w:tcPr>
          <w:p w14:paraId="5C850942" w14:textId="62E41C26" w:rsidR="00901766" w:rsidRDefault="002F5E18" w:rsidP="00052BFA">
            <w:r>
              <w:t>6.6</w:t>
            </w:r>
          </w:p>
        </w:tc>
        <w:tc>
          <w:tcPr>
            <w:tcW w:w="7604" w:type="dxa"/>
          </w:tcPr>
          <w:p w14:paraId="76C123C8" w14:textId="1EF96074" w:rsidR="00901766" w:rsidRDefault="000D5887" w:rsidP="00052BFA">
            <w:r>
              <w:t>Update acceptable use policies for remote work, and associated risks</w:t>
            </w:r>
          </w:p>
        </w:tc>
        <w:tc>
          <w:tcPr>
            <w:tcW w:w="1251" w:type="dxa"/>
          </w:tcPr>
          <w:p w14:paraId="6A86A4B1" w14:textId="77777777" w:rsidR="00901766" w:rsidRDefault="00901766" w:rsidP="00052BFA"/>
        </w:tc>
      </w:tr>
      <w:tr w:rsidR="00901766" w14:paraId="3277115B" w14:textId="77777777" w:rsidTr="00073C59">
        <w:tc>
          <w:tcPr>
            <w:tcW w:w="495" w:type="dxa"/>
          </w:tcPr>
          <w:p w14:paraId="3B982AA4" w14:textId="7EC4C00E" w:rsidR="00901766" w:rsidRDefault="002F5E18" w:rsidP="00052BFA">
            <w:r>
              <w:t>6.7</w:t>
            </w:r>
          </w:p>
        </w:tc>
        <w:tc>
          <w:tcPr>
            <w:tcW w:w="7604" w:type="dxa"/>
          </w:tcPr>
          <w:p w14:paraId="57A8B077" w14:textId="1B7CEF06" w:rsidR="00901766" w:rsidRDefault="00334E1E" w:rsidP="00334E1E">
            <w:r>
              <w:t>Ensure MailTips are enabled for all users</w:t>
            </w:r>
          </w:p>
        </w:tc>
        <w:tc>
          <w:tcPr>
            <w:tcW w:w="1251" w:type="dxa"/>
          </w:tcPr>
          <w:p w14:paraId="7D86ABBB" w14:textId="77777777" w:rsidR="00901766" w:rsidRDefault="00901766" w:rsidP="00052BFA">
            <w:r>
              <w:t xml:space="preserve"> </w:t>
            </w:r>
          </w:p>
        </w:tc>
      </w:tr>
      <w:tr w:rsidR="00901766" w14:paraId="6ED8EC0F" w14:textId="77777777" w:rsidTr="00073C59">
        <w:tc>
          <w:tcPr>
            <w:tcW w:w="495" w:type="dxa"/>
          </w:tcPr>
          <w:p w14:paraId="1CE1A39B" w14:textId="4A21D609" w:rsidR="00901766" w:rsidRDefault="002F5E18" w:rsidP="00052BFA">
            <w:r>
              <w:t>6.8</w:t>
            </w:r>
          </w:p>
        </w:tc>
        <w:tc>
          <w:tcPr>
            <w:tcW w:w="7604" w:type="dxa"/>
          </w:tcPr>
          <w:p w14:paraId="174E3918" w14:textId="49D3DCA8" w:rsidR="00901766" w:rsidRDefault="00334E1E" w:rsidP="00052BFA">
            <w:r>
              <w:t xml:space="preserve">Test your employees’ </w:t>
            </w:r>
            <w:r w:rsidR="00C94DC7">
              <w:t>resistance to p</w:t>
            </w:r>
            <w:r>
              <w:t>hish</w:t>
            </w:r>
            <w:r w:rsidR="00C94DC7">
              <w:t xml:space="preserve">ing by regularly simulating </w:t>
            </w:r>
            <w:r w:rsidR="00464CD0">
              <w:t>attacks</w:t>
            </w:r>
          </w:p>
        </w:tc>
        <w:tc>
          <w:tcPr>
            <w:tcW w:w="1251" w:type="dxa"/>
          </w:tcPr>
          <w:p w14:paraId="2EF101A5" w14:textId="77777777" w:rsidR="00901766" w:rsidRDefault="00901766" w:rsidP="00052BFA"/>
        </w:tc>
      </w:tr>
    </w:tbl>
    <w:p w14:paraId="5704C928" w14:textId="1FE3AEE4" w:rsidR="00AF09F6" w:rsidRDefault="00AF09F6" w:rsidP="00227923">
      <w:pPr>
        <w:pStyle w:val="Heading1"/>
      </w:pPr>
    </w:p>
    <w:sectPr w:rsidR="00AF0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01099" w14:textId="77777777" w:rsidR="00FA57DD" w:rsidRDefault="00FA57DD" w:rsidP="00227923">
      <w:pPr>
        <w:spacing w:after="0" w:line="240" w:lineRule="auto"/>
      </w:pPr>
      <w:r>
        <w:separator/>
      </w:r>
    </w:p>
  </w:endnote>
  <w:endnote w:type="continuationSeparator" w:id="0">
    <w:p w14:paraId="4CDCF0CE" w14:textId="77777777" w:rsidR="00FA57DD" w:rsidRDefault="00FA57DD" w:rsidP="00227923">
      <w:pPr>
        <w:spacing w:after="0" w:line="240" w:lineRule="auto"/>
      </w:pPr>
      <w:r>
        <w:continuationSeparator/>
      </w:r>
    </w:p>
  </w:endnote>
  <w:endnote w:type="continuationNotice" w:id="1">
    <w:p w14:paraId="7E0C8600" w14:textId="77777777" w:rsidR="00FA57DD" w:rsidRDefault="00FA57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F95AB" w14:textId="77777777" w:rsidR="00FA57DD" w:rsidRDefault="00FA57DD" w:rsidP="00227923">
      <w:pPr>
        <w:spacing w:after="0" w:line="240" w:lineRule="auto"/>
      </w:pPr>
      <w:r>
        <w:separator/>
      </w:r>
    </w:p>
  </w:footnote>
  <w:footnote w:type="continuationSeparator" w:id="0">
    <w:p w14:paraId="1CD5A628" w14:textId="77777777" w:rsidR="00FA57DD" w:rsidRDefault="00FA57DD" w:rsidP="00227923">
      <w:pPr>
        <w:spacing w:after="0" w:line="240" w:lineRule="auto"/>
      </w:pPr>
      <w:r>
        <w:continuationSeparator/>
      </w:r>
    </w:p>
  </w:footnote>
  <w:footnote w:type="continuationNotice" w:id="1">
    <w:p w14:paraId="75458835" w14:textId="77777777" w:rsidR="00FA57DD" w:rsidRDefault="00FA57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67D05"/>
    <w:multiLevelType w:val="hybridMultilevel"/>
    <w:tmpl w:val="C54A5C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23"/>
    <w:rsid w:val="00002470"/>
    <w:rsid w:val="00010265"/>
    <w:rsid w:val="000140BA"/>
    <w:rsid w:val="00036C1B"/>
    <w:rsid w:val="00052BFA"/>
    <w:rsid w:val="00065EEA"/>
    <w:rsid w:val="00071EF4"/>
    <w:rsid w:val="00073C59"/>
    <w:rsid w:val="000844E5"/>
    <w:rsid w:val="0009539A"/>
    <w:rsid w:val="00095B6C"/>
    <w:rsid w:val="00095BA5"/>
    <w:rsid w:val="000B0736"/>
    <w:rsid w:val="000B220B"/>
    <w:rsid w:val="000B2B22"/>
    <w:rsid w:val="000D5887"/>
    <w:rsid w:val="000E59F0"/>
    <w:rsid w:val="000E7E99"/>
    <w:rsid w:val="001000ED"/>
    <w:rsid w:val="001032E5"/>
    <w:rsid w:val="001056E3"/>
    <w:rsid w:val="00107B26"/>
    <w:rsid w:val="001111E8"/>
    <w:rsid w:val="001141DD"/>
    <w:rsid w:val="001471FA"/>
    <w:rsid w:val="00155E99"/>
    <w:rsid w:val="00176A42"/>
    <w:rsid w:val="0018750B"/>
    <w:rsid w:val="00193353"/>
    <w:rsid w:val="001A2EF2"/>
    <w:rsid w:val="001C0F26"/>
    <w:rsid w:val="001C53C6"/>
    <w:rsid w:val="001D4CC2"/>
    <w:rsid w:val="001E58BC"/>
    <w:rsid w:val="001F5CA4"/>
    <w:rsid w:val="002201C5"/>
    <w:rsid w:val="00222827"/>
    <w:rsid w:val="00224B5E"/>
    <w:rsid w:val="00227923"/>
    <w:rsid w:val="0023176C"/>
    <w:rsid w:val="0024265D"/>
    <w:rsid w:val="00275173"/>
    <w:rsid w:val="00275551"/>
    <w:rsid w:val="00295498"/>
    <w:rsid w:val="002967F8"/>
    <w:rsid w:val="002A2C51"/>
    <w:rsid w:val="002C0162"/>
    <w:rsid w:val="002C63F2"/>
    <w:rsid w:val="002F5E18"/>
    <w:rsid w:val="00302B87"/>
    <w:rsid w:val="00302B8F"/>
    <w:rsid w:val="00312FA3"/>
    <w:rsid w:val="00334E1E"/>
    <w:rsid w:val="00345487"/>
    <w:rsid w:val="00350253"/>
    <w:rsid w:val="00356A1C"/>
    <w:rsid w:val="00365469"/>
    <w:rsid w:val="003907BF"/>
    <w:rsid w:val="003A40F4"/>
    <w:rsid w:val="003B251A"/>
    <w:rsid w:val="003B4094"/>
    <w:rsid w:val="003D041C"/>
    <w:rsid w:val="00426CBB"/>
    <w:rsid w:val="00437BF5"/>
    <w:rsid w:val="00464CD0"/>
    <w:rsid w:val="00485FC3"/>
    <w:rsid w:val="004B3BBD"/>
    <w:rsid w:val="004B44F4"/>
    <w:rsid w:val="004B5C8D"/>
    <w:rsid w:val="004B6B15"/>
    <w:rsid w:val="004D7938"/>
    <w:rsid w:val="004E2826"/>
    <w:rsid w:val="004F413B"/>
    <w:rsid w:val="00526CEE"/>
    <w:rsid w:val="00527A51"/>
    <w:rsid w:val="00550A38"/>
    <w:rsid w:val="00552573"/>
    <w:rsid w:val="00562B76"/>
    <w:rsid w:val="00582223"/>
    <w:rsid w:val="005A77A9"/>
    <w:rsid w:val="005E1C15"/>
    <w:rsid w:val="005F27BD"/>
    <w:rsid w:val="006067FF"/>
    <w:rsid w:val="00612628"/>
    <w:rsid w:val="00623C7B"/>
    <w:rsid w:val="00626BB3"/>
    <w:rsid w:val="00634BB2"/>
    <w:rsid w:val="00635342"/>
    <w:rsid w:val="00641500"/>
    <w:rsid w:val="00647CE2"/>
    <w:rsid w:val="00684735"/>
    <w:rsid w:val="0069461C"/>
    <w:rsid w:val="006B331D"/>
    <w:rsid w:val="006B3335"/>
    <w:rsid w:val="006C2835"/>
    <w:rsid w:val="006D5C24"/>
    <w:rsid w:val="006D6092"/>
    <w:rsid w:val="007024C3"/>
    <w:rsid w:val="00702703"/>
    <w:rsid w:val="00710E5C"/>
    <w:rsid w:val="00721AB1"/>
    <w:rsid w:val="00722F40"/>
    <w:rsid w:val="00732FA4"/>
    <w:rsid w:val="0075182F"/>
    <w:rsid w:val="00753ED1"/>
    <w:rsid w:val="00791295"/>
    <w:rsid w:val="0079159E"/>
    <w:rsid w:val="00792965"/>
    <w:rsid w:val="00794B96"/>
    <w:rsid w:val="007A3B0C"/>
    <w:rsid w:val="007A77E2"/>
    <w:rsid w:val="007B10B7"/>
    <w:rsid w:val="007B2BAB"/>
    <w:rsid w:val="007B659D"/>
    <w:rsid w:val="007C68FF"/>
    <w:rsid w:val="007E2341"/>
    <w:rsid w:val="007E3ED5"/>
    <w:rsid w:val="007E477A"/>
    <w:rsid w:val="007E5348"/>
    <w:rsid w:val="007F4B1D"/>
    <w:rsid w:val="008128F2"/>
    <w:rsid w:val="00816F73"/>
    <w:rsid w:val="00831394"/>
    <w:rsid w:val="00851C9B"/>
    <w:rsid w:val="008779B6"/>
    <w:rsid w:val="00893343"/>
    <w:rsid w:val="008A2350"/>
    <w:rsid w:val="008C15A9"/>
    <w:rsid w:val="008E0ABD"/>
    <w:rsid w:val="008E3034"/>
    <w:rsid w:val="008E3A9E"/>
    <w:rsid w:val="00901766"/>
    <w:rsid w:val="00902B95"/>
    <w:rsid w:val="0090638E"/>
    <w:rsid w:val="0091214A"/>
    <w:rsid w:val="00930D5D"/>
    <w:rsid w:val="009339DC"/>
    <w:rsid w:val="00935626"/>
    <w:rsid w:val="0094326C"/>
    <w:rsid w:val="009545A0"/>
    <w:rsid w:val="00956F23"/>
    <w:rsid w:val="009A2136"/>
    <w:rsid w:val="009A4002"/>
    <w:rsid w:val="009A77DA"/>
    <w:rsid w:val="009B724E"/>
    <w:rsid w:val="009C59FD"/>
    <w:rsid w:val="009C62D9"/>
    <w:rsid w:val="00A02DD7"/>
    <w:rsid w:val="00A549A0"/>
    <w:rsid w:val="00A61D49"/>
    <w:rsid w:val="00A848DE"/>
    <w:rsid w:val="00A90943"/>
    <w:rsid w:val="00AA119D"/>
    <w:rsid w:val="00AB74A6"/>
    <w:rsid w:val="00AC1FC5"/>
    <w:rsid w:val="00AC7257"/>
    <w:rsid w:val="00AD195C"/>
    <w:rsid w:val="00AD2471"/>
    <w:rsid w:val="00AE7FCF"/>
    <w:rsid w:val="00AF09F6"/>
    <w:rsid w:val="00AF5BA4"/>
    <w:rsid w:val="00B00100"/>
    <w:rsid w:val="00B024B4"/>
    <w:rsid w:val="00B02BCA"/>
    <w:rsid w:val="00B21EDE"/>
    <w:rsid w:val="00B33EF9"/>
    <w:rsid w:val="00B65AD1"/>
    <w:rsid w:val="00B74A19"/>
    <w:rsid w:val="00B83650"/>
    <w:rsid w:val="00B93FE5"/>
    <w:rsid w:val="00BC7609"/>
    <w:rsid w:val="00BD5880"/>
    <w:rsid w:val="00BF1D8C"/>
    <w:rsid w:val="00BF5CF3"/>
    <w:rsid w:val="00C126B8"/>
    <w:rsid w:val="00C149A5"/>
    <w:rsid w:val="00C15F44"/>
    <w:rsid w:val="00C27379"/>
    <w:rsid w:val="00C37A51"/>
    <w:rsid w:val="00C4189B"/>
    <w:rsid w:val="00C73CF5"/>
    <w:rsid w:val="00C8004B"/>
    <w:rsid w:val="00C83703"/>
    <w:rsid w:val="00C8747C"/>
    <w:rsid w:val="00C94603"/>
    <w:rsid w:val="00C94DC7"/>
    <w:rsid w:val="00CA7965"/>
    <w:rsid w:val="00CA7A0A"/>
    <w:rsid w:val="00CB30F5"/>
    <w:rsid w:val="00CB7910"/>
    <w:rsid w:val="00CC1E03"/>
    <w:rsid w:val="00CC55C4"/>
    <w:rsid w:val="00CC778E"/>
    <w:rsid w:val="00CF349B"/>
    <w:rsid w:val="00D12D84"/>
    <w:rsid w:val="00D245D5"/>
    <w:rsid w:val="00D6240F"/>
    <w:rsid w:val="00D74BA4"/>
    <w:rsid w:val="00DB5B04"/>
    <w:rsid w:val="00DC23BB"/>
    <w:rsid w:val="00DD2A78"/>
    <w:rsid w:val="00DD52FF"/>
    <w:rsid w:val="00E00E52"/>
    <w:rsid w:val="00E05E22"/>
    <w:rsid w:val="00E134DF"/>
    <w:rsid w:val="00E17E83"/>
    <w:rsid w:val="00E46B44"/>
    <w:rsid w:val="00E521E8"/>
    <w:rsid w:val="00E731CF"/>
    <w:rsid w:val="00E74774"/>
    <w:rsid w:val="00EC4D75"/>
    <w:rsid w:val="00EC6F57"/>
    <w:rsid w:val="00EE4317"/>
    <w:rsid w:val="00F04FF5"/>
    <w:rsid w:val="00F259D5"/>
    <w:rsid w:val="00F41D65"/>
    <w:rsid w:val="00F54A19"/>
    <w:rsid w:val="00F57D07"/>
    <w:rsid w:val="00F63C61"/>
    <w:rsid w:val="00F761B4"/>
    <w:rsid w:val="00F76260"/>
    <w:rsid w:val="00F97E30"/>
    <w:rsid w:val="00FA57DD"/>
    <w:rsid w:val="00FC74E2"/>
    <w:rsid w:val="00FD1044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BF1AF"/>
  <w15:chartTrackingRefBased/>
  <w15:docId w15:val="{7EE4B62E-2569-4E81-AB17-FA32F8E4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9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79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7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A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5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2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95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498"/>
  </w:style>
  <w:style w:type="paragraph" w:styleId="Footer">
    <w:name w:val="footer"/>
    <w:basedOn w:val="Normal"/>
    <w:link w:val="FooterChar"/>
    <w:uiPriority w:val="99"/>
    <w:semiHidden/>
    <w:unhideWhenUsed/>
    <w:rsid w:val="00295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5498"/>
  </w:style>
  <w:style w:type="character" w:styleId="UnresolvedMention">
    <w:name w:val="Unresolved Mention"/>
    <w:basedOn w:val="DefaultParagraphFont"/>
    <w:uiPriority w:val="99"/>
    <w:unhideWhenUsed/>
    <w:rsid w:val="000844E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844E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0A8EE2C425D4B93B7EFD257233830" ma:contentTypeVersion="16" ma:contentTypeDescription="Create a new document." ma:contentTypeScope="" ma:versionID="5489db39f10d4baedf3168884144d5f7">
  <xsd:schema xmlns:xsd="http://www.w3.org/2001/XMLSchema" xmlns:xs="http://www.w3.org/2001/XMLSchema" xmlns:p="http://schemas.microsoft.com/office/2006/metadata/properties" xmlns:ns1="http://schemas.microsoft.com/sharepoint/v3" xmlns:ns3="91399820-721b-4510-8c06-b04c16ee0735" xmlns:ns4="34589ffe-0280-46cf-8446-ab9c10e43941" targetNamespace="http://schemas.microsoft.com/office/2006/metadata/properties" ma:root="true" ma:fieldsID="00e6d0c6a3a7deba548ab1c1643569b5" ns1:_="" ns3:_="" ns4:_="">
    <xsd:import namespace="http://schemas.microsoft.com/sharepoint/v3"/>
    <xsd:import namespace="91399820-721b-4510-8c06-b04c16ee0735"/>
    <xsd:import namespace="34589ffe-0280-46cf-8446-ab9c10e43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9820-721b-4510-8c06-b04c16ee07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89ffe-0280-46cf-8446-ab9c10e43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8D7364-89FD-4733-ADAD-8D5E62274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399820-721b-4510-8c06-b04c16ee0735"/>
    <ds:schemaRef ds:uri="34589ffe-0280-46cf-8446-ab9c10e43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83B94-F826-42DE-966B-D839081E5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274F7-535E-4DB6-8FBF-5BDB9B7157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93670C-ECC9-40E6-98E1-4B028A954D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Stegh</dc:creator>
  <cp:keywords/>
  <dc:description/>
  <cp:lastModifiedBy>Elle DiCasparro</cp:lastModifiedBy>
  <cp:revision>2</cp:revision>
  <dcterms:created xsi:type="dcterms:W3CDTF">2020-06-05T13:31:00Z</dcterms:created>
  <dcterms:modified xsi:type="dcterms:W3CDTF">2020-06-05T13:31:00Z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0x0101003E10A8EE2C425D4B93B7EFD257233830</vt:lpwstr>
  </property>
</Properties>
</file>