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Resources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hanging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Casa, D. J., (2012, October, 17).  The Inter-Association Task Force</w:t>
        <w:tab/>
        <w:t xml:space="preserve">for Preventing Sudden Death in Collegiate Conditioning Sessions: Best Practices</w:t>
        <w:tab/>
        <w:t xml:space="preserve">Recommendations.  Retrieved  from National Strength and Conditioning Association Webinar Power Point Slides. http://www.nsca-lift.org/Search/?searchtxt=NSCA%20Webinar:%20Preventing %20Sudden%20Death%20in%20Collegiate%20Conditioning%20Sessions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hanging="720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Casa, D. J., Anderson, S. A., Lindsay B.,  Bennett, S., Bergeron, M. F., Connolly, D. . . (2012). The Inter-Association Task Force for Preventing Sudden Death in CollegiateConditioning Sessions: Best Practices Recommendations. Journal of Athletic Training. 47 (4), 477–480.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hanging="72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hanging="720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Fidler, E.  (2012, June). Sickle Cell Trait: A Review and Recommendations for Training. Strength and Conditioning Journal, 34 (3), 28-31.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hanging="72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hanging="720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Lawrence, M. (2011, April 21). Rhabdo requires prompt diagnosis, treatment. Retrieved fromNCAA.org. http://www.ncaa.org/wps/wcm/connect/public/ncaa/ resources/latest+news/2011/april/rhabdo+requires+prompt+diagnosis%2C+treatment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hanging="72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hanging="72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hanging="720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Mueller, F. O., Colgate, B. (2012, February). Annual survey of football injury research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hanging="720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1931- 2011.  Prepared for: American Football Coaches Association, National Collegiate Athletic Association, The National Federation of State High School Associations.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hanging="72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hanging="72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hanging="720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National Center for Catastrophic Sports Injury. (2012).  Recent Data on Heat Illness-related Deaths. Retrieved from  Korey Stringer Institute, Neag School of Education, University of Connecticut. 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http://ksi.uconn.edu/emergency-conditions/heat-illnesses/exertional-heat-stroke/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0"/>
        <w:contextualSpacing w:val="0"/>
        <w:rPr>
          <w:sz w:val="24"/>
          <w:szCs w:val="24"/>
        </w:rPr>
      </w:pPr>
      <w:bookmarkStart w:colFirst="0" w:colLast="0" w:name="_1fob9te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i w:val="1"/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ksi.uconn.edu/emergency-conditions/heat-illnesses/exertional-heat-stroke/" TargetMode="External"/></Relationships>
</file>