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5C41" w14:textId="77777777" w:rsidR="0026000D" w:rsidRPr="008A7E71" w:rsidRDefault="00F77122" w:rsidP="00F77122">
      <w:pPr>
        <w:pStyle w:val="MainTitle"/>
        <w:spacing w:line="204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399D76D4" wp14:editId="68E471D7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87912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4A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F0223E" wp14:editId="7D5E75E4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240656" w14:textId="77777777" w:rsidR="008864AB" w:rsidRPr="008864AB" w:rsidRDefault="00E204A3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Key Points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A17CA3" w14:textId="77777777" w:rsidR="0024208C" w:rsidRDefault="00E204A3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HDHPs can pay for COVID-19 testing and treatment without imposing a deductible. </w:t>
                              </w:r>
                            </w:p>
                            <w:p w14:paraId="39375CB8" w14:textId="77777777" w:rsidR="00AA6634" w:rsidRDefault="00E204A3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As a growing trend, states are </w:t>
                              </w:r>
                              <w:r w:rsidR="00552881">
                                <w:t>directing</w:t>
                              </w:r>
                              <w:r>
                                <w:t xml:space="preserve"> or encouraging health insurance issuers to cover this testing without any cost</w:t>
                              </w:r>
                              <w:r w:rsidR="006B04DC">
                                <w:t xml:space="preserve"> </w:t>
                              </w:r>
                              <w:r>
                                <w:t xml:space="preserve">sharing. </w:t>
                              </w:r>
                            </w:p>
                            <w:p w14:paraId="1BECE114" w14:textId="77777777" w:rsidR="00AA6634" w:rsidRDefault="00E204A3" w:rsidP="00552881">
                              <w:pPr>
                                <w:pStyle w:val="Bullet"/>
                                <w:spacing w:after="120"/>
                                <w:ind w:left="360" w:hanging="274"/>
                                <w:jc w:val="left"/>
                              </w:pPr>
                              <w:r>
                                <w:t xml:space="preserve">Employers with HDHPs should consult with their plan’s issuer or benefits administrator regarding their plan’s coverage for COVID-19 testing and treatment.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196.8pt;margin-left:-35.4pt;mso-height-relative:margin;mso-position-vertical-relative:page;position:absolute;z-index:-251656192" coordsize="77724,30841">
                <v:group id="Group 15" o:spid="_x0000_s1026" style="width:77724;height:6376;position:absolute" coordsize="77724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4;height:6352;mso-wrap-style:square;position:absolute;top:24;visibility:visible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Key Points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4208C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HDHPs can pay for COVID-19 testing and treatment without imposing a deductible. </w:t>
                        </w:r>
                      </w:p>
                      <w:p w:rsidR="00AA6634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As a growing trend, states are </w:t>
                        </w:r>
                        <w:r w:rsidR="00552881">
                          <w:t>directing</w:t>
                        </w:r>
                        <w:r>
                          <w:t xml:space="preserve"> or encouraging health insurance issuers to cover this testing without any cost</w:t>
                        </w:r>
                        <w:r w:rsidR="006B04DC">
                          <w:t xml:space="preserve"> </w:t>
                        </w:r>
                        <w:r>
                          <w:t xml:space="preserve">sharing. </w:t>
                        </w:r>
                      </w:p>
                      <w:p w:rsidR="00AA6634" w:rsidP="00552881">
                        <w:pPr>
                          <w:pStyle w:val="Bullet"/>
                          <w:spacing w:after="120"/>
                          <w:ind w:left="360" w:hanging="274"/>
                          <w:jc w:val="left"/>
                        </w:pPr>
                        <w:r>
                          <w:t xml:space="preserve">Employers with HDHPs should consult with their plan’s issuer or benefits administrator regarding their plan’s coverage for COVID-19 testing and treatment.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IRS </w:t>
      </w:r>
      <w:r w:rsidR="00ED7204">
        <w:t>A</w:t>
      </w:r>
      <w:r w:rsidR="0009117F">
        <w:t xml:space="preserve">llows </w:t>
      </w:r>
      <w:r>
        <w:t xml:space="preserve">HDHPs </w:t>
      </w:r>
      <w:r w:rsidR="0009117F">
        <w:t xml:space="preserve">To </w:t>
      </w:r>
      <w:r>
        <w:t>Cover Coronavirus Costs</w:t>
      </w:r>
    </w:p>
    <w:p w14:paraId="45D3FE0F" w14:textId="77777777" w:rsidR="00750140" w:rsidRDefault="00E204A3" w:rsidP="00991DE6">
      <w:pPr>
        <w:pStyle w:val="BodyText"/>
      </w:pPr>
      <w:r>
        <w:t>On March 11, 2020, the Internal Reve</w:t>
      </w:r>
      <w:r w:rsidR="00ED7204">
        <w:t xml:space="preserve">nue Service (IRS) issued </w:t>
      </w:r>
      <w:hyperlink r:id="rId10" w:history="1">
        <w:r w:rsidR="00ED7204" w:rsidRPr="00ED7204">
          <w:rPr>
            <w:rStyle w:val="Hyperlink"/>
          </w:rPr>
          <w:t>Notice 2020-15</w:t>
        </w:r>
      </w:hyperlink>
      <w:r w:rsidR="00ED7204">
        <w:t xml:space="preserve"> to advise that high deductible health plans (HDHPs) can pay for 2019 Novel Coronavirus (COVID-19)</w:t>
      </w:r>
      <w:r w:rsidR="00AA6634">
        <w:t xml:space="preserve"> </w:t>
      </w:r>
      <w:r w:rsidR="00ED7204">
        <w:t xml:space="preserve">testing and treatment </w:t>
      </w:r>
      <w:r>
        <w:t xml:space="preserve">before plan deductibles have been met, </w:t>
      </w:r>
      <w:r w:rsidR="00ED7204">
        <w:t>without jeopardizing</w:t>
      </w:r>
      <w:r>
        <w:t xml:space="preserve"> their status. According to the IRS, this also means that individuals with HDHPs that cover these costs may continue to contribute to </w:t>
      </w:r>
      <w:r w:rsidR="005F76F4">
        <w:t xml:space="preserve">their </w:t>
      </w:r>
      <w:r>
        <w:t>health savings account</w:t>
      </w:r>
      <w:r>
        <w:t xml:space="preserve">s (HSAs). </w:t>
      </w:r>
    </w:p>
    <w:p w14:paraId="70C6541F" w14:textId="77777777" w:rsidR="005F76F4" w:rsidRDefault="00E204A3" w:rsidP="00991DE6">
      <w:pPr>
        <w:pStyle w:val="BodyText"/>
      </w:pPr>
      <w:r w:rsidRPr="00FB263B">
        <w:t>The IRS also noted that</w:t>
      </w:r>
      <w:r>
        <w:t xml:space="preserve"> </w:t>
      </w:r>
      <w:r w:rsidRPr="00FB263B">
        <w:t xml:space="preserve">any </w:t>
      </w:r>
      <w:r>
        <w:t xml:space="preserve">COVID-19 </w:t>
      </w:r>
      <w:r w:rsidRPr="00FB263B">
        <w:t>vaccination costs count as preventive care and can be paid for by an HDHP</w:t>
      </w:r>
      <w:r>
        <w:t xml:space="preserve"> without cost</w:t>
      </w:r>
      <w:r w:rsidR="006B04DC">
        <w:t xml:space="preserve"> </w:t>
      </w:r>
      <w:r>
        <w:t xml:space="preserve">sharing. </w:t>
      </w:r>
    </w:p>
    <w:p w14:paraId="03961ED4" w14:textId="77777777" w:rsidR="005F76F4" w:rsidRPr="005F76F4" w:rsidRDefault="00E204A3" w:rsidP="005F76F4">
      <w:pPr>
        <w:pStyle w:val="BodyText"/>
        <w:spacing w:after="0"/>
        <w:rPr>
          <w:b/>
          <w:sz w:val="28"/>
          <w:szCs w:val="28"/>
        </w:rPr>
      </w:pPr>
      <w:r w:rsidRPr="005F76F4">
        <w:rPr>
          <w:b/>
          <w:sz w:val="28"/>
          <w:szCs w:val="28"/>
        </w:rPr>
        <w:t>Health Plan Coverage</w:t>
      </w:r>
    </w:p>
    <w:p w14:paraId="31295E58" w14:textId="77777777" w:rsidR="00FB263B" w:rsidRDefault="00E204A3" w:rsidP="00991DE6">
      <w:pPr>
        <w:pStyle w:val="BodyText"/>
      </w:pPr>
      <w:r>
        <w:t>To protect the public from the growing spread of COVID-19, many states are directing or en</w:t>
      </w:r>
      <w:r>
        <w:t>couraging health insurance issuers to cover COVID-19 testing without imposing a deductible or other cost</w:t>
      </w:r>
      <w:r w:rsidR="006B04DC">
        <w:t xml:space="preserve"> </w:t>
      </w:r>
      <w:r>
        <w:t>sharing</w:t>
      </w:r>
      <w:r w:rsidR="00F96714">
        <w:t>. These states include, for example,</w:t>
      </w:r>
      <w:r>
        <w:t xml:space="preserve"> </w:t>
      </w:r>
      <w:hyperlink r:id="rId11" w:history="1">
        <w:r w:rsidRPr="00466ABF">
          <w:rPr>
            <w:rStyle w:val="Hyperlink"/>
          </w:rPr>
          <w:t>California</w:t>
        </w:r>
      </w:hyperlink>
      <w:r>
        <w:t xml:space="preserve">, </w:t>
      </w:r>
      <w:hyperlink r:id="rId12" w:history="1">
        <w:r w:rsidRPr="00552881">
          <w:rPr>
            <w:rStyle w:val="Hyperlink"/>
          </w:rPr>
          <w:t>New York</w:t>
        </w:r>
      </w:hyperlink>
      <w:r>
        <w:t xml:space="preserve">, </w:t>
      </w:r>
      <w:hyperlink r:id="rId13" w:history="1">
        <w:r w:rsidRPr="00552881">
          <w:rPr>
            <w:rStyle w:val="Hyperlink"/>
          </w:rPr>
          <w:t>Oregon</w:t>
        </w:r>
      </w:hyperlink>
      <w:r>
        <w:t xml:space="preserve"> and </w:t>
      </w:r>
      <w:hyperlink r:id="rId14" w:history="1">
        <w:r w:rsidRPr="00552881">
          <w:rPr>
            <w:rStyle w:val="Hyperlink"/>
          </w:rPr>
          <w:t>Washington</w:t>
        </w:r>
      </w:hyperlink>
      <w:r>
        <w:t>. Some issuers</w:t>
      </w:r>
      <w:r w:rsidR="00F96714">
        <w:t xml:space="preserve"> </w:t>
      </w:r>
      <w:r>
        <w:t>are voluntarily waiving cos</w:t>
      </w:r>
      <w:r>
        <w:t>t</w:t>
      </w:r>
      <w:r w:rsidR="006B04DC">
        <w:t xml:space="preserve"> </w:t>
      </w:r>
      <w:r>
        <w:t xml:space="preserve">sharing for </w:t>
      </w:r>
      <w:r w:rsidR="00F96714">
        <w:t>COVID-19 testing, with</w:t>
      </w:r>
      <w:r w:rsidR="005F76F4">
        <w:t>out</w:t>
      </w:r>
      <w:r w:rsidR="00F96714">
        <w:t xml:space="preserve"> a state directive. Self-funded plans may also </w:t>
      </w:r>
      <w:r w:rsidR="005F76F4">
        <w:t xml:space="preserve">voluntarily </w:t>
      </w:r>
      <w:r w:rsidR="00F96714">
        <w:t>waive these costs</w:t>
      </w:r>
      <w:r w:rsidR="005F76F4">
        <w:t xml:space="preserve"> due to the public health emergency posed by COVID-19. </w:t>
      </w:r>
    </w:p>
    <w:p w14:paraId="1B1519B5" w14:textId="77777777" w:rsidR="00F96714" w:rsidRDefault="00E204A3" w:rsidP="00991DE6">
      <w:pPr>
        <w:pStyle w:val="BodyText"/>
      </w:pPr>
      <w:r>
        <w:t xml:space="preserve">Only individuals who are covered by HDHPs can make contributions to HSAs. To qualify </w:t>
      </w:r>
      <w:r>
        <w:t xml:space="preserve">as an HDHP, a health plan cannot pay medical expenses (other than preventive care) until the annual minimum deductible has been reached. </w:t>
      </w:r>
      <w:r w:rsidR="005F76F4">
        <w:t xml:space="preserve">IRS Notice 2020-15 provides an exception to this general rule to remove financial </w:t>
      </w:r>
      <w:r w:rsidR="00552881">
        <w:t>barriers</w:t>
      </w:r>
      <w:r w:rsidR="005F76F4">
        <w:t xml:space="preserve"> that might otherwise</w:t>
      </w:r>
      <w:r w:rsidR="00552881">
        <w:t xml:space="preserve"> delay </w:t>
      </w:r>
      <w:r w:rsidR="005F76F4">
        <w:t xml:space="preserve">testing for and treatment of COVID-19. </w:t>
      </w:r>
    </w:p>
    <w:p w14:paraId="1387F006" w14:textId="77777777" w:rsidR="008A7E71" w:rsidRPr="008A7E71" w:rsidRDefault="00E204A3" w:rsidP="0024208C">
      <w:pPr>
        <w:pStyle w:val="SubHeader"/>
      </w:pPr>
      <w:r>
        <w:t>Action Steps</w:t>
      </w:r>
    </w:p>
    <w:p w14:paraId="610FE3A7" w14:textId="77777777" w:rsidR="008A7E71" w:rsidRPr="004967FA" w:rsidRDefault="00E204A3" w:rsidP="004967FA">
      <w:pPr>
        <w:pStyle w:val="BodyText"/>
      </w:pPr>
      <w:r>
        <w:t xml:space="preserve">Employers with HDHPs should consult with their </w:t>
      </w:r>
      <w:r w:rsidR="0022430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DDB613" wp14:editId="739EAF52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233507" w14:textId="77777777" w:rsidR="00A47C53" w:rsidRPr="00A47C53" w:rsidRDefault="00E204A3" w:rsidP="00CF5E21">
                              <w:pPr>
                                <w:pStyle w:val="CallOutBox"/>
                              </w:pPr>
                              <w:r>
                                <w:t xml:space="preserve">According to the IRS, HDHPs can pay for </w:t>
                              </w:r>
                              <w:r w:rsidR="00AA6634">
                                <w:t>COVID-19 testing and treatment before an individual has met the plan’s deductible for the year</w:t>
                              </w:r>
                              <w:r w:rsidRPr="00A47C53"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2.1pt;margin-left:0;mso-position-horizontal-relative:page;mso-position-vertical-relative:page;position:absolute;z-index:-251654144" coordsize="77717,25232">
                <v:shape id="Picture 5" o:spid="_x0000_s1031" type="#_x0000_t75" style="width:77717;height:6299;mso-wrap-style:square;position:absolute;visibility:visible">
                  <v:imagedata r:id="rId16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>
                        <w:pPr>
                          <w:pStyle w:val="CallOutBox"/>
                        </w:pPr>
                        <w:r>
                          <w:t xml:space="preserve">According to the IRS, HDHPs can pay for </w:t>
                        </w:r>
                        <w:r w:rsidR="00AA6634">
                          <w:t>COVID-19 testing and treatment before an individual has met the plan’s deductible for the year</w:t>
                        </w:r>
                        <w:r w:rsidRPr="00A47C53">
                          <w:t xml:space="preserve">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8D460" wp14:editId="32B83CD2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9DD7E5" w14:textId="77777777" w:rsidR="008F7B15" w:rsidRPr="008864AB" w:rsidRDefault="00E204A3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Provided to yo</w:t>
                            </w: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Gibson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Gibson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plan’s issuer or benefit</w:t>
      </w:r>
      <w:r w:rsidR="00AA6634">
        <w:t>s</w:t>
      </w:r>
      <w:r>
        <w:t xml:space="preserve"> administrator regarding the</w:t>
      </w:r>
      <w:r w:rsidR="006B04DC">
        <w:t>ir</w:t>
      </w:r>
      <w:r>
        <w:t xml:space="preserve"> plan’s benefits for COVID-19 testing and treatment, including the potential application of any deductible.  </w:t>
      </w:r>
    </w:p>
    <w:sectPr w:rsidR="008A7E71" w:rsidRPr="004967FA" w:rsidSect="008A7E71">
      <w:headerReference w:type="default" r:id="rId17"/>
      <w:footerReference w:type="default" r:id="rId18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6A56" w14:textId="77777777" w:rsidR="00E204A3" w:rsidRDefault="00E204A3">
      <w:pPr>
        <w:spacing w:after="0" w:line="240" w:lineRule="auto"/>
      </w:pPr>
      <w:r>
        <w:separator/>
      </w:r>
    </w:p>
  </w:endnote>
  <w:endnote w:type="continuationSeparator" w:id="0">
    <w:p w14:paraId="67752E45" w14:textId="77777777" w:rsidR="00E204A3" w:rsidRDefault="00E2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541E" w14:textId="77777777" w:rsidR="0098636D" w:rsidRDefault="00E204A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476D3" wp14:editId="589F35D2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F31FD9" w14:textId="77777777" w:rsidR="00796AD3" w:rsidRPr="00817EEE" w:rsidRDefault="00E204A3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5F76F4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1719C6EA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52F0B4E1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77580C94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5F76F4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0A9D4" wp14:editId="3BE0237A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8584492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20BDC3BB" wp14:editId="2B0AB08E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920207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1E9F" w14:textId="77777777" w:rsidR="00E204A3" w:rsidRDefault="00E204A3">
      <w:pPr>
        <w:spacing w:after="0" w:line="240" w:lineRule="auto"/>
      </w:pPr>
      <w:r>
        <w:separator/>
      </w:r>
    </w:p>
  </w:footnote>
  <w:footnote w:type="continuationSeparator" w:id="0">
    <w:p w14:paraId="321E7F51" w14:textId="77777777" w:rsidR="00E204A3" w:rsidRDefault="00E2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ADB8" w14:textId="77777777" w:rsidR="0098636D" w:rsidRDefault="00E204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A2C2A" wp14:editId="24DD1470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065C39C" wp14:editId="6B0E16FA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D5BE3" w14:textId="77777777" w:rsidR="00D35AF9" w:rsidRPr="00D35AF9" w:rsidRDefault="00E204A3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063"/>
    <w:multiLevelType w:val="hybridMultilevel"/>
    <w:tmpl w:val="0CE2A7C2"/>
    <w:lvl w:ilvl="0" w:tplc="EB248D1A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ABAEE1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4C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C77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02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3285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4A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EE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05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DD942C62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1B749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CC7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EF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0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A6B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A8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C2D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98F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1"/>
    <w:multiLevelType w:val="hybridMultilevel"/>
    <w:tmpl w:val="43CE94D6"/>
    <w:lvl w:ilvl="0" w:tplc="1B62F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4F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05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4B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E86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660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22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6F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048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44"/>
    <w:multiLevelType w:val="hybridMultilevel"/>
    <w:tmpl w:val="D67CDEAC"/>
    <w:lvl w:ilvl="0" w:tplc="A3E410B8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C3B0C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26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816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07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88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E6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C4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E6FA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D8C"/>
    <w:multiLevelType w:val="hybridMultilevel"/>
    <w:tmpl w:val="796CB146"/>
    <w:lvl w:ilvl="0" w:tplc="8480AA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698A3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E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4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4A8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07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6A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28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D8B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22"/>
    <w:rsid w:val="00001C17"/>
    <w:rsid w:val="0009117F"/>
    <w:rsid w:val="001050A8"/>
    <w:rsid w:val="0012162D"/>
    <w:rsid w:val="001631A4"/>
    <w:rsid w:val="001725D9"/>
    <w:rsid w:val="001B1A7E"/>
    <w:rsid w:val="0022430C"/>
    <w:rsid w:val="0024208C"/>
    <w:rsid w:val="00242539"/>
    <w:rsid w:val="0026000D"/>
    <w:rsid w:val="002B61D1"/>
    <w:rsid w:val="002F786C"/>
    <w:rsid w:val="003267EB"/>
    <w:rsid w:val="003A6B72"/>
    <w:rsid w:val="00432EFE"/>
    <w:rsid w:val="00466ABF"/>
    <w:rsid w:val="0048508B"/>
    <w:rsid w:val="00485C3A"/>
    <w:rsid w:val="004967FA"/>
    <w:rsid w:val="004B125C"/>
    <w:rsid w:val="004D34B3"/>
    <w:rsid w:val="00526687"/>
    <w:rsid w:val="00552881"/>
    <w:rsid w:val="00584B55"/>
    <w:rsid w:val="005D05D9"/>
    <w:rsid w:val="005F76F4"/>
    <w:rsid w:val="0066062F"/>
    <w:rsid w:val="006A2A41"/>
    <w:rsid w:val="006B04DC"/>
    <w:rsid w:val="00707343"/>
    <w:rsid w:val="00750140"/>
    <w:rsid w:val="00770406"/>
    <w:rsid w:val="00796AD3"/>
    <w:rsid w:val="00802FF0"/>
    <w:rsid w:val="00817EEE"/>
    <w:rsid w:val="008470CF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8636D"/>
    <w:rsid w:val="00991DE6"/>
    <w:rsid w:val="00993033"/>
    <w:rsid w:val="009D4BB6"/>
    <w:rsid w:val="009E2B6A"/>
    <w:rsid w:val="009E4DC9"/>
    <w:rsid w:val="00A337BD"/>
    <w:rsid w:val="00A47C53"/>
    <w:rsid w:val="00A65FD8"/>
    <w:rsid w:val="00AA6634"/>
    <w:rsid w:val="00AB3085"/>
    <w:rsid w:val="00AD0649"/>
    <w:rsid w:val="00BA7D47"/>
    <w:rsid w:val="00BE45C1"/>
    <w:rsid w:val="00C741AE"/>
    <w:rsid w:val="00CA6AD1"/>
    <w:rsid w:val="00CF5E21"/>
    <w:rsid w:val="00D35AF9"/>
    <w:rsid w:val="00D379D5"/>
    <w:rsid w:val="00D76FCB"/>
    <w:rsid w:val="00DC3880"/>
    <w:rsid w:val="00DD1268"/>
    <w:rsid w:val="00E16E6C"/>
    <w:rsid w:val="00E204A3"/>
    <w:rsid w:val="00E26E72"/>
    <w:rsid w:val="00E378E3"/>
    <w:rsid w:val="00E64D05"/>
    <w:rsid w:val="00E71580"/>
    <w:rsid w:val="00E73236"/>
    <w:rsid w:val="00E95864"/>
    <w:rsid w:val="00EC2053"/>
    <w:rsid w:val="00ED7204"/>
    <w:rsid w:val="00F32D2D"/>
    <w:rsid w:val="00F32F5A"/>
    <w:rsid w:val="00F77122"/>
    <w:rsid w:val="00F96714"/>
    <w:rsid w:val="00FA6666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08B3"/>
  <w15:chartTrackingRefBased/>
  <w15:docId w15:val="{3771E76E-4A79-4B34-86B9-C748CE93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ED72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oregon.gov/newsroom/Pages/NewsDetail.aspx?newsid=3609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ernor.ny.gov/news/governor-cuomo-announces-new-directive-requiring-new-york-insurers-waive-cost-sharin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urance.ca.gov/0400-news/0100-press-releases/2020/release025-2020-2.cf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rs.gov/pub/irs-drop/n-20-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hyperlink" Target="https://www.insurance.wa.gov/sites/default/files/documents/emergency-order-number-20-0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EB_%20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Margerie, Erin</dc:creator>
  <cp:lastModifiedBy>Ray Korson</cp:lastModifiedBy>
  <cp:revision>2</cp:revision>
  <dcterms:created xsi:type="dcterms:W3CDTF">2020-03-12T01:20:00Z</dcterms:created>
  <dcterms:modified xsi:type="dcterms:W3CDTF">2020-03-12T01:20:00Z</dcterms:modified>
</cp:coreProperties>
</file>