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4A08" w14:textId="20860BBE" w:rsidR="002116C1" w:rsidRDefault="00DB3BB5">
      <w:pPr>
        <w:rPr>
          <w:b/>
          <w:sz w:val="34"/>
          <w:szCs w:val="34"/>
        </w:rPr>
      </w:pPr>
      <w:r>
        <w:rPr>
          <w:b/>
          <w:sz w:val="34"/>
          <w:szCs w:val="34"/>
        </w:rPr>
        <w:t xml:space="preserve">Services </w:t>
      </w:r>
      <w:r w:rsidR="009F7C00" w:rsidRPr="00DB3BB5">
        <w:rPr>
          <w:b/>
          <w:sz w:val="34"/>
          <w:szCs w:val="34"/>
        </w:rPr>
        <w:t>Industry Consolidation</w:t>
      </w:r>
    </w:p>
    <w:p w14:paraId="517D3CBB" w14:textId="4634CD12" w:rsidR="00015ABF" w:rsidRDefault="00015ABF" w:rsidP="00015ABF">
      <w:pPr>
        <w:pStyle w:val="ListParagraph"/>
        <w:numPr>
          <w:ilvl w:val="0"/>
          <w:numId w:val="9"/>
        </w:numPr>
        <w:rPr>
          <w:b/>
          <w:sz w:val="34"/>
          <w:szCs w:val="34"/>
        </w:rPr>
      </w:pPr>
      <w:r>
        <w:rPr>
          <w:b/>
          <w:sz w:val="34"/>
          <w:szCs w:val="34"/>
        </w:rPr>
        <w:t>Accenture Agencies Consolidation</w:t>
      </w:r>
    </w:p>
    <w:p w14:paraId="72ABFDCF" w14:textId="0E02D3C1" w:rsidR="00015ABF" w:rsidRDefault="00015ABF" w:rsidP="00015ABF">
      <w:pPr>
        <w:pStyle w:val="ListParagraph"/>
        <w:numPr>
          <w:ilvl w:val="0"/>
          <w:numId w:val="9"/>
        </w:numPr>
        <w:rPr>
          <w:b/>
          <w:sz w:val="34"/>
          <w:szCs w:val="34"/>
        </w:rPr>
      </w:pPr>
      <w:r>
        <w:rPr>
          <w:b/>
          <w:sz w:val="34"/>
          <w:szCs w:val="34"/>
        </w:rPr>
        <w:t xml:space="preserve">Agencies consolidation </w:t>
      </w:r>
    </w:p>
    <w:p w14:paraId="1D825427" w14:textId="674C97B6" w:rsidR="00015ABF" w:rsidRPr="00015ABF" w:rsidRDefault="00015ABF" w:rsidP="00015ABF">
      <w:pPr>
        <w:pStyle w:val="ListParagraph"/>
        <w:numPr>
          <w:ilvl w:val="0"/>
          <w:numId w:val="9"/>
        </w:numPr>
        <w:rPr>
          <w:b/>
          <w:sz w:val="34"/>
          <w:szCs w:val="34"/>
        </w:rPr>
      </w:pPr>
      <w:r>
        <w:rPr>
          <w:b/>
          <w:sz w:val="34"/>
          <w:szCs w:val="34"/>
        </w:rPr>
        <w:t xml:space="preserve">Certified </w:t>
      </w:r>
      <w:proofErr w:type="gramStart"/>
      <w:r>
        <w:rPr>
          <w:b/>
          <w:sz w:val="34"/>
          <w:szCs w:val="34"/>
        </w:rPr>
        <w:t>professionals</w:t>
      </w:r>
      <w:proofErr w:type="gramEnd"/>
      <w:r>
        <w:rPr>
          <w:b/>
          <w:sz w:val="34"/>
          <w:szCs w:val="34"/>
        </w:rPr>
        <w:t xml:space="preserve"> consolidation </w:t>
      </w:r>
      <w:bookmarkStart w:id="0" w:name="_GoBack"/>
      <w:bookmarkEnd w:id="0"/>
    </w:p>
    <w:p w14:paraId="664F02E5" w14:textId="6B8D9A31" w:rsidR="009F7C00" w:rsidRPr="009F7C00" w:rsidRDefault="009F7C00">
      <w:pPr>
        <w:rPr>
          <w:b/>
          <w:sz w:val="28"/>
          <w:szCs w:val="28"/>
        </w:rPr>
      </w:pPr>
      <w:r w:rsidRPr="009F7C00">
        <w:rPr>
          <w:b/>
          <w:sz w:val="28"/>
          <w:szCs w:val="28"/>
        </w:rPr>
        <w:t>Situation Recap</w:t>
      </w:r>
    </w:p>
    <w:p w14:paraId="28DDB369" w14:textId="5F2FAA6D" w:rsidR="009F7C00" w:rsidRDefault="00DB3BB5">
      <w:r>
        <w:rPr>
          <w:noProof/>
        </w:rPr>
        <w:drawing>
          <wp:anchor distT="0" distB="0" distL="114300" distR="114300" simplePos="0" relativeHeight="251663872" behindDoc="0" locked="0" layoutInCell="1" allowOverlap="1" wp14:anchorId="2227BF09" wp14:editId="69042402">
            <wp:simplePos x="0" y="0"/>
            <wp:positionH relativeFrom="column">
              <wp:posOffset>3161665</wp:posOffset>
            </wp:positionH>
            <wp:positionV relativeFrom="paragraph">
              <wp:posOffset>636905</wp:posOffset>
            </wp:positionV>
            <wp:extent cx="3180080" cy="366395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80080" cy="3663950"/>
                    </a:xfrm>
                    <a:prstGeom prst="rect">
                      <a:avLst/>
                    </a:prstGeom>
                  </pic:spPr>
                </pic:pic>
              </a:graphicData>
            </a:graphic>
            <wp14:sizeRelH relativeFrom="page">
              <wp14:pctWidth>0</wp14:pctWidth>
            </wp14:sizeRelH>
            <wp14:sizeRelV relativeFrom="page">
              <wp14:pctHeight>0</wp14:pctHeight>
            </wp14:sizeRelV>
          </wp:anchor>
        </w:drawing>
      </w:r>
      <w:r w:rsidR="009F7C00">
        <w:t xml:space="preserve">Today, the leading Salesforce.com CRM partners are a “who’s Who” of the global consulting and outsourcing firms with the top 20 generating at least $50m annually from SDC implementation project services according to Forester. Each over $1b in ARR and more than 500 SFDC certified professionals. </w:t>
      </w:r>
    </w:p>
    <w:p w14:paraId="24DB35A3" w14:textId="57F4A375" w:rsidR="009F7C00" w:rsidRDefault="009F7C00">
      <w:r>
        <w:t xml:space="preserve">But in the </w:t>
      </w:r>
      <w:r w:rsidR="001C1BCF">
        <w:t xml:space="preserve">2000’s before the cloud and SaaS became mainstream, before Inbound marketing automation or analytics, or BPaaS; back when SFDC struggled to fill its onsite roadshows around the country, the CRM market was a “Wild West” of opportunities. </w:t>
      </w:r>
      <w:r w:rsidR="001C1BCF">
        <w:br/>
        <w:t xml:space="preserve"> </w:t>
      </w:r>
    </w:p>
    <w:p w14:paraId="494C53F0" w14:textId="10534934" w:rsidR="009F7C00" w:rsidRPr="009F7C00" w:rsidRDefault="009F7C00">
      <w:pPr>
        <w:rPr>
          <w:b/>
          <w:sz w:val="28"/>
          <w:szCs w:val="28"/>
        </w:rPr>
      </w:pPr>
      <w:r w:rsidRPr="009F7C00">
        <w:rPr>
          <w:b/>
          <w:sz w:val="28"/>
          <w:szCs w:val="28"/>
        </w:rPr>
        <w:t>Timeline</w:t>
      </w:r>
    </w:p>
    <w:p w14:paraId="514A516B" w14:textId="58B322C2" w:rsidR="001C1BCF" w:rsidRPr="00E76D87" w:rsidRDefault="001C1BCF" w:rsidP="009F7C00">
      <w:pPr>
        <w:pStyle w:val="ListParagraph"/>
        <w:numPr>
          <w:ilvl w:val="0"/>
          <w:numId w:val="8"/>
        </w:numPr>
      </w:pPr>
      <w:hyperlink r:id="rId9" w:history="1">
        <w:r w:rsidRPr="00E76D87">
          <w:rPr>
            <w:rStyle w:val="Hyperlink"/>
          </w:rPr>
          <w:t>20</w:t>
        </w:r>
        <w:r w:rsidRPr="00E76D87">
          <w:rPr>
            <w:rStyle w:val="Hyperlink"/>
          </w:rPr>
          <w:t>0</w:t>
        </w:r>
        <w:r w:rsidRPr="00E76D87">
          <w:rPr>
            <w:rStyle w:val="Hyperlink"/>
          </w:rPr>
          <w:t>4</w:t>
        </w:r>
      </w:hyperlink>
      <w:r w:rsidRPr="00E76D87">
        <w:t xml:space="preserve"> – SalesForce.com IPOs on the NYSE: CRM.</w:t>
      </w:r>
    </w:p>
    <w:p w14:paraId="3F9FB677" w14:textId="4BC7F68D" w:rsidR="009F7C00" w:rsidRPr="00E76D87" w:rsidRDefault="009F7C00" w:rsidP="009F7C00">
      <w:pPr>
        <w:pStyle w:val="ListParagraph"/>
        <w:numPr>
          <w:ilvl w:val="0"/>
          <w:numId w:val="8"/>
        </w:numPr>
      </w:pPr>
      <w:hyperlink r:id="rId10" w:history="1">
        <w:r w:rsidRPr="00E76D87">
          <w:rPr>
            <w:rStyle w:val="Hyperlink"/>
          </w:rPr>
          <w:t>2006</w:t>
        </w:r>
      </w:hyperlink>
      <w:r w:rsidRPr="00E76D87">
        <w:t xml:space="preserve"> – </w:t>
      </w:r>
      <w:proofErr w:type="spellStart"/>
      <w:r w:rsidRPr="00E76D87">
        <w:t>Astadia</w:t>
      </w:r>
      <w:proofErr w:type="spellEnd"/>
      <w:r w:rsidRPr="00E76D87">
        <w:t xml:space="preserve"> acquires MW Advisors, SalesForce.com CRM consulting and technology partner.</w:t>
      </w:r>
    </w:p>
    <w:p w14:paraId="726E1767" w14:textId="2FD0A9A7" w:rsidR="009F7C00" w:rsidRPr="00E76D87" w:rsidRDefault="009F7C00" w:rsidP="009F7C00">
      <w:pPr>
        <w:pStyle w:val="ListParagraph"/>
        <w:numPr>
          <w:ilvl w:val="0"/>
          <w:numId w:val="8"/>
        </w:numPr>
      </w:pPr>
      <w:hyperlink r:id="rId11" w:history="1">
        <w:r w:rsidRPr="00E76D87">
          <w:rPr>
            <w:rStyle w:val="Hyperlink"/>
          </w:rPr>
          <w:t>2008</w:t>
        </w:r>
      </w:hyperlink>
      <w:r w:rsidRPr="00E76D87">
        <w:t xml:space="preserve"> – </w:t>
      </w:r>
      <w:proofErr w:type="spellStart"/>
      <w:r w:rsidRPr="00E76D87">
        <w:t>Astadia</w:t>
      </w:r>
      <w:proofErr w:type="spellEnd"/>
      <w:r w:rsidRPr="00E76D87">
        <w:t xml:space="preserve"> acquires </w:t>
      </w:r>
      <w:proofErr w:type="spellStart"/>
      <w:r w:rsidRPr="00E76D87">
        <w:t>Theikos</w:t>
      </w:r>
      <w:proofErr w:type="spellEnd"/>
      <w:r w:rsidRPr="00E76D87">
        <w:t>.</w:t>
      </w:r>
    </w:p>
    <w:p w14:paraId="73092DD4" w14:textId="3DBF98B3" w:rsidR="00E76D87" w:rsidRPr="00E76D87" w:rsidRDefault="00E76D87" w:rsidP="009F7C00">
      <w:pPr>
        <w:pStyle w:val="ListParagraph"/>
        <w:numPr>
          <w:ilvl w:val="0"/>
          <w:numId w:val="8"/>
        </w:numPr>
      </w:pPr>
      <w:r w:rsidRPr="00E76D87">
        <w:t xml:space="preserve">2009 – SalesForce.com passes $1b in revenues. </w:t>
      </w:r>
    </w:p>
    <w:p w14:paraId="7A51E204" w14:textId="76FC8E8A" w:rsidR="00E76D87" w:rsidRPr="00E76D87" w:rsidRDefault="00E76D87" w:rsidP="009F7C00">
      <w:pPr>
        <w:pStyle w:val="ListParagraph"/>
        <w:numPr>
          <w:ilvl w:val="0"/>
          <w:numId w:val="8"/>
        </w:numPr>
      </w:pPr>
      <w:r w:rsidRPr="00E76D87">
        <w:t xml:space="preserve">2010 – Dreamforce surpasses 20,000 attendees. </w:t>
      </w:r>
    </w:p>
    <w:p w14:paraId="44DA86E8" w14:textId="23CAACB8" w:rsidR="009F7C00" w:rsidRPr="00E76D87" w:rsidRDefault="009F7C00" w:rsidP="009F7C00">
      <w:pPr>
        <w:pStyle w:val="ListParagraph"/>
        <w:numPr>
          <w:ilvl w:val="0"/>
          <w:numId w:val="8"/>
        </w:numPr>
      </w:pPr>
      <w:hyperlink r:id="rId12" w:anchor="section-overview" w:history="1">
        <w:r w:rsidRPr="00E76D87">
          <w:rPr>
            <w:rStyle w:val="Hyperlink"/>
          </w:rPr>
          <w:t>2012</w:t>
        </w:r>
      </w:hyperlink>
      <w:r w:rsidRPr="00E76D87">
        <w:t xml:space="preserve"> – The Gores Group </w:t>
      </w:r>
      <w:r w:rsidR="001C1BCF" w:rsidRPr="00E76D87">
        <w:t>acquires</w:t>
      </w:r>
      <w:r w:rsidRPr="00E76D87">
        <w:t xml:space="preserve"> and rebrands </w:t>
      </w:r>
      <w:proofErr w:type="spellStart"/>
      <w:r w:rsidRPr="00E76D87">
        <w:t>Astadia</w:t>
      </w:r>
      <w:proofErr w:type="spellEnd"/>
      <w:r w:rsidRPr="00E76D87">
        <w:t>.</w:t>
      </w:r>
      <w:r w:rsidR="001C1BCF" w:rsidRPr="00E76D87">
        <w:t xml:space="preserve"> </w:t>
      </w:r>
      <w:r w:rsidR="001C1BCF" w:rsidRPr="00E76D87">
        <w:t>CRM consolidation leads to refocus on cloud solutions beyond the CRM.</w:t>
      </w:r>
      <w:r w:rsidR="001C1BCF" w:rsidRPr="00E76D87">
        <w:br/>
      </w:r>
      <w:r w:rsidR="001C1BCF" w:rsidRPr="00E76D87">
        <w:rPr>
          <w:noProof/>
        </w:rPr>
        <w:drawing>
          <wp:inline distT="0" distB="0" distL="0" distR="0" wp14:anchorId="3AA97FFF" wp14:editId="13A0216C">
            <wp:extent cx="2505075" cy="304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008" cy="306495"/>
                    </a:xfrm>
                    <a:prstGeom prst="rect">
                      <a:avLst/>
                    </a:prstGeom>
                    <a:noFill/>
                    <a:ln>
                      <a:noFill/>
                    </a:ln>
                  </pic:spPr>
                </pic:pic>
              </a:graphicData>
            </a:graphic>
          </wp:inline>
        </w:drawing>
      </w:r>
    </w:p>
    <w:p w14:paraId="03A0056E" w14:textId="77777777" w:rsidR="00E76D87" w:rsidRPr="00E76D87" w:rsidRDefault="00E76D87" w:rsidP="00E76D87">
      <w:pPr>
        <w:pStyle w:val="ListParagraph"/>
        <w:numPr>
          <w:ilvl w:val="0"/>
          <w:numId w:val="8"/>
        </w:numPr>
      </w:pPr>
      <w:hyperlink r:id="rId14" w:history="1">
        <w:r w:rsidRPr="00E76D87">
          <w:rPr>
            <w:rStyle w:val="Hyperlink"/>
          </w:rPr>
          <w:t>2012</w:t>
        </w:r>
      </w:hyperlink>
      <w:r w:rsidRPr="00E76D87">
        <w:t xml:space="preserve"> – </w:t>
      </w:r>
      <w:proofErr w:type="spellStart"/>
      <w:r w:rsidRPr="00E76D87">
        <w:t>Bluewolf</w:t>
      </w:r>
      <w:proofErr w:type="spellEnd"/>
      <w:r w:rsidRPr="00E76D87">
        <w:t xml:space="preserve"> acquires </w:t>
      </w:r>
      <w:proofErr w:type="spellStart"/>
      <w:r w:rsidRPr="00E76D87">
        <w:t>Velteo</w:t>
      </w:r>
      <w:proofErr w:type="spellEnd"/>
      <w:r w:rsidRPr="00E76D87">
        <w:t>.</w:t>
      </w:r>
    </w:p>
    <w:p w14:paraId="2CFCF3B3" w14:textId="19AE5C48" w:rsidR="00E76D87" w:rsidRDefault="00E76D87" w:rsidP="00E76D87">
      <w:pPr>
        <w:pStyle w:val="ListParagraph"/>
        <w:numPr>
          <w:ilvl w:val="0"/>
          <w:numId w:val="8"/>
        </w:numPr>
      </w:pPr>
      <w:hyperlink r:id="rId15" w:anchor="section-overview" w:history="1">
        <w:r w:rsidRPr="00E76D87">
          <w:rPr>
            <w:rStyle w:val="Hyperlink"/>
          </w:rPr>
          <w:t>2016</w:t>
        </w:r>
      </w:hyperlink>
      <w:r w:rsidRPr="00E76D87">
        <w:t xml:space="preserve"> – IBM acquires </w:t>
      </w:r>
      <w:proofErr w:type="spellStart"/>
      <w:r w:rsidRPr="00E76D87">
        <w:t>Blueworlf</w:t>
      </w:r>
      <w:proofErr w:type="spellEnd"/>
      <w:r w:rsidRPr="00E76D87">
        <w:t xml:space="preserve"> for $200m. </w:t>
      </w:r>
    </w:p>
    <w:p w14:paraId="511702A8" w14:textId="65767B05" w:rsidR="00DB3BB5" w:rsidRPr="00E76D87" w:rsidRDefault="00DB3BB5" w:rsidP="00E76D87">
      <w:pPr>
        <w:pStyle w:val="ListParagraph"/>
        <w:numPr>
          <w:ilvl w:val="0"/>
          <w:numId w:val="8"/>
        </w:numPr>
      </w:pPr>
      <w:hyperlink r:id="rId16" w:anchor="section-overview" w:history="1">
        <w:r w:rsidRPr="00DB3BB5">
          <w:rPr>
            <w:rStyle w:val="Hyperlink"/>
          </w:rPr>
          <w:t>2016</w:t>
        </w:r>
      </w:hyperlink>
      <w:r>
        <w:t xml:space="preserve"> – </w:t>
      </w:r>
      <w:proofErr w:type="spellStart"/>
      <w:r>
        <w:t>Appirio</w:t>
      </w:r>
      <w:proofErr w:type="spellEnd"/>
      <w:r>
        <w:t xml:space="preserve"> acquired by Wipro for $500m.</w:t>
      </w:r>
    </w:p>
    <w:p w14:paraId="28073C56" w14:textId="76B03547" w:rsidR="009F7C00" w:rsidRPr="00E76D87" w:rsidRDefault="009F7C00" w:rsidP="009F7C00">
      <w:pPr>
        <w:pStyle w:val="ListParagraph"/>
        <w:numPr>
          <w:ilvl w:val="0"/>
          <w:numId w:val="8"/>
        </w:numPr>
      </w:pPr>
      <w:hyperlink r:id="rId17" w:history="1">
        <w:r w:rsidRPr="00E76D87">
          <w:rPr>
            <w:rStyle w:val="Hyperlink"/>
          </w:rPr>
          <w:t>2018</w:t>
        </w:r>
      </w:hyperlink>
      <w:r w:rsidRPr="00E76D87">
        <w:t xml:space="preserve"> – Growth capital financing to focus on mainframe to cloud modernization across Microsoft, Amazon, Oracle, Micro Focus. </w:t>
      </w:r>
    </w:p>
    <w:p w14:paraId="47D5B9CD" w14:textId="0446BC17" w:rsidR="00E76D87" w:rsidRDefault="00E76D87" w:rsidP="00E76D87">
      <w:pPr>
        <w:pStyle w:val="ListParagraph"/>
        <w:numPr>
          <w:ilvl w:val="0"/>
          <w:numId w:val="8"/>
        </w:numPr>
      </w:pPr>
      <w:hyperlink r:id="rId18" w:history="1">
        <w:r w:rsidRPr="00E76D87">
          <w:rPr>
            <w:rStyle w:val="Hyperlink"/>
          </w:rPr>
          <w:t>2018</w:t>
        </w:r>
      </w:hyperlink>
      <w:r w:rsidRPr="00E76D87">
        <w:t xml:space="preserve"> – More than 160,000 attendees at Dreamforce across 2700 sessions. </w:t>
      </w:r>
    </w:p>
    <w:p w14:paraId="28AA823E" w14:textId="77777777" w:rsidR="00DB3BB5" w:rsidRDefault="00DB3BB5" w:rsidP="00DB3BB5">
      <w:pPr>
        <w:pStyle w:val="ListParagraph"/>
        <w:pBdr>
          <w:bottom w:val="single" w:sz="4" w:space="1" w:color="auto"/>
        </w:pBdr>
        <w:ind w:left="360"/>
      </w:pPr>
    </w:p>
    <w:tbl>
      <w:tblPr>
        <w:tblStyle w:val="TableGrid"/>
        <w:tblW w:w="0" w:type="auto"/>
        <w:tblLook w:val="04A0" w:firstRow="1" w:lastRow="0" w:firstColumn="1" w:lastColumn="0" w:noHBand="0" w:noVBand="1"/>
      </w:tblPr>
      <w:tblGrid>
        <w:gridCol w:w="2605"/>
        <w:gridCol w:w="2235"/>
        <w:gridCol w:w="1725"/>
        <w:gridCol w:w="2785"/>
      </w:tblGrid>
      <w:tr w:rsidR="00E76D87" w14:paraId="0CC861AB" w14:textId="77777777" w:rsidTr="00DB3BB5">
        <w:tc>
          <w:tcPr>
            <w:tcW w:w="9350" w:type="dxa"/>
            <w:gridSpan w:val="4"/>
            <w:tcBorders>
              <w:top w:val="nil"/>
              <w:left w:val="nil"/>
              <w:bottom w:val="single" w:sz="4" w:space="0" w:color="auto"/>
              <w:right w:val="nil"/>
            </w:tcBorders>
          </w:tcPr>
          <w:p w14:paraId="3E097B34" w14:textId="29F202BC" w:rsidR="00E76D87" w:rsidRPr="00DB3BB5" w:rsidRDefault="00E76D87" w:rsidP="00DB3BB5">
            <w:pPr>
              <w:rPr>
                <w:b/>
                <w:sz w:val="24"/>
                <w:szCs w:val="24"/>
              </w:rPr>
            </w:pPr>
            <w:r w:rsidRPr="00DB3BB5">
              <w:rPr>
                <w:b/>
                <w:color w:val="000000" w:themeColor="text1"/>
                <w:sz w:val="24"/>
                <w:szCs w:val="24"/>
              </w:rPr>
              <w:t>SalesForce.com Platinum Partners</w:t>
            </w:r>
            <w:r w:rsidRPr="00DB3BB5">
              <w:rPr>
                <w:b/>
                <w:color w:val="000000" w:themeColor="text1"/>
                <w:sz w:val="24"/>
                <w:szCs w:val="24"/>
              </w:rPr>
              <w:t xml:space="preserve"> </w:t>
            </w:r>
            <w:hyperlink r:id="rId19" w:history="1">
              <w:r w:rsidRPr="00DB3BB5">
                <w:rPr>
                  <w:rStyle w:val="Hyperlink"/>
                  <w:b/>
                  <w:color w:val="000000" w:themeColor="text1"/>
                  <w:sz w:val="24"/>
                  <w:szCs w:val="24"/>
                  <w:u w:val="none"/>
                </w:rPr>
                <w:t>2007</w:t>
              </w:r>
            </w:hyperlink>
            <w:r w:rsidRPr="00DB3BB5">
              <w:rPr>
                <w:b/>
                <w:color w:val="000000" w:themeColor="text1"/>
                <w:sz w:val="24"/>
                <w:szCs w:val="24"/>
              </w:rPr>
              <w:t xml:space="preserve"> to 2010 </w:t>
            </w:r>
            <w:hyperlink r:id="rId20" w:history="1">
              <w:r w:rsidRPr="00DB3BB5">
                <w:rPr>
                  <w:rStyle w:val="Hyperlink"/>
                  <w:b/>
                  <w:color w:val="000000" w:themeColor="text1"/>
                  <w:sz w:val="24"/>
                  <w:szCs w:val="24"/>
                  <w:u w:val="none"/>
                </w:rPr>
                <w:t>to</w:t>
              </w:r>
            </w:hyperlink>
            <w:r w:rsidRPr="00DB3BB5">
              <w:rPr>
                <w:b/>
                <w:color w:val="000000" w:themeColor="text1"/>
                <w:sz w:val="24"/>
                <w:szCs w:val="24"/>
              </w:rPr>
              <w:t xml:space="preserve"> 2018</w:t>
            </w:r>
          </w:p>
        </w:tc>
      </w:tr>
      <w:tr w:rsidR="00E76D87" w14:paraId="575041DE" w14:textId="77777777" w:rsidTr="00DB3BB5">
        <w:tc>
          <w:tcPr>
            <w:tcW w:w="2605" w:type="dxa"/>
            <w:tcBorders>
              <w:top w:val="single" w:sz="4" w:space="0" w:color="auto"/>
              <w:left w:val="nil"/>
              <w:bottom w:val="nil"/>
              <w:right w:val="single" w:sz="4" w:space="0" w:color="auto"/>
            </w:tcBorders>
            <w:shd w:val="clear" w:color="auto" w:fill="auto"/>
          </w:tcPr>
          <w:p w14:paraId="7E57A68C" w14:textId="4698D982" w:rsidR="00E76D87" w:rsidRPr="00DB3BB5" w:rsidRDefault="00E76D87" w:rsidP="00DB3BB5">
            <w:pPr>
              <w:rPr>
                <w:sz w:val="20"/>
              </w:rPr>
            </w:pPr>
            <w:proofErr w:type="spellStart"/>
            <w:r w:rsidRPr="00DB3BB5">
              <w:rPr>
                <w:sz w:val="20"/>
              </w:rPr>
              <w:t>Appirio</w:t>
            </w:r>
            <w:proofErr w:type="spellEnd"/>
            <w:r w:rsidRPr="00DB3BB5">
              <w:rPr>
                <w:sz w:val="20"/>
              </w:rPr>
              <w:t xml:space="preserve">, </w:t>
            </w:r>
            <w:proofErr w:type="spellStart"/>
            <w:r w:rsidRPr="00DB3BB5">
              <w:rPr>
                <w:sz w:val="20"/>
              </w:rPr>
              <w:t>Astadia</w:t>
            </w:r>
            <w:proofErr w:type="spellEnd"/>
            <w:r w:rsidRPr="00DB3BB5">
              <w:rPr>
                <w:sz w:val="20"/>
              </w:rPr>
              <w:t xml:space="preserve">, </w:t>
            </w:r>
            <w:proofErr w:type="spellStart"/>
            <w:r w:rsidRPr="00DB3BB5">
              <w:rPr>
                <w:sz w:val="20"/>
              </w:rPr>
              <w:t>Bluewolf</w:t>
            </w:r>
            <w:proofErr w:type="spellEnd"/>
            <w:r w:rsidRPr="00DB3BB5">
              <w:rPr>
                <w:sz w:val="20"/>
              </w:rPr>
              <w:t xml:space="preserve">, </w:t>
            </w:r>
            <w:r w:rsidR="00DB3BB5">
              <w:rPr>
                <w:sz w:val="20"/>
              </w:rPr>
              <w:br/>
            </w:r>
            <w:r w:rsidRPr="00DB3BB5">
              <w:rPr>
                <w:sz w:val="20"/>
              </w:rPr>
              <w:t>BMC Software, CA, Callidus, D&amp;B, and Deloitte.</w:t>
            </w:r>
          </w:p>
        </w:tc>
        <w:tc>
          <w:tcPr>
            <w:tcW w:w="3960" w:type="dxa"/>
            <w:gridSpan w:val="2"/>
            <w:tcBorders>
              <w:top w:val="single" w:sz="4" w:space="0" w:color="auto"/>
              <w:left w:val="single" w:sz="4" w:space="0" w:color="auto"/>
              <w:bottom w:val="nil"/>
              <w:right w:val="single" w:sz="4" w:space="0" w:color="auto"/>
            </w:tcBorders>
            <w:shd w:val="clear" w:color="auto" w:fill="auto"/>
          </w:tcPr>
          <w:p w14:paraId="039D495E" w14:textId="4EC6DCF6" w:rsidR="00E76D87" w:rsidRPr="00DB3BB5" w:rsidRDefault="00E76D87" w:rsidP="00DB3BB5">
            <w:pPr>
              <w:rPr>
                <w:sz w:val="20"/>
              </w:rPr>
            </w:pPr>
            <w:r w:rsidRPr="00DB3BB5">
              <w:rPr>
                <w:sz w:val="20"/>
              </w:rPr>
              <w:t xml:space="preserve">Accenture, </w:t>
            </w:r>
            <w:proofErr w:type="spellStart"/>
            <w:r w:rsidRPr="00DB3BB5">
              <w:rPr>
                <w:sz w:val="20"/>
              </w:rPr>
              <w:t>Appirio</w:t>
            </w:r>
            <w:proofErr w:type="spellEnd"/>
            <w:r w:rsidRPr="00DB3BB5">
              <w:rPr>
                <w:sz w:val="20"/>
              </w:rPr>
              <w:t xml:space="preserve">, </w:t>
            </w:r>
            <w:proofErr w:type="spellStart"/>
            <w:r w:rsidRPr="00DB3BB5">
              <w:rPr>
                <w:sz w:val="20"/>
              </w:rPr>
              <w:t>Astadia</w:t>
            </w:r>
            <w:proofErr w:type="spellEnd"/>
            <w:r w:rsidRPr="00DB3BB5">
              <w:rPr>
                <w:sz w:val="20"/>
              </w:rPr>
              <w:t xml:space="preserve">, </w:t>
            </w:r>
            <w:proofErr w:type="spellStart"/>
            <w:r w:rsidRPr="00DB3BB5">
              <w:rPr>
                <w:sz w:val="20"/>
              </w:rPr>
              <w:t>Bluewolf</w:t>
            </w:r>
            <w:proofErr w:type="spellEnd"/>
            <w:r w:rsidRPr="00DB3BB5">
              <w:rPr>
                <w:sz w:val="20"/>
              </w:rPr>
              <w:t>, BMC, CA Technologies, Deloitte, D</w:t>
            </w:r>
            <w:r w:rsidR="00DB3BB5">
              <w:rPr>
                <w:sz w:val="20"/>
              </w:rPr>
              <w:t>&amp;B</w:t>
            </w:r>
            <w:r w:rsidRPr="00DB3BB5">
              <w:rPr>
                <w:sz w:val="20"/>
              </w:rPr>
              <w:t>., Eloqua, Marketo, Model Metrics Inc. and Wipro Limited.</w:t>
            </w:r>
          </w:p>
        </w:tc>
        <w:tc>
          <w:tcPr>
            <w:tcW w:w="2785" w:type="dxa"/>
            <w:tcBorders>
              <w:top w:val="single" w:sz="4" w:space="0" w:color="auto"/>
              <w:left w:val="single" w:sz="4" w:space="0" w:color="auto"/>
              <w:bottom w:val="single" w:sz="4" w:space="0" w:color="auto"/>
              <w:right w:val="nil"/>
            </w:tcBorders>
            <w:shd w:val="clear" w:color="auto" w:fill="auto"/>
          </w:tcPr>
          <w:p w14:paraId="44143C0B" w14:textId="5CDD501E" w:rsidR="00E76D87" w:rsidRPr="00DB3BB5" w:rsidRDefault="00E76D87" w:rsidP="00DB3BB5">
            <w:pPr>
              <w:rPr>
                <w:sz w:val="20"/>
              </w:rPr>
            </w:pPr>
            <w:r w:rsidRPr="00DB3BB5">
              <w:rPr>
                <w:sz w:val="20"/>
              </w:rPr>
              <w:t xml:space="preserve">Global </w:t>
            </w:r>
            <w:r w:rsidR="00DB3BB5" w:rsidRPr="00DB3BB5">
              <w:rPr>
                <w:sz w:val="20"/>
              </w:rPr>
              <w:t xml:space="preserve">BPO, IT, Accounting, Consulting </w:t>
            </w:r>
            <w:r w:rsidRPr="00DB3BB5">
              <w:rPr>
                <w:sz w:val="20"/>
              </w:rPr>
              <w:t xml:space="preserve">Leaders </w:t>
            </w:r>
          </w:p>
        </w:tc>
      </w:tr>
      <w:tr w:rsidR="00DB3BB5" w14:paraId="78444171" w14:textId="77777777" w:rsidTr="00DB3BB5">
        <w:tc>
          <w:tcPr>
            <w:tcW w:w="6565" w:type="dxa"/>
            <w:gridSpan w:val="3"/>
            <w:tcBorders>
              <w:top w:val="single" w:sz="4" w:space="0" w:color="auto"/>
              <w:left w:val="nil"/>
              <w:bottom w:val="single" w:sz="4" w:space="0" w:color="auto"/>
              <w:right w:val="single" w:sz="4" w:space="0" w:color="auto"/>
            </w:tcBorders>
          </w:tcPr>
          <w:p w14:paraId="35B2F60E" w14:textId="00D9179C" w:rsidR="00DB3BB5" w:rsidRPr="00DB3BB5" w:rsidRDefault="00DB3BB5" w:rsidP="00E76D87">
            <w:pPr>
              <w:rPr>
                <w:rFonts w:cstheme="minorHAnsi"/>
                <w:b/>
                <w:color w:val="222222"/>
                <w:sz w:val="24"/>
                <w:szCs w:val="24"/>
                <w:shd w:val="clear" w:color="auto" w:fill="F4F4F4"/>
              </w:rPr>
            </w:pPr>
            <w:r w:rsidRPr="00DB3BB5">
              <w:rPr>
                <w:rFonts w:cstheme="minorHAnsi"/>
                <w:b/>
                <w:color w:val="000000" w:themeColor="text1"/>
                <w:sz w:val="24"/>
                <w:szCs w:val="24"/>
                <w:shd w:val="clear" w:color="auto" w:fill="FFFFFF"/>
              </w:rPr>
              <w:t>SFDC App Partners from 2006 to 2011</w:t>
            </w:r>
          </w:p>
        </w:tc>
        <w:tc>
          <w:tcPr>
            <w:tcW w:w="2785" w:type="dxa"/>
            <w:vMerge w:val="restart"/>
            <w:tcBorders>
              <w:top w:val="single" w:sz="4" w:space="0" w:color="auto"/>
              <w:left w:val="single" w:sz="4" w:space="0" w:color="auto"/>
              <w:bottom w:val="nil"/>
              <w:right w:val="nil"/>
            </w:tcBorders>
          </w:tcPr>
          <w:p w14:paraId="2D9640E4" w14:textId="4079D6DF" w:rsidR="00DB3BB5" w:rsidRDefault="00DB3BB5" w:rsidP="00DB3BB5">
            <w:pPr>
              <w:jc w:val="center"/>
            </w:pPr>
            <w:r>
              <w:br/>
              <w:t>Thousands</w:t>
            </w:r>
          </w:p>
        </w:tc>
      </w:tr>
      <w:tr w:rsidR="00DB3BB5" w14:paraId="358F468F" w14:textId="77777777" w:rsidTr="00DB3BB5">
        <w:tc>
          <w:tcPr>
            <w:tcW w:w="2605" w:type="dxa"/>
            <w:tcBorders>
              <w:top w:val="single" w:sz="4" w:space="0" w:color="auto"/>
              <w:left w:val="nil"/>
              <w:bottom w:val="nil"/>
              <w:right w:val="single" w:sz="4" w:space="0" w:color="auto"/>
            </w:tcBorders>
          </w:tcPr>
          <w:p w14:paraId="77497F45" w14:textId="77777777" w:rsidR="00DB3BB5" w:rsidRPr="00DB3BB5" w:rsidRDefault="00DB3BB5" w:rsidP="00E76D87">
            <w:pPr>
              <w:rPr>
                <w:rFonts w:cstheme="minorHAnsi"/>
                <w:color w:val="000000"/>
                <w:sz w:val="20"/>
                <w:szCs w:val="20"/>
                <w:shd w:val="clear" w:color="auto" w:fill="FFFFFF"/>
              </w:rPr>
            </w:pPr>
            <w:r w:rsidRPr="00DB3BB5">
              <w:rPr>
                <w:rFonts w:cstheme="minorHAnsi"/>
                <w:color w:val="000000"/>
                <w:sz w:val="20"/>
                <w:szCs w:val="20"/>
                <w:shd w:val="clear" w:color="auto" w:fill="FFFFFF"/>
              </w:rPr>
              <w:t>Eloqua</w:t>
            </w:r>
          </w:p>
          <w:p w14:paraId="7FBBB841" w14:textId="7834D2FE" w:rsidR="00DB3BB5" w:rsidRPr="00DB3BB5" w:rsidRDefault="00DB3BB5" w:rsidP="00E76D87">
            <w:pPr>
              <w:rPr>
                <w:rFonts w:cstheme="minorHAnsi"/>
                <w:color w:val="000000"/>
                <w:sz w:val="20"/>
                <w:szCs w:val="20"/>
                <w:shd w:val="clear" w:color="auto" w:fill="FFFFFF"/>
              </w:rPr>
            </w:pPr>
            <w:r w:rsidRPr="00DB3BB5">
              <w:rPr>
                <w:rFonts w:cstheme="minorHAnsi"/>
                <w:color w:val="000000"/>
                <w:sz w:val="20"/>
                <w:szCs w:val="20"/>
                <w:shd w:val="clear" w:color="auto" w:fill="FFFFFF"/>
              </w:rPr>
              <w:t>Exactly</w:t>
            </w:r>
          </w:p>
        </w:tc>
        <w:tc>
          <w:tcPr>
            <w:tcW w:w="2235" w:type="dxa"/>
            <w:tcBorders>
              <w:top w:val="single" w:sz="4" w:space="0" w:color="auto"/>
              <w:left w:val="single" w:sz="4" w:space="0" w:color="auto"/>
              <w:bottom w:val="nil"/>
              <w:right w:val="nil"/>
            </w:tcBorders>
          </w:tcPr>
          <w:p w14:paraId="36EEF266" w14:textId="77777777" w:rsidR="00DB3BB5" w:rsidRPr="00DB3BB5" w:rsidRDefault="00DB3BB5" w:rsidP="00E76D87">
            <w:pPr>
              <w:rPr>
                <w:rFonts w:cstheme="minorHAnsi"/>
                <w:color w:val="222222"/>
                <w:sz w:val="20"/>
                <w:szCs w:val="20"/>
                <w:shd w:val="clear" w:color="auto" w:fill="F4F4F4"/>
              </w:rPr>
            </w:pPr>
            <w:proofErr w:type="spellStart"/>
            <w:r w:rsidRPr="00DB3BB5">
              <w:rPr>
                <w:rFonts w:cstheme="minorHAnsi"/>
                <w:color w:val="222222"/>
                <w:sz w:val="20"/>
                <w:szCs w:val="20"/>
                <w:shd w:val="clear" w:color="auto" w:fill="F4F4F4"/>
              </w:rPr>
              <w:t>JobScience</w:t>
            </w:r>
            <w:proofErr w:type="spellEnd"/>
          </w:p>
          <w:p w14:paraId="5EC01656" w14:textId="77777777" w:rsidR="00DB3BB5" w:rsidRPr="00DB3BB5" w:rsidRDefault="00DB3BB5" w:rsidP="00E76D87">
            <w:pPr>
              <w:rPr>
                <w:rFonts w:cstheme="minorHAnsi"/>
                <w:color w:val="222222"/>
                <w:sz w:val="20"/>
                <w:szCs w:val="20"/>
                <w:shd w:val="clear" w:color="auto" w:fill="F4F4F4"/>
              </w:rPr>
            </w:pPr>
            <w:proofErr w:type="spellStart"/>
            <w:r w:rsidRPr="00DB3BB5">
              <w:rPr>
                <w:rFonts w:cstheme="minorHAnsi"/>
                <w:color w:val="222222"/>
                <w:sz w:val="20"/>
                <w:szCs w:val="20"/>
                <w:shd w:val="clear" w:color="auto" w:fill="F4F4F4"/>
              </w:rPr>
              <w:t>ServiceMax</w:t>
            </w:r>
            <w:proofErr w:type="spellEnd"/>
          </w:p>
          <w:p w14:paraId="3BAFA3B8" w14:textId="77777777" w:rsidR="00DB3BB5" w:rsidRPr="00DB3BB5" w:rsidRDefault="00DB3BB5" w:rsidP="00E76D87">
            <w:pPr>
              <w:rPr>
                <w:rFonts w:cstheme="minorHAnsi"/>
                <w:color w:val="222222"/>
                <w:sz w:val="20"/>
                <w:szCs w:val="20"/>
                <w:shd w:val="clear" w:color="auto" w:fill="F4F4F4"/>
              </w:rPr>
            </w:pPr>
            <w:proofErr w:type="spellStart"/>
            <w:r w:rsidRPr="00DB3BB5">
              <w:rPr>
                <w:rFonts w:cstheme="minorHAnsi"/>
                <w:color w:val="222222"/>
                <w:sz w:val="20"/>
                <w:szCs w:val="20"/>
                <w:shd w:val="clear" w:color="auto" w:fill="F4F4F4"/>
              </w:rPr>
              <w:t>Docusign</w:t>
            </w:r>
            <w:proofErr w:type="spellEnd"/>
          </w:p>
          <w:p w14:paraId="230770EE" w14:textId="7F6A67E2" w:rsidR="00DB3BB5" w:rsidRPr="00DB3BB5" w:rsidRDefault="00DB3BB5" w:rsidP="00E76D87">
            <w:pPr>
              <w:rPr>
                <w:rFonts w:cstheme="minorHAnsi"/>
                <w:color w:val="222222"/>
                <w:sz w:val="20"/>
                <w:szCs w:val="20"/>
                <w:shd w:val="clear" w:color="auto" w:fill="F4F4F4"/>
              </w:rPr>
            </w:pPr>
            <w:r w:rsidRPr="00DB3BB5">
              <w:rPr>
                <w:rFonts w:cstheme="minorHAnsi"/>
                <w:color w:val="222222"/>
                <w:sz w:val="20"/>
                <w:szCs w:val="20"/>
                <w:shd w:val="clear" w:color="auto" w:fill="F4F4F4"/>
              </w:rPr>
              <w:t>FinancialForce</w:t>
            </w:r>
          </w:p>
        </w:tc>
        <w:tc>
          <w:tcPr>
            <w:tcW w:w="1725" w:type="dxa"/>
            <w:tcBorders>
              <w:top w:val="single" w:sz="4" w:space="0" w:color="auto"/>
              <w:left w:val="nil"/>
              <w:bottom w:val="nil"/>
              <w:right w:val="single" w:sz="4" w:space="0" w:color="auto"/>
            </w:tcBorders>
          </w:tcPr>
          <w:p w14:paraId="2F4EF023" w14:textId="77777777" w:rsidR="00DB3BB5" w:rsidRPr="00DB3BB5" w:rsidRDefault="00DB3BB5" w:rsidP="00DB3BB5">
            <w:pPr>
              <w:rPr>
                <w:rFonts w:cstheme="minorHAnsi"/>
                <w:sz w:val="20"/>
                <w:szCs w:val="20"/>
              </w:rPr>
            </w:pPr>
            <w:r w:rsidRPr="00DB3BB5">
              <w:rPr>
                <w:rFonts w:cstheme="minorHAnsi"/>
                <w:sz w:val="20"/>
                <w:szCs w:val="20"/>
              </w:rPr>
              <w:t>Blackbaud</w:t>
            </w:r>
          </w:p>
          <w:p w14:paraId="526CC1AB" w14:textId="77777777" w:rsidR="00DB3BB5" w:rsidRPr="00DB3BB5" w:rsidRDefault="00DB3BB5" w:rsidP="00DB3BB5">
            <w:pPr>
              <w:rPr>
                <w:rFonts w:cstheme="minorHAnsi"/>
                <w:sz w:val="20"/>
                <w:szCs w:val="20"/>
              </w:rPr>
            </w:pPr>
            <w:r w:rsidRPr="00DB3BB5">
              <w:rPr>
                <w:rFonts w:cstheme="minorHAnsi"/>
                <w:sz w:val="20"/>
                <w:szCs w:val="20"/>
              </w:rPr>
              <w:t>LinkedIn</w:t>
            </w:r>
          </w:p>
          <w:p w14:paraId="090FCC94" w14:textId="77777777" w:rsidR="00DB3BB5" w:rsidRPr="00DB3BB5" w:rsidRDefault="00DB3BB5" w:rsidP="00DB3BB5">
            <w:pPr>
              <w:rPr>
                <w:rFonts w:cstheme="minorHAnsi"/>
                <w:color w:val="222222"/>
                <w:sz w:val="20"/>
                <w:szCs w:val="20"/>
                <w:shd w:val="clear" w:color="auto" w:fill="F4F4F4"/>
              </w:rPr>
            </w:pPr>
            <w:r w:rsidRPr="00DB3BB5">
              <w:rPr>
                <w:rFonts w:cstheme="minorHAnsi"/>
                <w:color w:val="222222"/>
                <w:sz w:val="20"/>
                <w:szCs w:val="20"/>
                <w:shd w:val="clear" w:color="auto" w:fill="F4F4F4"/>
              </w:rPr>
              <w:t>Ariba</w:t>
            </w:r>
          </w:p>
          <w:p w14:paraId="5F98A52D" w14:textId="28454176" w:rsidR="00DB3BB5" w:rsidRPr="00DB3BB5" w:rsidRDefault="00DB3BB5" w:rsidP="00DB3BB5">
            <w:pPr>
              <w:rPr>
                <w:rFonts w:cstheme="minorHAnsi"/>
                <w:color w:val="222222"/>
                <w:sz w:val="20"/>
                <w:szCs w:val="20"/>
                <w:shd w:val="clear" w:color="auto" w:fill="F4F4F4"/>
              </w:rPr>
            </w:pPr>
            <w:proofErr w:type="spellStart"/>
            <w:r w:rsidRPr="00DB3BB5">
              <w:rPr>
                <w:rFonts w:cstheme="minorHAnsi"/>
                <w:color w:val="222222"/>
                <w:sz w:val="20"/>
                <w:szCs w:val="20"/>
                <w:shd w:val="clear" w:color="auto" w:fill="F4F4F4"/>
              </w:rPr>
              <w:t>Zuro</w:t>
            </w:r>
            <w:proofErr w:type="spellEnd"/>
          </w:p>
        </w:tc>
        <w:tc>
          <w:tcPr>
            <w:tcW w:w="2785" w:type="dxa"/>
            <w:vMerge/>
            <w:tcBorders>
              <w:top w:val="nil"/>
              <w:left w:val="single" w:sz="4" w:space="0" w:color="auto"/>
              <w:bottom w:val="nil"/>
              <w:right w:val="nil"/>
            </w:tcBorders>
          </w:tcPr>
          <w:p w14:paraId="7E058A15" w14:textId="27B03E33" w:rsidR="00DB3BB5" w:rsidRDefault="00DB3BB5" w:rsidP="00E76D87"/>
        </w:tc>
      </w:tr>
    </w:tbl>
    <w:p w14:paraId="2983B58E" w14:textId="6B60ED07" w:rsidR="002116C1" w:rsidRDefault="00D551C8" w:rsidP="0046445C">
      <w:pPr>
        <w:rPr>
          <w:sz w:val="36"/>
          <w:szCs w:val="36"/>
        </w:rPr>
      </w:pPr>
      <w:r>
        <w:rPr>
          <w:sz w:val="36"/>
          <w:szCs w:val="36"/>
        </w:rPr>
        <w:lastRenderedPageBreak/>
        <w:t xml:space="preserve">Fractional Outsourced HR Services: </w:t>
      </w:r>
      <w:proofErr w:type="spellStart"/>
      <w:r w:rsidRPr="00D551C8">
        <w:rPr>
          <w:sz w:val="36"/>
          <w:szCs w:val="36"/>
        </w:rPr>
        <w:t>tHRive</w:t>
      </w:r>
      <w:proofErr w:type="spellEnd"/>
      <w:r w:rsidRPr="00D551C8">
        <w:rPr>
          <w:sz w:val="36"/>
          <w:szCs w:val="36"/>
        </w:rPr>
        <w:t xml:space="preserve"> Impact Statement </w:t>
      </w:r>
    </w:p>
    <w:p w14:paraId="00721903" w14:textId="13AA54CA" w:rsidR="00167E3F" w:rsidRDefault="00167E3F" w:rsidP="00167E3F">
      <w:pPr>
        <w:jc w:val="center"/>
        <w:rPr>
          <w:sz w:val="36"/>
          <w:szCs w:val="36"/>
        </w:rPr>
      </w:pPr>
      <w:r w:rsidRPr="00167E3F">
        <w:rPr>
          <w:i/>
          <w:sz w:val="28"/>
          <w:szCs w:val="36"/>
        </w:rPr>
        <w:t xml:space="preserve">From HR Staffing to an award winning </w:t>
      </w:r>
      <w:r w:rsidR="00425BBF">
        <w:rPr>
          <w:i/>
          <w:sz w:val="28"/>
          <w:szCs w:val="36"/>
        </w:rPr>
        <w:t xml:space="preserve">HRO </w:t>
      </w:r>
      <w:r w:rsidRPr="00167E3F">
        <w:rPr>
          <w:i/>
          <w:sz w:val="28"/>
          <w:szCs w:val="36"/>
        </w:rPr>
        <w:t>model</w:t>
      </w:r>
      <w:r>
        <w:rPr>
          <w:i/>
          <w:sz w:val="28"/>
          <w:szCs w:val="36"/>
        </w:rPr>
        <w:t>.</w:t>
      </w:r>
    </w:p>
    <w:p w14:paraId="57F06EDB" w14:textId="6E9B9BD6" w:rsidR="00D551C8" w:rsidRDefault="00D551C8" w:rsidP="00D551C8">
      <w:r w:rsidRPr="00D551C8">
        <w:rPr>
          <w:smallCaps/>
        </w:rPr>
        <w:t>Situation:</w:t>
      </w:r>
      <w:r w:rsidRPr="00D551C8">
        <w:t xml:space="preserve"> A staffing provider with $1M in revenues </w:t>
      </w:r>
      <w:r>
        <w:t xml:space="preserve">and </w:t>
      </w:r>
      <w:r w:rsidRPr="00D551C8">
        <w:t xml:space="preserve">10 employees had the idea to </w:t>
      </w:r>
      <w:r w:rsidR="00425BBF" w:rsidRPr="00425BBF">
        <w:rPr>
          <w:b/>
        </w:rPr>
        <w:t>package</w:t>
      </w:r>
      <w:r w:rsidRPr="00425BBF">
        <w:rPr>
          <w:b/>
        </w:rPr>
        <w:t xml:space="preserve"> HR Directors with </w:t>
      </w:r>
      <w:r w:rsidR="00425BBF" w:rsidRPr="00425BBF">
        <w:rPr>
          <w:b/>
        </w:rPr>
        <w:t xml:space="preserve">bundled </w:t>
      </w:r>
      <w:r w:rsidRPr="00425BBF">
        <w:rPr>
          <w:b/>
        </w:rPr>
        <w:t>HR Shared Services</w:t>
      </w:r>
      <w:r w:rsidRPr="00D551C8">
        <w:t xml:space="preserve"> to provide </w:t>
      </w:r>
      <w:r w:rsidR="00425BBF">
        <w:t xml:space="preserve">functional </w:t>
      </w:r>
      <w:r w:rsidRPr="00D551C8">
        <w:t xml:space="preserve">HR </w:t>
      </w:r>
      <w:r w:rsidR="00425BBF">
        <w:t xml:space="preserve">solutions </w:t>
      </w:r>
      <w:proofErr w:type="spellStart"/>
      <w:r w:rsidR="00425BBF">
        <w:t>to</w:t>
      </w:r>
      <w:proofErr w:type="spellEnd"/>
      <w:r w:rsidR="00425BBF">
        <w:t xml:space="preserve"> </w:t>
      </w:r>
      <w:r w:rsidRPr="00D551C8">
        <w:t>small to medium businesses</w:t>
      </w:r>
      <w:r w:rsidR="00425BBF">
        <w:t xml:space="preserve"> which had outgrown their CPA, Broker, and Payroll service provider</w:t>
      </w:r>
      <w:r w:rsidRPr="00D551C8">
        <w:t>.</w:t>
      </w:r>
    </w:p>
    <w:p w14:paraId="5EC38FB3" w14:textId="2A3A0F26" w:rsidR="00D551C8" w:rsidRPr="00D551C8" w:rsidRDefault="00D551C8" w:rsidP="0046445C">
      <w:pPr>
        <w:rPr>
          <w:smallCaps/>
        </w:rPr>
      </w:pPr>
      <w:r w:rsidRPr="00D551C8">
        <w:rPr>
          <w:smallCaps/>
        </w:rPr>
        <w:t xml:space="preserve">Results: </w:t>
      </w:r>
      <w:r w:rsidRPr="00D551C8">
        <w:t>Improved field level EBITDA from breakeven to double digit profitability</w:t>
      </w:r>
      <w:r>
        <w:t xml:space="preserve"> and recognized by </w:t>
      </w:r>
      <w:r w:rsidRPr="00D551C8">
        <w:rPr>
          <w:b/>
        </w:rPr>
        <w:t xml:space="preserve">Best Places to Wok, INC 5000, Houston Fast 100, </w:t>
      </w:r>
      <w:r w:rsidR="00425BBF">
        <w:rPr>
          <w:b/>
        </w:rPr>
        <w:t xml:space="preserve">and the Texas A&amp;M </w:t>
      </w:r>
      <w:r w:rsidRPr="00D551C8">
        <w:rPr>
          <w:b/>
        </w:rPr>
        <w:t>Aggie Top 100.</w:t>
      </w:r>
      <w:r w:rsidRPr="00D551C8">
        <w:rPr>
          <w:b/>
          <w:smallCaps/>
        </w:rPr>
        <w:t xml:space="preserve"> </w:t>
      </w:r>
    </w:p>
    <w:p w14:paraId="640E3553" w14:textId="4AD65B0F" w:rsidR="00D551C8" w:rsidRDefault="00D551C8" w:rsidP="00D551C8">
      <w:pPr>
        <w:jc w:val="center"/>
        <w:rPr>
          <w:sz w:val="36"/>
          <w:szCs w:val="36"/>
        </w:rPr>
      </w:pPr>
      <w:r>
        <w:rPr>
          <w:noProof/>
        </w:rPr>
        <w:drawing>
          <wp:inline distT="0" distB="0" distL="0" distR="0" wp14:anchorId="1C70327B" wp14:editId="10A56423">
            <wp:extent cx="3857625" cy="144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69538" cy="1452958"/>
                    </a:xfrm>
                    <a:prstGeom prst="rect">
                      <a:avLst/>
                    </a:prstGeom>
                  </pic:spPr>
                </pic:pic>
              </a:graphicData>
            </a:graphic>
          </wp:inline>
        </w:drawing>
      </w:r>
    </w:p>
    <w:p w14:paraId="22E3A956" w14:textId="52FAC11E" w:rsidR="00D551C8" w:rsidRPr="00213FD0" w:rsidRDefault="00D551C8" w:rsidP="00D551C8">
      <w:pPr>
        <w:jc w:val="center"/>
      </w:pPr>
      <w:r w:rsidRPr="00213FD0">
        <w:rPr>
          <w:i/>
        </w:rPr>
        <w:t>“</w:t>
      </w:r>
      <w:r w:rsidR="00167E3F" w:rsidRPr="00213FD0">
        <w:rPr>
          <w:i/>
        </w:rPr>
        <w:t>While guiding us to much improved performance, your team has performed with extreme diligence, commitment, and professionalism in a very difficult situation. you and your colleagues have installed a viable business plan, developed a fully featured product offering, and developed both operating and customer service tools that were sorely lacking. Your contributions can perhaps best be measured by the dramatic improvement in EBITDA performance since 2008.</w:t>
      </w:r>
      <w:r w:rsidR="00213FD0" w:rsidRPr="00213FD0">
        <w:rPr>
          <w:i/>
        </w:rPr>
        <w:t>”</w:t>
      </w:r>
      <w:r w:rsidR="00167E3F" w:rsidRPr="00213FD0">
        <w:rPr>
          <w:i/>
        </w:rPr>
        <w:t xml:space="preserve"> </w:t>
      </w:r>
      <w:r w:rsidR="00167E3F" w:rsidRPr="00213FD0">
        <w:t>–</w:t>
      </w:r>
      <w:r w:rsidRPr="00213FD0">
        <w:t xml:space="preserve"> </w:t>
      </w:r>
      <w:r w:rsidR="00167E3F" w:rsidRPr="00213FD0">
        <w:t>Arch</w:t>
      </w:r>
      <w:r w:rsidR="00425BBF">
        <w:t>,</w:t>
      </w:r>
      <w:r w:rsidR="00167E3F" w:rsidRPr="00213FD0">
        <w:t xml:space="preserve"> Founder and Board </w:t>
      </w:r>
      <w:r w:rsidR="00425BBF">
        <w:t>Director</w:t>
      </w:r>
      <w:r w:rsidR="00167E3F" w:rsidRPr="00213FD0">
        <w:t xml:space="preserve">. </w:t>
      </w:r>
    </w:p>
    <w:p w14:paraId="5E53A120" w14:textId="483EBF34" w:rsidR="00D551C8" w:rsidRPr="00D551C8" w:rsidRDefault="00D551C8" w:rsidP="0046445C">
      <w:pPr>
        <w:rPr>
          <w:smallCaps/>
          <w:szCs w:val="20"/>
        </w:rPr>
      </w:pPr>
      <w:r w:rsidRPr="00D551C8">
        <w:rPr>
          <w:smallCaps/>
          <w:szCs w:val="20"/>
        </w:rPr>
        <w:t>Approach</w:t>
      </w:r>
      <w:r w:rsidR="00425BBF">
        <w:rPr>
          <w:smallCaps/>
          <w:szCs w:val="20"/>
        </w:rPr>
        <w:t xml:space="preserve"> &amp; RESULTS ACCOMPLISHED</w:t>
      </w:r>
      <w:r w:rsidRPr="00D551C8">
        <w:rPr>
          <w:smallCaps/>
          <w:szCs w:val="20"/>
        </w:rPr>
        <w:t>:</w:t>
      </w:r>
    </w:p>
    <w:tbl>
      <w:tblPr>
        <w:tblStyle w:val="TableGrid"/>
        <w:tblW w:w="9805" w:type="dxa"/>
        <w:tblLook w:val="04A0" w:firstRow="1" w:lastRow="0" w:firstColumn="1" w:lastColumn="0" w:noHBand="0" w:noVBand="1"/>
      </w:tblPr>
      <w:tblGrid>
        <w:gridCol w:w="985"/>
        <w:gridCol w:w="1530"/>
        <w:gridCol w:w="3600"/>
        <w:gridCol w:w="3690"/>
      </w:tblGrid>
      <w:tr w:rsidR="00167E3F" w14:paraId="4F19D695" w14:textId="77777777" w:rsidTr="00213FD0">
        <w:tc>
          <w:tcPr>
            <w:tcW w:w="985" w:type="dxa"/>
            <w:shd w:val="clear" w:color="auto" w:fill="44546A" w:themeFill="text2"/>
          </w:tcPr>
          <w:p w14:paraId="7D349C69" w14:textId="77777777" w:rsidR="00167E3F" w:rsidRPr="00167E3F" w:rsidRDefault="00167E3F" w:rsidP="007530F0">
            <w:pPr>
              <w:jc w:val="center"/>
              <w:rPr>
                <w:color w:val="FFFFFF" w:themeColor="background1"/>
                <w:sz w:val="20"/>
                <w:szCs w:val="20"/>
              </w:rPr>
            </w:pPr>
            <w:r w:rsidRPr="00167E3F">
              <w:rPr>
                <w:color w:val="FFFFFF" w:themeColor="background1"/>
                <w:sz w:val="20"/>
                <w:szCs w:val="20"/>
              </w:rPr>
              <w:t>Function</w:t>
            </w:r>
          </w:p>
        </w:tc>
        <w:tc>
          <w:tcPr>
            <w:tcW w:w="1530" w:type="dxa"/>
          </w:tcPr>
          <w:p w14:paraId="66616C2B" w14:textId="77777777" w:rsidR="00167E3F" w:rsidRPr="00D551C8" w:rsidRDefault="00167E3F" w:rsidP="007530F0">
            <w:pPr>
              <w:jc w:val="center"/>
              <w:rPr>
                <w:sz w:val="20"/>
                <w:szCs w:val="20"/>
              </w:rPr>
            </w:pPr>
            <w:r w:rsidRPr="00213FD0">
              <w:rPr>
                <w:color w:val="C00000"/>
                <w:sz w:val="20"/>
                <w:szCs w:val="20"/>
              </w:rPr>
              <w:t>2007</w:t>
            </w:r>
          </w:p>
        </w:tc>
        <w:tc>
          <w:tcPr>
            <w:tcW w:w="3600" w:type="dxa"/>
          </w:tcPr>
          <w:p w14:paraId="31CD07EB" w14:textId="31937B9C" w:rsidR="00167E3F" w:rsidRPr="00213FD0" w:rsidRDefault="00167E3F" w:rsidP="007530F0">
            <w:pPr>
              <w:jc w:val="center"/>
              <w:rPr>
                <w:i/>
                <w:sz w:val="20"/>
                <w:szCs w:val="20"/>
              </w:rPr>
            </w:pPr>
            <w:r w:rsidRPr="00213FD0">
              <w:rPr>
                <w:i/>
                <w:sz w:val="20"/>
                <w:szCs w:val="20"/>
              </w:rPr>
              <w:t>Change by YE 2009</w:t>
            </w:r>
          </w:p>
        </w:tc>
        <w:tc>
          <w:tcPr>
            <w:tcW w:w="3690" w:type="dxa"/>
            <w:shd w:val="clear" w:color="auto" w:fill="44546A" w:themeFill="text2"/>
          </w:tcPr>
          <w:p w14:paraId="21B59B77" w14:textId="77777777" w:rsidR="00167E3F" w:rsidRPr="00D551C8" w:rsidRDefault="00167E3F" w:rsidP="007530F0">
            <w:pPr>
              <w:jc w:val="center"/>
              <w:rPr>
                <w:sz w:val="20"/>
                <w:szCs w:val="20"/>
              </w:rPr>
            </w:pPr>
            <w:r w:rsidRPr="00167E3F">
              <w:rPr>
                <w:color w:val="FFFFFF" w:themeColor="background1"/>
                <w:sz w:val="20"/>
                <w:szCs w:val="20"/>
              </w:rPr>
              <w:t>Impact</w:t>
            </w:r>
          </w:p>
        </w:tc>
      </w:tr>
      <w:tr w:rsidR="00167E3F" w14:paraId="7B6DE6AD" w14:textId="77777777" w:rsidTr="00213FD0">
        <w:tc>
          <w:tcPr>
            <w:tcW w:w="985" w:type="dxa"/>
            <w:shd w:val="clear" w:color="auto" w:fill="F2F2F2" w:themeFill="background1" w:themeFillShade="F2"/>
          </w:tcPr>
          <w:p w14:paraId="2D49EE5E" w14:textId="0027CC35" w:rsidR="00167E3F" w:rsidRPr="00213FD0" w:rsidRDefault="00167E3F" w:rsidP="007530F0">
            <w:pPr>
              <w:rPr>
                <w:sz w:val="18"/>
                <w:szCs w:val="20"/>
              </w:rPr>
            </w:pPr>
            <w:r w:rsidRPr="00213FD0">
              <w:rPr>
                <w:sz w:val="18"/>
                <w:szCs w:val="20"/>
              </w:rPr>
              <w:t xml:space="preserve">Product </w:t>
            </w:r>
          </w:p>
        </w:tc>
        <w:tc>
          <w:tcPr>
            <w:tcW w:w="1530" w:type="dxa"/>
            <w:shd w:val="clear" w:color="auto" w:fill="F2F2F2" w:themeFill="background1" w:themeFillShade="F2"/>
          </w:tcPr>
          <w:p w14:paraId="084A56A2" w14:textId="268F2BBF" w:rsidR="00167E3F" w:rsidRPr="00213FD0" w:rsidRDefault="00167E3F" w:rsidP="007530F0">
            <w:pPr>
              <w:rPr>
                <w:sz w:val="18"/>
                <w:szCs w:val="20"/>
              </w:rPr>
            </w:pPr>
            <w:r w:rsidRPr="00213FD0">
              <w:rPr>
                <w:sz w:val="18"/>
                <w:szCs w:val="20"/>
              </w:rPr>
              <w:t xml:space="preserve">Zero product definition </w:t>
            </w:r>
          </w:p>
        </w:tc>
        <w:tc>
          <w:tcPr>
            <w:tcW w:w="3600" w:type="dxa"/>
            <w:shd w:val="clear" w:color="auto" w:fill="F2F2F2" w:themeFill="background1" w:themeFillShade="F2"/>
          </w:tcPr>
          <w:p w14:paraId="7FEA9DEE" w14:textId="7ABC0D7F" w:rsidR="00167E3F" w:rsidRPr="00213FD0" w:rsidRDefault="00167E3F" w:rsidP="007530F0">
            <w:pPr>
              <w:rPr>
                <w:sz w:val="18"/>
                <w:szCs w:val="20"/>
              </w:rPr>
            </w:pPr>
            <w:r w:rsidRPr="00213FD0">
              <w:rPr>
                <w:sz w:val="18"/>
                <w:szCs w:val="20"/>
              </w:rPr>
              <w:t>Created 4 “products” to enable consultative sell and facilitate scalable recurring revenue model.</w:t>
            </w:r>
          </w:p>
        </w:tc>
        <w:tc>
          <w:tcPr>
            <w:tcW w:w="3690" w:type="dxa"/>
            <w:shd w:val="clear" w:color="auto" w:fill="F2F2F2" w:themeFill="background1" w:themeFillShade="F2"/>
          </w:tcPr>
          <w:p w14:paraId="184E4AAA" w14:textId="77777777" w:rsidR="00167E3F" w:rsidRPr="00213FD0" w:rsidRDefault="00167E3F" w:rsidP="007530F0">
            <w:pPr>
              <w:rPr>
                <w:sz w:val="18"/>
                <w:szCs w:val="20"/>
              </w:rPr>
            </w:pPr>
            <w:r w:rsidRPr="00213FD0">
              <w:rPr>
                <w:sz w:val="18"/>
                <w:szCs w:val="20"/>
              </w:rPr>
              <w:t>TTM Client &gt; 90% Retention during difficult economy recessions</w:t>
            </w:r>
          </w:p>
          <w:p w14:paraId="3F344EFF" w14:textId="77777777" w:rsidR="00167E3F" w:rsidRPr="00213FD0" w:rsidRDefault="00167E3F" w:rsidP="007530F0">
            <w:pPr>
              <w:rPr>
                <w:sz w:val="18"/>
                <w:szCs w:val="20"/>
              </w:rPr>
            </w:pPr>
          </w:p>
          <w:p w14:paraId="3FF77E73" w14:textId="77777777" w:rsidR="00167E3F" w:rsidRPr="00213FD0" w:rsidRDefault="00167E3F" w:rsidP="007530F0">
            <w:pPr>
              <w:rPr>
                <w:sz w:val="18"/>
                <w:szCs w:val="20"/>
              </w:rPr>
            </w:pPr>
            <w:r w:rsidRPr="00213FD0">
              <w:rPr>
                <w:sz w:val="18"/>
                <w:szCs w:val="20"/>
              </w:rPr>
              <w:t>30% Field level EBITDA</w:t>
            </w:r>
          </w:p>
          <w:p w14:paraId="5E713A9D" w14:textId="77777777" w:rsidR="00167E3F" w:rsidRPr="00213FD0" w:rsidRDefault="00167E3F" w:rsidP="007530F0">
            <w:pPr>
              <w:rPr>
                <w:sz w:val="18"/>
                <w:szCs w:val="20"/>
              </w:rPr>
            </w:pPr>
          </w:p>
          <w:p w14:paraId="66B9A7F9" w14:textId="2B0A554E" w:rsidR="00167E3F" w:rsidRPr="00213FD0" w:rsidRDefault="00167E3F" w:rsidP="007530F0">
            <w:pPr>
              <w:rPr>
                <w:sz w:val="18"/>
                <w:szCs w:val="20"/>
              </w:rPr>
            </w:pPr>
            <w:r w:rsidRPr="00213FD0">
              <w:rPr>
                <w:sz w:val="18"/>
                <w:szCs w:val="20"/>
              </w:rPr>
              <w:t xml:space="preserve">Billable Consultant Productivity up 45% </w:t>
            </w:r>
          </w:p>
        </w:tc>
      </w:tr>
      <w:tr w:rsidR="00167E3F" w14:paraId="6F666F3D" w14:textId="77777777" w:rsidTr="00213FD0">
        <w:tc>
          <w:tcPr>
            <w:tcW w:w="985" w:type="dxa"/>
          </w:tcPr>
          <w:p w14:paraId="42377847" w14:textId="0728BED5" w:rsidR="00167E3F" w:rsidRPr="00213FD0" w:rsidRDefault="00167E3F" w:rsidP="007530F0">
            <w:pPr>
              <w:rPr>
                <w:sz w:val="18"/>
                <w:szCs w:val="20"/>
              </w:rPr>
            </w:pPr>
            <w:r w:rsidRPr="00213FD0">
              <w:rPr>
                <w:sz w:val="18"/>
                <w:szCs w:val="20"/>
              </w:rPr>
              <w:t>Sales Model</w:t>
            </w:r>
          </w:p>
        </w:tc>
        <w:tc>
          <w:tcPr>
            <w:tcW w:w="1530" w:type="dxa"/>
          </w:tcPr>
          <w:p w14:paraId="650E1854" w14:textId="5BAAB963" w:rsidR="00167E3F" w:rsidRPr="00213FD0" w:rsidRDefault="00167E3F" w:rsidP="007530F0">
            <w:pPr>
              <w:rPr>
                <w:sz w:val="18"/>
                <w:szCs w:val="20"/>
              </w:rPr>
            </w:pPr>
            <w:r w:rsidRPr="00213FD0">
              <w:rPr>
                <w:sz w:val="18"/>
                <w:szCs w:val="20"/>
              </w:rPr>
              <w:t>Transactional model</w:t>
            </w:r>
          </w:p>
        </w:tc>
        <w:tc>
          <w:tcPr>
            <w:tcW w:w="3600" w:type="dxa"/>
          </w:tcPr>
          <w:p w14:paraId="63A10722" w14:textId="3A31A8D7" w:rsidR="00167E3F" w:rsidRPr="00213FD0" w:rsidRDefault="00167E3F" w:rsidP="007530F0">
            <w:pPr>
              <w:rPr>
                <w:sz w:val="18"/>
                <w:szCs w:val="20"/>
              </w:rPr>
            </w:pPr>
            <w:r w:rsidRPr="00213FD0">
              <w:rPr>
                <w:sz w:val="18"/>
                <w:szCs w:val="20"/>
              </w:rPr>
              <w:t xml:space="preserve">Consultative sales model improved close rates from 5% to 25% and improved cost of MRR $1 from $2 to &lt; $0.60. </w:t>
            </w:r>
          </w:p>
        </w:tc>
        <w:tc>
          <w:tcPr>
            <w:tcW w:w="3690" w:type="dxa"/>
          </w:tcPr>
          <w:p w14:paraId="79CC6808" w14:textId="77777777" w:rsidR="00167E3F" w:rsidRPr="00213FD0" w:rsidRDefault="00167E3F" w:rsidP="00167E3F">
            <w:pPr>
              <w:rPr>
                <w:sz w:val="18"/>
                <w:szCs w:val="20"/>
              </w:rPr>
            </w:pPr>
            <w:r w:rsidRPr="00213FD0">
              <w:rPr>
                <w:sz w:val="18"/>
                <w:szCs w:val="20"/>
              </w:rPr>
              <w:t xml:space="preserve">Created a Culture of Everybody Sales: Domain and Industry knowledge professionals enabled services driven culture that “Fit” Products to Customer Profile. </w:t>
            </w:r>
          </w:p>
          <w:p w14:paraId="2E1F66C3" w14:textId="77777777" w:rsidR="00167E3F" w:rsidRPr="00213FD0" w:rsidRDefault="00167E3F" w:rsidP="00167E3F">
            <w:pPr>
              <w:rPr>
                <w:sz w:val="18"/>
                <w:szCs w:val="20"/>
              </w:rPr>
            </w:pPr>
          </w:p>
          <w:p w14:paraId="339B7F11" w14:textId="37936990" w:rsidR="00167E3F" w:rsidRPr="00213FD0" w:rsidRDefault="00167E3F" w:rsidP="00167E3F">
            <w:pPr>
              <w:rPr>
                <w:sz w:val="18"/>
                <w:szCs w:val="20"/>
              </w:rPr>
            </w:pPr>
            <w:r w:rsidRPr="00213FD0">
              <w:rPr>
                <w:sz w:val="18"/>
                <w:szCs w:val="20"/>
              </w:rPr>
              <w:t xml:space="preserve">Referral partners drove leads to consultants. 3X revenues in &lt; 12 months. </w:t>
            </w:r>
          </w:p>
        </w:tc>
      </w:tr>
      <w:tr w:rsidR="00167E3F" w14:paraId="649D233D" w14:textId="77777777" w:rsidTr="00213FD0">
        <w:tc>
          <w:tcPr>
            <w:tcW w:w="985" w:type="dxa"/>
            <w:shd w:val="clear" w:color="auto" w:fill="F2F2F2" w:themeFill="background1" w:themeFillShade="F2"/>
          </w:tcPr>
          <w:p w14:paraId="47C65C9D" w14:textId="107EBB25" w:rsidR="00167E3F" w:rsidRPr="00213FD0" w:rsidRDefault="00167E3F" w:rsidP="007530F0">
            <w:pPr>
              <w:rPr>
                <w:sz w:val="18"/>
                <w:szCs w:val="20"/>
              </w:rPr>
            </w:pPr>
            <w:r w:rsidRPr="00213FD0">
              <w:rPr>
                <w:sz w:val="18"/>
                <w:szCs w:val="20"/>
              </w:rPr>
              <w:t>Services Model</w:t>
            </w:r>
          </w:p>
        </w:tc>
        <w:tc>
          <w:tcPr>
            <w:tcW w:w="1530" w:type="dxa"/>
            <w:shd w:val="clear" w:color="auto" w:fill="F2F2F2" w:themeFill="background1" w:themeFillShade="F2"/>
          </w:tcPr>
          <w:p w14:paraId="1FDBCAC7" w14:textId="77C333BD" w:rsidR="00167E3F" w:rsidRPr="00213FD0" w:rsidRDefault="00167E3F" w:rsidP="007530F0">
            <w:pPr>
              <w:rPr>
                <w:sz w:val="18"/>
                <w:szCs w:val="20"/>
              </w:rPr>
            </w:pPr>
            <w:r w:rsidRPr="00213FD0">
              <w:rPr>
                <w:sz w:val="18"/>
                <w:szCs w:val="20"/>
              </w:rPr>
              <w:t>50% client churn</w:t>
            </w:r>
          </w:p>
        </w:tc>
        <w:tc>
          <w:tcPr>
            <w:tcW w:w="3600" w:type="dxa"/>
            <w:shd w:val="clear" w:color="auto" w:fill="F2F2F2" w:themeFill="background1" w:themeFillShade="F2"/>
          </w:tcPr>
          <w:p w14:paraId="34BAFA22" w14:textId="77777777" w:rsidR="00167E3F" w:rsidRPr="00213FD0" w:rsidRDefault="00167E3F" w:rsidP="007530F0">
            <w:pPr>
              <w:rPr>
                <w:sz w:val="18"/>
                <w:szCs w:val="20"/>
              </w:rPr>
            </w:pPr>
            <w:r w:rsidRPr="00213FD0">
              <w:rPr>
                <w:sz w:val="18"/>
                <w:szCs w:val="20"/>
              </w:rPr>
              <w:t xml:space="preserve">Product and Process oriented. </w:t>
            </w:r>
          </w:p>
          <w:p w14:paraId="1AE767D7" w14:textId="041AAAA5" w:rsidR="00167E3F" w:rsidRPr="00213FD0" w:rsidRDefault="00167E3F" w:rsidP="007530F0">
            <w:pPr>
              <w:rPr>
                <w:sz w:val="18"/>
                <w:szCs w:val="20"/>
              </w:rPr>
            </w:pPr>
            <w:r w:rsidRPr="00213FD0">
              <w:rPr>
                <w:sz w:val="18"/>
                <w:szCs w:val="20"/>
              </w:rPr>
              <w:br/>
              <w:t xml:space="preserve">Multiple Client touchpoints and triggers. </w:t>
            </w:r>
          </w:p>
          <w:p w14:paraId="75FD1931" w14:textId="77777777" w:rsidR="00167E3F" w:rsidRPr="00213FD0" w:rsidRDefault="00167E3F" w:rsidP="007530F0">
            <w:pPr>
              <w:rPr>
                <w:sz w:val="18"/>
                <w:szCs w:val="20"/>
              </w:rPr>
            </w:pPr>
          </w:p>
          <w:p w14:paraId="0DC3B2D2" w14:textId="77777777" w:rsidR="00167E3F" w:rsidRPr="00213FD0" w:rsidRDefault="00167E3F" w:rsidP="007530F0">
            <w:pPr>
              <w:rPr>
                <w:sz w:val="18"/>
                <w:szCs w:val="20"/>
              </w:rPr>
            </w:pPr>
            <w:r w:rsidRPr="00213FD0">
              <w:rPr>
                <w:sz w:val="18"/>
                <w:szCs w:val="20"/>
              </w:rPr>
              <w:t xml:space="preserve">Shared Services plays a significant tole. </w:t>
            </w:r>
          </w:p>
          <w:p w14:paraId="21D358EB" w14:textId="77777777" w:rsidR="00213FD0" w:rsidRPr="00213FD0" w:rsidRDefault="00213FD0" w:rsidP="007530F0">
            <w:pPr>
              <w:rPr>
                <w:sz w:val="18"/>
                <w:szCs w:val="20"/>
              </w:rPr>
            </w:pPr>
          </w:p>
          <w:p w14:paraId="4B1633CF" w14:textId="2D71BD56" w:rsidR="00213FD0" w:rsidRPr="00213FD0" w:rsidRDefault="00213FD0" w:rsidP="007530F0">
            <w:pPr>
              <w:rPr>
                <w:sz w:val="18"/>
                <w:szCs w:val="20"/>
              </w:rPr>
            </w:pPr>
            <w:r w:rsidRPr="00213FD0">
              <w:rPr>
                <w:sz w:val="18"/>
                <w:szCs w:val="20"/>
              </w:rPr>
              <w:t>Career path centric team model</w:t>
            </w:r>
          </w:p>
        </w:tc>
        <w:tc>
          <w:tcPr>
            <w:tcW w:w="3690" w:type="dxa"/>
            <w:shd w:val="clear" w:color="auto" w:fill="F2F2F2" w:themeFill="background1" w:themeFillShade="F2"/>
          </w:tcPr>
          <w:p w14:paraId="79A6FDFD" w14:textId="77777777" w:rsidR="00213FD0" w:rsidRPr="00213FD0" w:rsidRDefault="00213FD0" w:rsidP="00213FD0">
            <w:pPr>
              <w:rPr>
                <w:sz w:val="18"/>
                <w:szCs w:val="20"/>
              </w:rPr>
            </w:pPr>
            <w:r w:rsidRPr="00213FD0">
              <w:rPr>
                <w:sz w:val="18"/>
                <w:szCs w:val="20"/>
              </w:rPr>
              <w:t xml:space="preserve">90% client satisfaction net promoter score </w:t>
            </w:r>
          </w:p>
          <w:p w14:paraId="542BC477" w14:textId="2E1CF13B" w:rsidR="00167E3F" w:rsidRPr="00213FD0" w:rsidRDefault="00167E3F" w:rsidP="00167E3F">
            <w:pPr>
              <w:rPr>
                <w:sz w:val="18"/>
                <w:szCs w:val="20"/>
              </w:rPr>
            </w:pPr>
          </w:p>
          <w:p w14:paraId="275F42C5" w14:textId="7F796999" w:rsidR="00167E3F" w:rsidRPr="00213FD0" w:rsidRDefault="00167E3F" w:rsidP="00167E3F">
            <w:pPr>
              <w:rPr>
                <w:sz w:val="18"/>
                <w:szCs w:val="20"/>
              </w:rPr>
            </w:pPr>
            <w:r w:rsidRPr="00213FD0">
              <w:rPr>
                <w:sz w:val="18"/>
                <w:szCs w:val="20"/>
              </w:rPr>
              <w:t xml:space="preserve">Productivity utilization from 49% to 78% billable. </w:t>
            </w:r>
          </w:p>
          <w:p w14:paraId="6FD51F38" w14:textId="5E1BA54C" w:rsidR="00213FD0" w:rsidRPr="00213FD0" w:rsidRDefault="00213FD0" w:rsidP="00167E3F">
            <w:pPr>
              <w:rPr>
                <w:sz w:val="18"/>
                <w:szCs w:val="20"/>
              </w:rPr>
            </w:pPr>
          </w:p>
          <w:p w14:paraId="2DCE764D" w14:textId="77777777" w:rsidR="00167E3F" w:rsidRPr="00213FD0" w:rsidRDefault="00167E3F" w:rsidP="00213FD0">
            <w:pPr>
              <w:rPr>
                <w:sz w:val="18"/>
                <w:szCs w:val="20"/>
              </w:rPr>
            </w:pPr>
          </w:p>
        </w:tc>
      </w:tr>
      <w:tr w:rsidR="00167E3F" w14:paraId="4B54D8EC" w14:textId="77777777" w:rsidTr="00213FD0">
        <w:tc>
          <w:tcPr>
            <w:tcW w:w="985" w:type="dxa"/>
            <w:shd w:val="clear" w:color="auto" w:fill="F2F2F2" w:themeFill="background1" w:themeFillShade="F2"/>
          </w:tcPr>
          <w:p w14:paraId="3FCB0236" w14:textId="2C9672FD" w:rsidR="00167E3F" w:rsidRPr="00213FD0" w:rsidRDefault="00213FD0" w:rsidP="007530F0">
            <w:pPr>
              <w:rPr>
                <w:sz w:val="18"/>
                <w:szCs w:val="20"/>
              </w:rPr>
            </w:pPr>
            <w:r w:rsidRPr="00213FD0">
              <w:rPr>
                <w:sz w:val="18"/>
                <w:szCs w:val="20"/>
              </w:rPr>
              <w:t>Financial</w:t>
            </w:r>
          </w:p>
        </w:tc>
        <w:tc>
          <w:tcPr>
            <w:tcW w:w="1530" w:type="dxa"/>
            <w:shd w:val="clear" w:color="auto" w:fill="F2F2F2" w:themeFill="background1" w:themeFillShade="F2"/>
          </w:tcPr>
          <w:p w14:paraId="6A20ADA0" w14:textId="1EFCBCC7" w:rsidR="00167E3F" w:rsidRPr="00213FD0" w:rsidRDefault="00213FD0" w:rsidP="007530F0">
            <w:pPr>
              <w:rPr>
                <w:sz w:val="18"/>
                <w:szCs w:val="20"/>
              </w:rPr>
            </w:pPr>
            <w:r w:rsidRPr="00213FD0">
              <w:rPr>
                <w:sz w:val="18"/>
                <w:szCs w:val="20"/>
              </w:rPr>
              <w:t>Non</w:t>
            </w:r>
            <w:r w:rsidR="00EC6B4F">
              <w:rPr>
                <w:sz w:val="18"/>
                <w:szCs w:val="20"/>
              </w:rPr>
              <w:t>-</w:t>
            </w:r>
            <w:r w:rsidRPr="00213FD0">
              <w:rPr>
                <w:sz w:val="18"/>
                <w:szCs w:val="20"/>
              </w:rPr>
              <w:t>viable model</w:t>
            </w:r>
          </w:p>
        </w:tc>
        <w:tc>
          <w:tcPr>
            <w:tcW w:w="3600" w:type="dxa"/>
            <w:shd w:val="clear" w:color="auto" w:fill="F2F2F2" w:themeFill="background1" w:themeFillShade="F2"/>
          </w:tcPr>
          <w:p w14:paraId="7B558B90" w14:textId="4FD69A57" w:rsidR="00167E3F" w:rsidRPr="00213FD0" w:rsidRDefault="00213FD0" w:rsidP="007530F0">
            <w:pPr>
              <w:rPr>
                <w:sz w:val="18"/>
                <w:szCs w:val="20"/>
              </w:rPr>
            </w:pPr>
            <w:r w:rsidRPr="00213FD0">
              <w:rPr>
                <w:sz w:val="18"/>
                <w:szCs w:val="20"/>
              </w:rPr>
              <w:t>Recurring Revenue Centric Model</w:t>
            </w:r>
          </w:p>
        </w:tc>
        <w:tc>
          <w:tcPr>
            <w:tcW w:w="3690" w:type="dxa"/>
            <w:shd w:val="clear" w:color="auto" w:fill="F2F2F2" w:themeFill="background1" w:themeFillShade="F2"/>
          </w:tcPr>
          <w:p w14:paraId="1C2BE345" w14:textId="77777777" w:rsidR="00167E3F" w:rsidRPr="00213FD0" w:rsidRDefault="00213FD0" w:rsidP="007530F0">
            <w:pPr>
              <w:rPr>
                <w:sz w:val="18"/>
                <w:szCs w:val="20"/>
              </w:rPr>
            </w:pPr>
            <w:r w:rsidRPr="00213FD0">
              <w:rPr>
                <w:sz w:val="18"/>
                <w:szCs w:val="20"/>
              </w:rPr>
              <w:t>GP improvement to 46%</w:t>
            </w:r>
          </w:p>
          <w:p w14:paraId="343B7054" w14:textId="77777777" w:rsidR="00213FD0" w:rsidRPr="00213FD0" w:rsidRDefault="00213FD0" w:rsidP="007530F0">
            <w:pPr>
              <w:rPr>
                <w:sz w:val="18"/>
                <w:szCs w:val="20"/>
              </w:rPr>
            </w:pPr>
            <w:r w:rsidRPr="00213FD0">
              <w:rPr>
                <w:sz w:val="18"/>
                <w:szCs w:val="20"/>
              </w:rPr>
              <w:t>Project Revenues &gt; 80% GP</w:t>
            </w:r>
          </w:p>
          <w:p w14:paraId="1BD812C5" w14:textId="62D89F29" w:rsidR="00213FD0" w:rsidRPr="00213FD0" w:rsidRDefault="00213FD0" w:rsidP="007530F0">
            <w:pPr>
              <w:rPr>
                <w:sz w:val="18"/>
                <w:szCs w:val="20"/>
              </w:rPr>
            </w:pPr>
            <w:r w:rsidRPr="00213FD0">
              <w:rPr>
                <w:sz w:val="18"/>
                <w:szCs w:val="20"/>
              </w:rPr>
              <w:t>Billable Hours &gt;80% GP</w:t>
            </w:r>
          </w:p>
        </w:tc>
      </w:tr>
    </w:tbl>
    <w:p w14:paraId="6636A313" w14:textId="70085D9B" w:rsidR="00E57C52" w:rsidRPr="00E57C52" w:rsidRDefault="00E57C52" w:rsidP="00E57C52">
      <w:pPr>
        <w:rPr>
          <w:b/>
          <w:sz w:val="30"/>
          <w:szCs w:val="30"/>
        </w:rPr>
      </w:pPr>
      <w:r w:rsidRPr="00E57C52">
        <w:rPr>
          <w:b/>
          <w:sz w:val="30"/>
          <w:szCs w:val="30"/>
        </w:rPr>
        <w:lastRenderedPageBreak/>
        <w:t>HR Reseller Right Sizes from Lifestyle to Institutional Impact Statement</w:t>
      </w:r>
    </w:p>
    <w:p w14:paraId="591AF26F" w14:textId="77777777" w:rsidR="00E57C52" w:rsidRPr="00F6723C" w:rsidRDefault="00E57C52" w:rsidP="00E57C52">
      <w:pPr>
        <w:rPr>
          <w:rFonts w:cstheme="minorHAnsi"/>
          <w:bCs/>
          <w:color w:val="000000" w:themeColor="text1"/>
          <w:sz w:val="24"/>
        </w:rPr>
      </w:pPr>
      <w:r>
        <w:t>P&amp;L Impact:</w:t>
      </w: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333"/>
      </w:tblGrid>
      <w:tr w:rsidR="00E57C52" w14:paraId="287E93E9" w14:textId="77777777" w:rsidTr="007530F0">
        <w:trPr>
          <w:trHeight w:val="1486"/>
        </w:trPr>
        <w:tc>
          <w:tcPr>
            <w:tcW w:w="7380" w:type="dxa"/>
            <w:tcBorders>
              <w:right w:val="single" w:sz="4" w:space="0" w:color="auto"/>
            </w:tcBorders>
          </w:tcPr>
          <w:p w14:paraId="79D360B1" w14:textId="46FBF846" w:rsidR="00E57C52" w:rsidRDefault="00E57C52" w:rsidP="007530F0">
            <w:pPr>
              <w:spacing w:afterLines="40" w:after="96"/>
              <w:rPr>
                <w:rFonts w:cstheme="minorHAnsi"/>
                <w:b/>
                <w:bCs/>
                <w:color w:val="000000" w:themeColor="text1"/>
                <w:sz w:val="24"/>
              </w:rPr>
            </w:pPr>
            <w:r w:rsidRPr="002F2283">
              <w:rPr>
                <w:noProof/>
              </w:rPr>
              <w:drawing>
                <wp:inline distT="0" distB="0" distL="0" distR="0" wp14:anchorId="4B706108" wp14:editId="12BB18C0">
                  <wp:extent cx="4484914" cy="116030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0447" cy="1164325"/>
                          </a:xfrm>
                          <a:prstGeom prst="rect">
                            <a:avLst/>
                          </a:prstGeom>
                          <a:noFill/>
                          <a:ln>
                            <a:noFill/>
                          </a:ln>
                        </pic:spPr>
                      </pic:pic>
                    </a:graphicData>
                  </a:graphic>
                </wp:inline>
              </w:drawing>
            </w:r>
          </w:p>
        </w:tc>
        <w:tc>
          <w:tcPr>
            <w:tcW w:w="2333" w:type="dxa"/>
            <w:tcBorders>
              <w:left w:val="single" w:sz="4" w:space="0" w:color="auto"/>
            </w:tcBorders>
          </w:tcPr>
          <w:p w14:paraId="3D31545F" w14:textId="77777777" w:rsidR="00E57C52" w:rsidRPr="00975274" w:rsidRDefault="00E57C52" w:rsidP="007530F0">
            <w:pPr>
              <w:pStyle w:val="ListParagraph"/>
              <w:numPr>
                <w:ilvl w:val="0"/>
                <w:numId w:val="4"/>
              </w:numPr>
              <w:spacing w:afterLines="40" w:after="96"/>
              <w:rPr>
                <w:rFonts w:cstheme="minorHAnsi"/>
                <w:bCs/>
                <w:color w:val="000000" w:themeColor="text1"/>
                <w:sz w:val="24"/>
              </w:rPr>
            </w:pPr>
            <w:r>
              <w:rPr>
                <w:rFonts w:cstheme="minorHAnsi"/>
                <w:bCs/>
                <w:color w:val="000000" w:themeColor="text1"/>
                <w:sz w:val="24"/>
              </w:rPr>
              <w:t xml:space="preserve">Improved Profitability of the company by product, for Gross Profit by </w:t>
            </w:r>
            <w:r w:rsidRPr="00454D0C">
              <w:rPr>
                <w:rFonts w:cstheme="minorHAnsi"/>
                <w:b/>
                <w:bCs/>
                <w:color w:val="000000" w:themeColor="text1"/>
                <w:sz w:val="24"/>
              </w:rPr>
              <w:t>11%</w:t>
            </w:r>
            <w:r>
              <w:rPr>
                <w:rFonts w:cstheme="minorHAnsi"/>
                <w:bCs/>
                <w:color w:val="000000" w:themeColor="text1"/>
                <w:sz w:val="24"/>
              </w:rPr>
              <w:t xml:space="preserve"> and EBITDA by </w:t>
            </w:r>
            <w:r w:rsidRPr="00454D0C">
              <w:rPr>
                <w:rFonts w:cstheme="minorHAnsi"/>
                <w:b/>
                <w:bCs/>
                <w:color w:val="000000" w:themeColor="text1"/>
                <w:sz w:val="24"/>
              </w:rPr>
              <w:t>1</w:t>
            </w:r>
            <w:r>
              <w:rPr>
                <w:rFonts w:cstheme="minorHAnsi"/>
                <w:b/>
                <w:bCs/>
                <w:color w:val="000000" w:themeColor="text1"/>
                <w:sz w:val="24"/>
              </w:rPr>
              <w:t>7</w:t>
            </w:r>
            <w:r w:rsidRPr="00454D0C">
              <w:rPr>
                <w:rFonts w:cstheme="minorHAnsi"/>
                <w:b/>
                <w:bCs/>
                <w:color w:val="000000" w:themeColor="text1"/>
                <w:sz w:val="24"/>
              </w:rPr>
              <w:t>%.</w:t>
            </w:r>
          </w:p>
        </w:tc>
      </w:tr>
    </w:tbl>
    <w:p w14:paraId="1AFD0B7E" w14:textId="77777777" w:rsidR="00E57C52" w:rsidRPr="00F6723C" w:rsidRDefault="00E57C52" w:rsidP="00E57C52">
      <w:pPr>
        <w:spacing w:afterLines="40" w:after="96" w:line="240" w:lineRule="auto"/>
        <w:jc w:val="center"/>
        <w:rPr>
          <w:rFonts w:cstheme="minorHAnsi"/>
          <w:bCs/>
          <w:color w:val="000000" w:themeColor="text1"/>
          <w:sz w:val="24"/>
        </w:rPr>
      </w:pPr>
      <w:r w:rsidRPr="00F6723C">
        <w:rPr>
          <w:rFonts w:cstheme="minorHAnsi"/>
          <w:bCs/>
          <w:color w:val="000000" w:themeColor="text1"/>
          <w:sz w:val="24"/>
        </w:rPr>
        <w:t>How the Results Were Achieved:</w:t>
      </w:r>
    </w:p>
    <w:tbl>
      <w:tblPr>
        <w:tblStyle w:val="TableGrid"/>
        <w:tblW w:w="9805" w:type="dxa"/>
        <w:jc w:val="center"/>
        <w:tblLook w:val="04A0" w:firstRow="1" w:lastRow="0" w:firstColumn="1" w:lastColumn="0" w:noHBand="0" w:noVBand="1"/>
      </w:tblPr>
      <w:tblGrid>
        <w:gridCol w:w="2875"/>
        <w:gridCol w:w="1799"/>
        <w:gridCol w:w="3061"/>
        <w:gridCol w:w="2070"/>
      </w:tblGrid>
      <w:tr w:rsidR="00E57C52" w14:paraId="67DAB8EB" w14:textId="77777777" w:rsidTr="007530F0">
        <w:trPr>
          <w:jc w:val="center"/>
        </w:trPr>
        <w:tc>
          <w:tcPr>
            <w:tcW w:w="2875" w:type="dxa"/>
          </w:tcPr>
          <w:p w14:paraId="78AE9CF0" w14:textId="77777777" w:rsidR="00E57C52" w:rsidRDefault="00E57C52" w:rsidP="007530F0">
            <w:pPr>
              <w:spacing w:afterLines="40" w:after="96"/>
              <w:jc w:val="center"/>
              <w:rPr>
                <w:rFonts w:cstheme="minorHAnsi"/>
                <w:b/>
                <w:bCs/>
                <w:color w:val="000000" w:themeColor="text1"/>
                <w:sz w:val="28"/>
              </w:rPr>
            </w:pPr>
            <w:r>
              <w:rPr>
                <w:rFonts w:cstheme="minorHAnsi"/>
                <w:b/>
                <w:bCs/>
                <w:color w:val="000000" w:themeColor="text1"/>
                <w:sz w:val="36"/>
                <w:szCs w:val="36"/>
              </w:rPr>
              <w:br/>
              <w:t>4</w:t>
            </w:r>
            <w:r w:rsidRPr="00F6723C">
              <w:rPr>
                <w:rFonts w:cstheme="minorHAnsi"/>
                <w:b/>
                <w:bCs/>
                <w:color w:val="000000" w:themeColor="text1"/>
                <w:sz w:val="36"/>
                <w:szCs w:val="36"/>
              </w:rPr>
              <w:t>.</w:t>
            </w:r>
            <w:r>
              <w:rPr>
                <w:rFonts w:cstheme="minorHAnsi"/>
                <w:b/>
                <w:bCs/>
                <w:color w:val="000000" w:themeColor="text1"/>
                <w:sz w:val="36"/>
                <w:szCs w:val="36"/>
              </w:rPr>
              <w:t>2</w:t>
            </w:r>
            <w:r w:rsidRPr="00F6723C">
              <w:rPr>
                <w:rFonts w:cstheme="minorHAnsi"/>
                <w:b/>
                <w:bCs/>
                <w:color w:val="000000" w:themeColor="text1"/>
                <w:sz w:val="36"/>
                <w:szCs w:val="36"/>
              </w:rPr>
              <w:t>5X</w:t>
            </w:r>
            <w:r>
              <w:rPr>
                <w:rFonts w:cstheme="minorHAnsi"/>
                <w:b/>
                <w:bCs/>
                <w:color w:val="000000" w:themeColor="text1"/>
                <w:sz w:val="28"/>
              </w:rPr>
              <w:t xml:space="preserve"> </w:t>
            </w:r>
            <w:r>
              <w:rPr>
                <w:rFonts w:cstheme="minorHAnsi"/>
                <w:b/>
                <w:bCs/>
                <w:color w:val="000000" w:themeColor="text1"/>
                <w:sz w:val="28"/>
              </w:rPr>
              <w:br/>
            </w:r>
            <w:r w:rsidRPr="00F6723C">
              <w:rPr>
                <w:rFonts w:cstheme="minorHAnsi"/>
                <w:b/>
                <w:bCs/>
                <w:color w:val="000000" w:themeColor="text1"/>
                <w:sz w:val="24"/>
                <w:szCs w:val="24"/>
              </w:rPr>
              <w:t xml:space="preserve">Profit </w:t>
            </w:r>
            <w:r>
              <w:rPr>
                <w:rFonts w:cstheme="minorHAnsi"/>
                <w:b/>
                <w:bCs/>
                <w:color w:val="000000" w:themeColor="text1"/>
                <w:sz w:val="24"/>
                <w:szCs w:val="24"/>
              </w:rPr>
              <w:t xml:space="preserve">Improvement </w:t>
            </w:r>
            <w:r w:rsidRPr="00F6723C">
              <w:rPr>
                <w:rFonts w:cstheme="minorHAnsi"/>
                <w:b/>
                <w:bCs/>
                <w:color w:val="000000" w:themeColor="text1"/>
                <w:sz w:val="24"/>
                <w:szCs w:val="24"/>
              </w:rPr>
              <w:t>Realized</w:t>
            </w:r>
          </w:p>
        </w:tc>
        <w:tc>
          <w:tcPr>
            <w:tcW w:w="4860" w:type="dxa"/>
            <w:gridSpan w:val="2"/>
          </w:tcPr>
          <w:p w14:paraId="5DC79DEB" w14:textId="77777777" w:rsidR="00E57C52" w:rsidRDefault="00E57C52" w:rsidP="007530F0">
            <w:pPr>
              <w:spacing w:afterLines="40" w:after="96"/>
              <w:rPr>
                <w:rFonts w:cstheme="minorHAnsi"/>
                <w:b/>
                <w:bCs/>
                <w:color w:val="000000" w:themeColor="text1"/>
                <w:sz w:val="20"/>
                <w:szCs w:val="20"/>
              </w:rPr>
            </w:pPr>
          </w:p>
          <w:p w14:paraId="4E022E97" w14:textId="77777777" w:rsidR="00E57C52" w:rsidRDefault="00E57C52" w:rsidP="007530F0">
            <w:pPr>
              <w:spacing w:afterLines="40" w:after="96"/>
              <w:rPr>
                <w:rFonts w:cstheme="minorHAnsi"/>
                <w:b/>
                <w:bCs/>
                <w:color w:val="000000" w:themeColor="text1"/>
                <w:sz w:val="20"/>
                <w:szCs w:val="20"/>
              </w:rPr>
            </w:pPr>
          </w:p>
          <w:p w14:paraId="44C2381D" w14:textId="77777777" w:rsidR="00E57C52" w:rsidRDefault="00E57C52" w:rsidP="007530F0">
            <w:pPr>
              <w:spacing w:afterLines="40" w:after="96"/>
              <w:rPr>
                <w:rFonts w:cstheme="minorHAnsi"/>
                <w:b/>
                <w:bCs/>
                <w:color w:val="000000" w:themeColor="text1"/>
                <w:sz w:val="20"/>
                <w:szCs w:val="20"/>
              </w:rPr>
            </w:pPr>
          </w:p>
          <w:p w14:paraId="69EF8188" w14:textId="77777777" w:rsidR="00E57C52" w:rsidRPr="00173503" w:rsidRDefault="00E57C52" w:rsidP="007530F0">
            <w:pPr>
              <w:spacing w:afterLines="40" w:after="96"/>
              <w:rPr>
                <w:rFonts w:cstheme="minorHAnsi"/>
                <w:bCs/>
                <w:color w:val="000000" w:themeColor="text1"/>
                <w:sz w:val="28"/>
              </w:rPr>
            </w:pPr>
            <w:r w:rsidRPr="00173503">
              <w:rPr>
                <w:rFonts w:cstheme="minorHAnsi"/>
                <w:bCs/>
                <w:color w:val="000000" w:themeColor="text1"/>
                <w:sz w:val="20"/>
                <w:szCs w:val="20"/>
              </w:rPr>
              <w:t xml:space="preserve">The Model Change Impact on Profitability was based on the shift </w:t>
            </w:r>
            <w:r w:rsidRPr="00173503">
              <w:rPr>
                <w:rFonts w:cstheme="minorHAnsi"/>
                <w:bCs/>
                <w:color w:val="FF0000"/>
                <w:sz w:val="20"/>
                <w:szCs w:val="20"/>
              </w:rPr>
              <w:t xml:space="preserve">from </w:t>
            </w:r>
            <w:r>
              <w:rPr>
                <w:rFonts w:cstheme="minorHAnsi"/>
                <w:bCs/>
                <w:color w:val="FF0000"/>
                <w:sz w:val="20"/>
                <w:szCs w:val="20"/>
              </w:rPr>
              <w:t>53</w:t>
            </w:r>
            <w:r w:rsidRPr="00173503">
              <w:rPr>
                <w:rFonts w:cstheme="minorHAnsi"/>
                <w:bCs/>
                <w:color w:val="000000" w:themeColor="text1"/>
                <w:sz w:val="20"/>
                <w:szCs w:val="20"/>
              </w:rPr>
              <w:t xml:space="preserve">% to </w:t>
            </w:r>
            <w:r w:rsidRPr="00CC67FD">
              <w:rPr>
                <w:rFonts w:cstheme="minorHAnsi"/>
                <w:b/>
                <w:bCs/>
                <w:color w:val="000000" w:themeColor="text1"/>
                <w:sz w:val="24"/>
                <w:szCs w:val="24"/>
              </w:rPr>
              <w:t>64%</w:t>
            </w:r>
            <w:r w:rsidRPr="00173503">
              <w:rPr>
                <w:rFonts w:cstheme="minorHAnsi"/>
                <w:bCs/>
                <w:color w:val="000000" w:themeColor="text1"/>
                <w:sz w:val="20"/>
                <w:szCs w:val="20"/>
              </w:rPr>
              <w:t xml:space="preserve"> Gross Profit. </w:t>
            </w:r>
          </w:p>
        </w:tc>
        <w:tc>
          <w:tcPr>
            <w:tcW w:w="2070" w:type="dxa"/>
            <w:vMerge w:val="restart"/>
          </w:tcPr>
          <w:p w14:paraId="244925CF" w14:textId="77777777" w:rsidR="00E57C52" w:rsidRDefault="00E57C52" w:rsidP="007530F0">
            <w:pPr>
              <w:spacing w:afterLines="40" w:after="96"/>
              <w:rPr>
                <w:rFonts w:cstheme="minorHAnsi"/>
                <w:b/>
                <w:bCs/>
                <w:color w:val="000000" w:themeColor="text1"/>
                <w:sz w:val="28"/>
              </w:rPr>
            </w:pPr>
          </w:p>
          <w:p w14:paraId="253C4327" w14:textId="77777777" w:rsidR="00E57C52" w:rsidRDefault="00E57C52" w:rsidP="007530F0">
            <w:pPr>
              <w:spacing w:afterLines="40" w:after="96"/>
              <w:rPr>
                <w:rFonts w:cstheme="minorHAnsi"/>
                <w:b/>
                <w:bCs/>
                <w:color w:val="000000" w:themeColor="text1"/>
                <w:sz w:val="28"/>
              </w:rPr>
            </w:pPr>
          </w:p>
          <w:p w14:paraId="13E8F78D" w14:textId="77777777" w:rsidR="00E57C52" w:rsidRDefault="00E57C52" w:rsidP="007530F0">
            <w:pPr>
              <w:spacing w:afterLines="40" w:after="96"/>
              <w:rPr>
                <w:rFonts w:cstheme="minorHAnsi"/>
                <w:bCs/>
                <w:color w:val="000000" w:themeColor="text1"/>
                <w:sz w:val="20"/>
                <w:szCs w:val="24"/>
              </w:rPr>
            </w:pPr>
            <w:r>
              <w:rPr>
                <w:rFonts w:cstheme="minorHAnsi"/>
                <w:b/>
                <w:bCs/>
                <w:color w:val="000000" w:themeColor="text1"/>
                <w:sz w:val="28"/>
              </w:rPr>
              <w:t xml:space="preserve">$8,840 </w:t>
            </w:r>
            <w:r>
              <w:rPr>
                <w:rFonts w:cstheme="minorHAnsi"/>
                <w:b/>
                <w:bCs/>
                <w:color w:val="000000" w:themeColor="text1"/>
                <w:sz w:val="28"/>
              </w:rPr>
              <w:br/>
            </w:r>
            <w:r w:rsidRPr="00F6723C">
              <w:rPr>
                <w:rFonts w:cstheme="minorHAnsi"/>
                <w:bCs/>
                <w:color w:val="000000" w:themeColor="text1"/>
                <w:sz w:val="20"/>
                <w:szCs w:val="24"/>
              </w:rPr>
              <w:t xml:space="preserve">average </w:t>
            </w:r>
            <w:r>
              <w:rPr>
                <w:rFonts w:cstheme="minorHAnsi"/>
                <w:bCs/>
                <w:color w:val="000000" w:themeColor="text1"/>
                <w:sz w:val="20"/>
                <w:szCs w:val="24"/>
              </w:rPr>
              <w:t xml:space="preserve">increase in monthly billings for the top 200 customers </w:t>
            </w:r>
          </w:p>
          <w:p w14:paraId="6B6DA187" w14:textId="77777777" w:rsidR="00E57C52" w:rsidRPr="0038776D" w:rsidRDefault="00E57C52" w:rsidP="007530F0">
            <w:pPr>
              <w:spacing w:afterLines="40" w:after="96"/>
              <w:rPr>
                <w:rFonts w:cstheme="minorHAnsi"/>
                <w:bCs/>
                <w:color w:val="000000" w:themeColor="text1"/>
                <w:sz w:val="20"/>
                <w:szCs w:val="20"/>
              </w:rPr>
            </w:pPr>
          </w:p>
        </w:tc>
      </w:tr>
      <w:tr w:rsidR="00E57C52" w14:paraId="349E61AE" w14:textId="77777777" w:rsidTr="007530F0">
        <w:trPr>
          <w:jc w:val="center"/>
        </w:trPr>
        <w:tc>
          <w:tcPr>
            <w:tcW w:w="2875" w:type="dxa"/>
          </w:tcPr>
          <w:p w14:paraId="4CF4F965" w14:textId="77777777" w:rsidR="00E57C52" w:rsidRPr="00173503" w:rsidRDefault="00E57C52" w:rsidP="007530F0">
            <w:pPr>
              <w:spacing w:afterLines="40" w:after="96"/>
              <w:rPr>
                <w:rFonts w:cstheme="minorHAnsi"/>
                <w:bCs/>
                <w:color w:val="000000" w:themeColor="text1"/>
                <w:sz w:val="20"/>
                <w:szCs w:val="20"/>
              </w:rPr>
            </w:pPr>
            <w:r w:rsidRPr="00173503">
              <w:rPr>
                <w:rFonts w:cstheme="minorHAnsi"/>
                <w:bCs/>
                <w:color w:val="000000" w:themeColor="text1"/>
                <w:sz w:val="20"/>
                <w:szCs w:val="20"/>
              </w:rPr>
              <w:t xml:space="preserve">Increased the number of product, service, technology and HR vendors and partners </w:t>
            </w:r>
            <w:r w:rsidRPr="00173503">
              <w:rPr>
                <w:rFonts w:cstheme="minorHAnsi"/>
                <w:b/>
                <w:bCs/>
                <w:color w:val="000000" w:themeColor="text1"/>
                <w:sz w:val="20"/>
                <w:szCs w:val="20"/>
              </w:rPr>
              <w:t>bundled into add-on service packages</w:t>
            </w:r>
            <w:r>
              <w:rPr>
                <w:rFonts w:cstheme="minorHAnsi"/>
                <w:bCs/>
                <w:color w:val="000000" w:themeColor="text1"/>
                <w:sz w:val="20"/>
                <w:szCs w:val="20"/>
              </w:rPr>
              <w:t xml:space="preserve"> to increase average contract value </w:t>
            </w:r>
            <w:r w:rsidRPr="00CC67FD">
              <w:rPr>
                <w:rFonts w:cstheme="minorHAnsi"/>
                <w:b/>
                <w:bCs/>
                <w:color w:val="000000" w:themeColor="text1"/>
                <w:sz w:val="24"/>
                <w:szCs w:val="24"/>
              </w:rPr>
              <w:t>33%</w:t>
            </w:r>
          </w:p>
        </w:tc>
        <w:tc>
          <w:tcPr>
            <w:tcW w:w="1799" w:type="dxa"/>
          </w:tcPr>
          <w:p w14:paraId="6D10725A" w14:textId="77777777" w:rsidR="00E57C52" w:rsidRPr="00CC67FD" w:rsidRDefault="00E57C52" w:rsidP="007530F0">
            <w:pPr>
              <w:rPr>
                <w:sz w:val="20"/>
                <w:szCs w:val="20"/>
              </w:rPr>
            </w:pPr>
            <w:r w:rsidRPr="00CC67FD">
              <w:rPr>
                <w:rFonts w:cstheme="minorHAnsi"/>
                <w:b/>
                <w:bCs/>
                <w:color w:val="000000" w:themeColor="text1"/>
                <w:sz w:val="20"/>
                <w:szCs w:val="20"/>
              </w:rPr>
              <w:t xml:space="preserve">Optimized </w:t>
            </w:r>
            <w:r w:rsidRPr="00CC67FD">
              <w:rPr>
                <w:sz w:val="20"/>
                <w:szCs w:val="20"/>
              </w:rPr>
              <w:t xml:space="preserve">compensation </w:t>
            </w:r>
            <w:r w:rsidRPr="00CC67FD">
              <w:rPr>
                <w:b/>
                <w:sz w:val="20"/>
                <w:szCs w:val="20"/>
              </w:rPr>
              <w:t>from 5% to 26%</w:t>
            </w:r>
            <w:r w:rsidRPr="00CC67FD">
              <w:rPr>
                <w:sz w:val="20"/>
                <w:szCs w:val="20"/>
              </w:rPr>
              <w:t xml:space="preserve"> variable versus fixed </w:t>
            </w:r>
          </w:p>
          <w:p w14:paraId="2AFFDEA8" w14:textId="77777777" w:rsidR="00E57C52" w:rsidRPr="0038776D" w:rsidRDefault="00E57C52" w:rsidP="007530F0">
            <w:pPr>
              <w:spacing w:afterLines="40" w:after="96"/>
              <w:rPr>
                <w:rFonts w:cstheme="minorHAnsi"/>
                <w:b/>
                <w:bCs/>
                <w:color w:val="000000" w:themeColor="text1"/>
                <w:sz w:val="20"/>
                <w:szCs w:val="20"/>
              </w:rPr>
            </w:pPr>
          </w:p>
        </w:tc>
        <w:tc>
          <w:tcPr>
            <w:tcW w:w="3061" w:type="dxa"/>
          </w:tcPr>
          <w:p w14:paraId="350DA587" w14:textId="77777777" w:rsidR="00E57C52" w:rsidRPr="0038776D" w:rsidRDefault="00E57C52" w:rsidP="007530F0">
            <w:pPr>
              <w:spacing w:afterLines="40" w:after="96"/>
              <w:rPr>
                <w:rFonts w:cstheme="minorHAnsi"/>
                <w:b/>
                <w:bCs/>
                <w:color w:val="000000" w:themeColor="text1"/>
                <w:sz w:val="20"/>
                <w:szCs w:val="20"/>
              </w:rPr>
            </w:pPr>
            <w:r w:rsidRPr="0038776D">
              <w:rPr>
                <w:rFonts w:cstheme="minorHAnsi"/>
                <w:bCs/>
                <w:color w:val="000000" w:themeColor="text1"/>
                <w:sz w:val="20"/>
                <w:szCs w:val="20"/>
              </w:rPr>
              <w:t xml:space="preserve">The impact </w:t>
            </w:r>
            <w:r w:rsidRPr="00173503">
              <w:rPr>
                <w:rFonts w:cstheme="minorHAnsi"/>
                <w:b/>
                <w:bCs/>
                <w:color w:val="000000" w:themeColor="text1"/>
                <w:sz w:val="20"/>
                <w:szCs w:val="20"/>
              </w:rPr>
              <w:t>i</w:t>
            </w:r>
            <w:r w:rsidRPr="0038776D">
              <w:rPr>
                <w:rFonts w:cstheme="minorHAnsi"/>
                <w:b/>
                <w:bCs/>
                <w:color w:val="000000" w:themeColor="text1"/>
                <w:sz w:val="20"/>
                <w:szCs w:val="20"/>
              </w:rPr>
              <w:t xml:space="preserve">mproved return on consulting labor </w:t>
            </w:r>
            <w:r w:rsidRPr="00CC67FD">
              <w:rPr>
                <w:rFonts w:cstheme="minorHAnsi"/>
                <w:b/>
                <w:bCs/>
                <w:color w:val="000000" w:themeColor="text1"/>
                <w:sz w:val="24"/>
                <w:szCs w:val="24"/>
              </w:rPr>
              <w:t>30%</w:t>
            </w:r>
            <w:r w:rsidRPr="0038776D">
              <w:rPr>
                <w:rFonts w:cstheme="minorHAnsi"/>
                <w:b/>
                <w:bCs/>
                <w:color w:val="000000" w:themeColor="text1"/>
                <w:sz w:val="20"/>
                <w:szCs w:val="20"/>
              </w:rPr>
              <w:t xml:space="preserve"> </w:t>
            </w:r>
            <w:r w:rsidRPr="00173503">
              <w:rPr>
                <w:rFonts w:cstheme="minorHAnsi"/>
                <w:bCs/>
                <w:color w:val="000000" w:themeColor="text1"/>
                <w:sz w:val="20"/>
                <w:szCs w:val="20"/>
              </w:rPr>
              <w:t>($</w:t>
            </w:r>
            <w:r>
              <w:rPr>
                <w:rFonts w:cstheme="minorHAnsi"/>
                <w:bCs/>
                <w:color w:val="000000" w:themeColor="text1"/>
                <w:sz w:val="20"/>
                <w:szCs w:val="20"/>
              </w:rPr>
              <w:t>4</w:t>
            </w:r>
            <w:r w:rsidRPr="00173503">
              <w:rPr>
                <w:rFonts w:cstheme="minorHAnsi"/>
                <w:bCs/>
                <w:color w:val="000000" w:themeColor="text1"/>
                <w:sz w:val="20"/>
                <w:szCs w:val="20"/>
              </w:rPr>
              <w:t xml:space="preserve">0k more per annual billable consultant) by </w:t>
            </w:r>
            <w:r>
              <w:rPr>
                <w:rFonts w:cstheme="minorHAnsi"/>
                <w:bCs/>
                <w:color w:val="000000" w:themeColor="text1"/>
                <w:sz w:val="20"/>
                <w:szCs w:val="20"/>
              </w:rPr>
              <w:t>moving to industry practice leader team pod staffing model</w:t>
            </w:r>
          </w:p>
        </w:tc>
        <w:tc>
          <w:tcPr>
            <w:tcW w:w="2070" w:type="dxa"/>
            <w:vMerge/>
          </w:tcPr>
          <w:p w14:paraId="6794055B" w14:textId="77777777" w:rsidR="00E57C52" w:rsidRPr="0038776D" w:rsidRDefault="00E57C52" w:rsidP="007530F0">
            <w:pPr>
              <w:spacing w:afterLines="40" w:after="96"/>
              <w:rPr>
                <w:rFonts w:cstheme="minorHAnsi"/>
                <w:b/>
                <w:bCs/>
                <w:color w:val="000000" w:themeColor="text1"/>
                <w:sz w:val="20"/>
                <w:szCs w:val="20"/>
              </w:rPr>
            </w:pPr>
          </w:p>
        </w:tc>
      </w:tr>
      <w:tr w:rsidR="00E57C52" w14:paraId="6D65269F" w14:textId="77777777" w:rsidTr="007530F0">
        <w:trPr>
          <w:jc w:val="center"/>
        </w:trPr>
        <w:tc>
          <w:tcPr>
            <w:tcW w:w="7735" w:type="dxa"/>
            <w:gridSpan w:val="3"/>
            <w:vAlign w:val="center"/>
          </w:tcPr>
          <w:p w14:paraId="3B162016" w14:textId="77777777" w:rsidR="00E57C52" w:rsidRPr="00173503" w:rsidRDefault="00E57C52" w:rsidP="007530F0">
            <w:pPr>
              <w:spacing w:afterLines="40" w:after="96"/>
              <w:jc w:val="center"/>
              <w:rPr>
                <w:rFonts w:cstheme="minorHAnsi"/>
                <w:bCs/>
                <w:color w:val="000000" w:themeColor="text1"/>
              </w:rPr>
            </w:pPr>
            <w:r>
              <w:rPr>
                <w:rFonts w:cstheme="minorHAnsi"/>
                <w:bCs/>
                <w:color w:val="000000" w:themeColor="text1"/>
                <w:sz w:val="20"/>
              </w:rPr>
              <w:t xml:space="preserve">Improved bottom-line EBITDA </w:t>
            </w:r>
            <w:r w:rsidRPr="00173503">
              <w:rPr>
                <w:rFonts w:cstheme="minorHAnsi"/>
                <w:bCs/>
                <w:color w:val="000000" w:themeColor="text1"/>
                <w:sz w:val="20"/>
              </w:rPr>
              <w:t xml:space="preserve">from </w:t>
            </w:r>
            <w:r w:rsidRPr="00173503">
              <w:rPr>
                <w:rFonts w:cstheme="minorHAnsi"/>
                <w:bCs/>
                <w:color w:val="FF0000"/>
                <w:sz w:val="20"/>
              </w:rPr>
              <w:t xml:space="preserve">less than </w:t>
            </w:r>
            <w:r>
              <w:rPr>
                <w:rFonts w:cstheme="minorHAnsi"/>
                <w:bCs/>
                <w:color w:val="FF0000"/>
                <w:sz w:val="20"/>
              </w:rPr>
              <w:t xml:space="preserve">5% </w:t>
            </w:r>
            <w:r w:rsidRPr="00173503">
              <w:rPr>
                <w:rFonts w:cstheme="minorHAnsi"/>
                <w:bCs/>
                <w:color w:val="000000" w:themeColor="text1"/>
                <w:sz w:val="20"/>
              </w:rPr>
              <w:t xml:space="preserve">to </w:t>
            </w:r>
            <w:r w:rsidRPr="00454D0C">
              <w:rPr>
                <w:rFonts w:cstheme="minorHAnsi"/>
                <w:b/>
                <w:bCs/>
                <w:color w:val="000000" w:themeColor="text1"/>
                <w:sz w:val="24"/>
              </w:rPr>
              <w:t>1</w:t>
            </w:r>
            <w:r>
              <w:rPr>
                <w:rFonts w:cstheme="minorHAnsi"/>
                <w:b/>
                <w:bCs/>
                <w:color w:val="000000" w:themeColor="text1"/>
                <w:sz w:val="24"/>
              </w:rPr>
              <w:t>7</w:t>
            </w:r>
            <w:r w:rsidRPr="00454D0C">
              <w:rPr>
                <w:rFonts w:cstheme="minorHAnsi"/>
                <w:b/>
                <w:bCs/>
                <w:color w:val="000000" w:themeColor="text1"/>
                <w:sz w:val="24"/>
              </w:rPr>
              <w:t>%</w:t>
            </w:r>
          </w:p>
        </w:tc>
        <w:tc>
          <w:tcPr>
            <w:tcW w:w="2070" w:type="dxa"/>
            <w:vMerge/>
          </w:tcPr>
          <w:p w14:paraId="5AD9B798" w14:textId="77777777" w:rsidR="00E57C52" w:rsidRPr="00173503" w:rsidRDefault="00E57C52" w:rsidP="007530F0">
            <w:pPr>
              <w:spacing w:afterLines="40" w:after="96"/>
              <w:jc w:val="center"/>
              <w:rPr>
                <w:rFonts w:cstheme="minorHAnsi"/>
                <w:bCs/>
                <w:color w:val="000000" w:themeColor="text1"/>
              </w:rPr>
            </w:pPr>
          </w:p>
        </w:tc>
      </w:tr>
    </w:tbl>
    <w:p w14:paraId="5C878AE2" w14:textId="77777777" w:rsidR="00E57C52" w:rsidRDefault="00E57C52" w:rsidP="00E57C52">
      <w:pPr>
        <w:spacing w:afterLines="40" w:after="96" w:line="240" w:lineRule="auto"/>
        <w:rPr>
          <w:rFonts w:cstheme="minorHAnsi"/>
          <w:b/>
          <w:bCs/>
          <w:color w:val="000000" w:themeColor="text1"/>
          <w:sz w:val="28"/>
        </w:rPr>
      </w:pPr>
    </w:p>
    <w:p w14:paraId="56E7FA4F" w14:textId="77777777" w:rsidR="00E57C52" w:rsidRDefault="00E57C52" w:rsidP="00E57C52">
      <w:pPr>
        <w:spacing w:afterLines="40" w:after="96" w:line="240" w:lineRule="auto"/>
        <w:jc w:val="center"/>
        <w:rPr>
          <w:rFonts w:cstheme="minorHAnsi"/>
          <w:bCs/>
          <w:color w:val="000000" w:themeColor="text1"/>
          <w:sz w:val="24"/>
        </w:rPr>
      </w:pPr>
      <w:r>
        <w:rPr>
          <w:rFonts w:cstheme="minorHAnsi"/>
          <w:bCs/>
          <w:color w:val="000000" w:themeColor="text1"/>
          <w:sz w:val="24"/>
        </w:rPr>
        <w:t>Crossing the Chasm to an Optimized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7C52" w14:paraId="432A3BF5" w14:textId="77777777" w:rsidTr="007530F0">
        <w:tc>
          <w:tcPr>
            <w:tcW w:w="4675" w:type="dxa"/>
            <w:tcBorders>
              <w:right w:val="single" w:sz="4" w:space="0" w:color="auto"/>
            </w:tcBorders>
          </w:tcPr>
          <w:p w14:paraId="1C7A8C5B" w14:textId="77777777" w:rsidR="00E57C52" w:rsidRDefault="00E57C52" w:rsidP="007530F0">
            <w:pPr>
              <w:spacing w:afterLines="40" w:after="96"/>
              <w:jc w:val="center"/>
              <w:rPr>
                <w:rFonts w:cstheme="minorHAnsi"/>
                <w:bCs/>
                <w:color w:val="000000" w:themeColor="text1"/>
                <w:sz w:val="24"/>
              </w:rPr>
            </w:pPr>
            <w:r>
              <w:rPr>
                <w:noProof/>
              </w:rPr>
              <w:drawing>
                <wp:inline distT="0" distB="0" distL="0" distR="0" wp14:anchorId="1A118208" wp14:editId="2CB62C99">
                  <wp:extent cx="2475230" cy="1708114"/>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91413" cy="1719282"/>
                          </a:xfrm>
                          <a:prstGeom prst="rect">
                            <a:avLst/>
                          </a:prstGeom>
                        </pic:spPr>
                      </pic:pic>
                    </a:graphicData>
                  </a:graphic>
                </wp:inline>
              </w:drawing>
            </w:r>
          </w:p>
        </w:tc>
        <w:tc>
          <w:tcPr>
            <w:tcW w:w="4675" w:type="dxa"/>
            <w:tcBorders>
              <w:left w:val="single" w:sz="4" w:space="0" w:color="auto"/>
            </w:tcBorders>
          </w:tcPr>
          <w:p w14:paraId="246748DD" w14:textId="524C8483" w:rsidR="00E57C52" w:rsidRDefault="00E57C52" w:rsidP="007530F0">
            <w:pPr>
              <w:spacing w:afterLines="40" w:after="96"/>
              <w:rPr>
                <w:rFonts w:cstheme="minorHAnsi"/>
                <w:bCs/>
                <w:color w:val="000000" w:themeColor="text1"/>
                <w:sz w:val="24"/>
              </w:rPr>
            </w:pPr>
            <w:r>
              <w:rPr>
                <w:rFonts w:cstheme="minorHAnsi"/>
                <w:bCs/>
                <w:color w:val="000000" w:themeColor="text1"/>
                <w:sz w:val="24"/>
              </w:rPr>
              <w:t>Changed from staffing to HRO model</w:t>
            </w:r>
          </w:p>
          <w:p w14:paraId="29631CE7" w14:textId="77777777" w:rsidR="00E57C52" w:rsidRDefault="00E57C52" w:rsidP="007530F0">
            <w:pPr>
              <w:spacing w:afterLines="40" w:after="96"/>
              <w:rPr>
                <w:rFonts w:cstheme="minorHAnsi"/>
                <w:bCs/>
                <w:color w:val="000000" w:themeColor="text1"/>
                <w:sz w:val="24"/>
              </w:rPr>
            </w:pPr>
            <w:r>
              <w:rPr>
                <w:rFonts w:cstheme="minorHAnsi"/>
                <w:bCs/>
                <w:color w:val="000000" w:themeColor="text1"/>
                <w:sz w:val="24"/>
              </w:rPr>
              <w:t>Right sized pricing</w:t>
            </w:r>
          </w:p>
          <w:p w14:paraId="5A58A2DB" w14:textId="77777777" w:rsidR="00E57C52" w:rsidRDefault="00E57C52" w:rsidP="007530F0">
            <w:pPr>
              <w:spacing w:afterLines="40" w:after="96"/>
              <w:rPr>
                <w:rFonts w:cstheme="minorHAnsi"/>
                <w:bCs/>
                <w:color w:val="000000" w:themeColor="text1"/>
                <w:sz w:val="24"/>
              </w:rPr>
            </w:pPr>
            <w:r>
              <w:rPr>
                <w:rFonts w:cstheme="minorHAnsi"/>
                <w:bCs/>
                <w:color w:val="000000" w:themeColor="text1"/>
                <w:sz w:val="24"/>
              </w:rPr>
              <w:t>Created Account Management for top 20%</w:t>
            </w:r>
          </w:p>
          <w:p w14:paraId="156C9CB4" w14:textId="77777777" w:rsidR="00E57C52" w:rsidRDefault="00E57C52" w:rsidP="007530F0">
            <w:pPr>
              <w:spacing w:afterLines="40" w:after="96"/>
              <w:rPr>
                <w:rFonts w:cstheme="minorHAnsi"/>
                <w:bCs/>
                <w:color w:val="000000" w:themeColor="text1"/>
                <w:sz w:val="24"/>
              </w:rPr>
            </w:pPr>
            <w:r>
              <w:rPr>
                <w:rFonts w:cstheme="minorHAnsi"/>
                <w:bCs/>
                <w:color w:val="000000" w:themeColor="text1"/>
                <w:sz w:val="24"/>
              </w:rPr>
              <w:t>Bundled products and services</w:t>
            </w:r>
          </w:p>
          <w:p w14:paraId="02C46383" w14:textId="77777777" w:rsidR="00E57C52" w:rsidRDefault="00E57C52" w:rsidP="007530F0">
            <w:pPr>
              <w:spacing w:afterLines="40" w:after="96"/>
              <w:rPr>
                <w:rFonts w:cstheme="minorHAnsi"/>
                <w:bCs/>
                <w:color w:val="000000" w:themeColor="text1"/>
                <w:sz w:val="24"/>
              </w:rPr>
            </w:pPr>
            <w:r>
              <w:rPr>
                <w:rFonts w:cstheme="minorHAnsi"/>
                <w:bCs/>
                <w:color w:val="000000" w:themeColor="text1"/>
                <w:sz w:val="24"/>
              </w:rPr>
              <w:t xml:space="preserve">Added upsell packages </w:t>
            </w:r>
          </w:p>
        </w:tc>
      </w:tr>
    </w:tbl>
    <w:p w14:paraId="464AF5A8" w14:textId="77777777" w:rsidR="00E57C52" w:rsidRDefault="00E57C52" w:rsidP="00E57C52">
      <w:pPr>
        <w:spacing w:afterLines="40" w:after="96" w:line="240" w:lineRule="auto"/>
        <w:jc w:val="center"/>
        <w:rPr>
          <w:rFonts w:cstheme="minorHAnsi"/>
          <w:bCs/>
          <w:color w:val="000000" w:themeColor="text1"/>
          <w:sz w:val="24"/>
        </w:rPr>
      </w:pPr>
      <w:r>
        <w:rPr>
          <w:rFonts w:cstheme="minorHAnsi"/>
          <w:bCs/>
          <w:color w:val="000000" w:themeColor="text1"/>
          <w:sz w:val="24"/>
        </w:rPr>
        <w:t>Impact of Services</w:t>
      </w:r>
      <w:r w:rsidRPr="00F6723C">
        <w:rPr>
          <w:rFonts w:cstheme="minorHAnsi"/>
          <w:bCs/>
          <w:color w:val="000000" w:themeColor="text1"/>
          <w:sz w:val="24"/>
        </w:rPr>
        <w:t>:</w:t>
      </w:r>
    </w:p>
    <w:tbl>
      <w:tblPr>
        <w:tblStyle w:val="TableGrid"/>
        <w:tblW w:w="9535" w:type="dxa"/>
        <w:tblLook w:val="04A0" w:firstRow="1" w:lastRow="0" w:firstColumn="1" w:lastColumn="0" w:noHBand="0" w:noVBand="1"/>
      </w:tblPr>
      <w:tblGrid>
        <w:gridCol w:w="5252"/>
        <w:gridCol w:w="4283"/>
      </w:tblGrid>
      <w:tr w:rsidR="00E57C52" w14:paraId="4A735BAD" w14:textId="77777777" w:rsidTr="007530F0">
        <w:tc>
          <w:tcPr>
            <w:tcW w:w="5252" w:type="dxa"/>
            <w:shd w:val="clear" w:color="auto" w:fill="70AD47" w:themeFill="accent6"/>
          </w:tcPr>
          <w:p w14:paraId="44BEFBBB" w14:textId="77777777" w:rsidR="00E57C52" w:rsidRPr="00AE7E51" w:rsidRDefault="00E57C52" w:rsidP="007530F0">
            <w:pPr>
              <w:spacing w:afterLines="40" w:after="96"/>
              <w:jc w:val="center"/>
              <w:rPr>
                <w:rFonts w:cstheme="minorHAnsi"/>
                <w:bCs/>
                <w:smallCaps/>
                <w:color w:val="FFFFFF" w:themeColor="background1"/>
              </w:rPr>
            </w:pPr>
            <w:r>
              <w:rPr>
                <w:rFonts w:cstheme="minorHAnsi"/>
                <w:bCs/>
                <w:smallCaps/>
                <w:color w:val="FFFFFF" w:themeColor="background1"/>
              </w:rPr>
              <w:t>Financial Impact</w:t>
            </w:r>
          </w:p>
        </w:tc>
        <w:tc>
          <w:tcPr>
            <w:tcW w:w="4283" w:type="dxa"/>
            <w:shd w:val="clear" w:color="auto" w:fill="4472C4" w:themeFill="accent1"/>
          </w:tcPr>
          <w:p w14:paraId="6DCC1CA2" w14:textId="77777777" w:rsidR="00E57C52" w:rsidRPr="00AE7E51" w:rsidRDefault="00E57C52" w:rsidP="007530F0">
            <w:pPr>
              <w:spacing w:afterLines="40" w:after="96"/>
              <w:jc w:val="center"/>
              <w:rPr>
                <w:rFonts w:cstheme="minorHAnsi"/>
                <w:bCs/>
                <w:smallCaps/>
                <w:color w:val="FFFFFF" w:themeColor="background1"/>
              </w:rPr>
            </w:pPr>
            <w:r w:rsidRPr="00AE7E51">
              <w:rPr>
                <w:rFonts w:cstheme="minorHAnsi"/>
                <w:bCs/>
                <w:smallCaps/>
                <w:color w:val="FFFFFF" w:themeColor="background1"/>
              </w:rPr>
              <w:t>Resources</w:t>
            </w:r>
            <w:r>
              <w:rPr>
                <w:rFonts w:cstheme="minorHAnsi"/>
                <w:bCs/>
                <w:smallCaps/>
                <w:color w:val="FFFFFF" w:themeColor="background1"/>
              </w:rPr>
              <w:t xml:space="preserve"> Impact</w:t>
            </w:r>
          </w:p>
        </w:tc>
      </w:tr>
      <w:tr w:rsidR="00E57C52" w14:paraId="5AE3EFB3" w14:textId="77777777" w:rsidTr="007530F0">
        <w:tc>
          <w:tcPr>
            <w:tcW w:w="5252" w:type="dxa"/>
            <w:shd w:val="clear" w:color="auto" w:fill="E2EFD9" w:themeFill="accent6" w:themeFillTint="33"/>
          </w:tcPr>
          <w:p w14:paraId="4690DA2F" w14:textId="77777777" w:rsidR="00E57C52" w:rsidRPr="00D43728" w:rsidRDefault="00E57C52" w:rsidP="007530F0">
            <w:pPr>
              <w:pStyle w:val="ListParagraph"/>
              <w:numPr>
                <w:ilvl w:val="0"/>
                <w:numId w:val="5"/>
              </w:numPr>
              <w:spacing w:afterLines="10" w:after="24"/>
              <w:rPr>
                <w:rFonts w:cstheme="minorHAnsi"/>
                <w:bCs/>
                <w:color w:val="000000" w:themeColor="text1"/>
                <w:sz w:val="20"/>
                <w:szCs w:val="20"/>
              </w:rPr>
            </w:pPr>
            <w:r w:rsidRPr="00D43728">
              <w:rPr>
                <w:rFonts w:cstheme="minorHAnsi"/>
                <w:bCs/>
                <w:color w:val="000000" w:themeColor="text1"/>
                <w:sz w:val="20"/>
                <w:szCs w:val="20"/>
              </w:rPr>
              <w:t>Improved profitability from single to double digits</w:t>
            </w:r>
          </w:p>
          <w:p w14:paraId="3E0F0ADA" w14:textId="77777777" w:rsidR="00E57C52" w:rsidRPr="00D43728" w:rsidRDefault="00E57C52" w:rsidP="007530F0">
            <w:pPr>
              <w:pStyle w:val="ListParagraph"/>
              <w:numPr>
                <w:ilvl w:val="0"/>
                <w:numId w:val="5"/>
              </w:numPr>
              <w:spacing w:afterLines="10" w:after="24"/>
              <w:rPr>
                <w:rFonts w:cstheme="minorHAnsi"/>
                <w:bCs/>
                <w:color w:val="000000" w:themeColor="text1"/>
                <w:sz w:val="20"/>
                <w:szCs w:val="20"/>
              </w:rPr>
            </w:pPr>
            <w:r w:rsidRPr="00D43728">
              <w:rPr>
                <w:rFonts w:cstheme="minorHAnsi"/>
                <w:bCs/>
                <w:color w:val="000000" w:themeColor="text1"/>
                <w:sz w:val="20"/>
                <w:szCs w:val="20"/>
              </w:rPr>
              <w:t>Improved Gross Profit from 53% to 64%</w:t>
            </w:r>
          </w:p>
          <w:p w14:paraId="62201580" w14:textId="77777777" w:rsidR="00E57C52" w:rsidRPr="00D43728" w:rsidRDefault="00E57C52" w:rsidP="007530F0">
            <w:pPr>
              <w:pStyle w:val="ListParagraph"/>
              <w:numPr>
                <w:ilvl w:val="0"/>
                <w:numId w:val="5"/>
              </w:numPr>
              <w:spacing w:afterLines="10" w:after="24"/>
              <w:rPr>
                <w:rFonts w:cstheme="minorHAnsi"/>
                <w:bCs/>
                <w:color w:val="000000" w:themeColor="text1"/>
                <w:sz w:val="20"/>
                <w:szCs w:val="20"/>
              </w:rPr>
            </w:pPr>
            <w:r w:rsidRPr="00D43728">
              <w:rPr>
                <w:rFonts w:cstheme="minorHAnsi"/>
                <w:bCs/>
                <w:color w:val="000000" w:themeColor="text1"/>
                <w:sz w:val="20"/>
                <w:szCs w:val="20"/>
              </w:rPr>
              <w:t xml:space="preserve">Improved top 200 customer billings by $8840 per month </w:t>
            </w:r>
          </w:p>
        </w:tc>
        <w:tc>
          <w:tcPr>
            <w:tcW w:w="4283" w:type="dxa"/>
            <w:shd w:val="clear" w:color="auto" w:fill="D5DCE4" w:themeFill="text2" w:themeFillTint="33"/>
          </w:tcPr>
          <w:p w14:paraId="03E5B435" w14:textId="77777777" w:rsidR="00E57C52" w:rsidRPr="00D43728" w:rsidRDefault="00E57C52" w:rsidP="007530F0">
            <w:pPr>
              <w:pStyle w:val="ListParagraph"/>
              <w:numPr>
                <w:ilvl w:val="0"/>
                <w:numId w:val="5"/>
              </w:numPr>
              <w:spacing w:afterLines="10" w:after="24"/>
              <w:rPr>
                <w:rFonts w:cstheme="minorHAnsi"/>
                <w:bCs/>
                <w:color w:val="000000" w:themeColor="text1"/>
                <w:sz w:val="20"/>
                <w:szCs w:val="20"/>
              </w:rPr>
            </w:pPr>
            <w:r w:rsidRPr="00D43728">
              <w:rPr>
                <w:color w:val="000000"/>
                <w:sz w:val="20"/>
                <w:szCs w:val="20"/>
              </w:rPr>
              <w:t xml:space="preserve">Improved revenues per </w:t>
            </w:r>
            <w:r w:rsidRPr="00D43728">
              <w:rPr>
                <w:rFonts w:cstheme="minorHAnsi"/>
                <w:bCs/>
                <w:color w:val="000000" w:themeColor="text1"/>
                <w:sz w:val="20"/>
                <w:szCs w:val="20"/>
              </w:rPr>
              <w:t xml:space="preserve">by 30%  </w:t>
            </w:r>
          </w:p>
          <w:p w14:paraId="1E3F0D87" w14:textId="77777777" w:rsidR="00E57C52" w:rsidRDefault="00E57C52" w:rsidP="007530F0">
            <w:pPr>
              <w:pStyle w:val="ListParagraph"/>
              <w:numPr>
                <w:ilvl w:val="0"/>
                <w:numId w:val="5"/>
              </w:numPr>
              <w:spacing w:afterLines="10" w:after="24"/>
              <w:rPr>
                <w:rFonts w:cstheme="minorHAnsi"/>
                <w:bCs/>
                <w:color w:val="000000" w:themeColor="text1"/>
                <w:sz w:val="20"/>
                <w:szCs w:val="20"/>
              </w:rPr>
            </w:pPr>
            <w:r w:rsidRPr="00D43728">
              <w:rPr>
                <w:rFonts w:cstheme="minorHAnsi"/>
                <w:bCs/>
                <w:color w:val="000000" w:themeColor="text1"/>
                <w:sz w:val="20"/>
                <w:szCs w:val="20"/>
              </w:rPr>
              <w:t xml:space="preserve">Commercialized Direct </w:t>
            </w:r>
          </w:p>
          <w:p w14:paraId="73F6B753" w14:textId="77777777" w:rsidR="00E57C52" w:rsidRPr="00D43728" w:rsidRDefault="00E57C52" w:rsidP="007530F0">
            <w:pPr>
              <w:pStyle w:val="ListParagraph"/>
              <w:numPr>
                <w:ilvl w:val="0"/>
                <w:numId w:val="5"/>
              </w:numPr>
              <w:spacing w:afterLines="10" w:after="24"/>
              <w:rPr>
                <w:rFonts w:cstheme="minorHAnsi"/>
                <w:bCs/>
                <w:color w:val="000000" w:themeColor="text1"/>
                <w:sz w:val="20"/>
                <w:szCs w:val="20"/>
              </w:rPr>
            </w:pPr>
            <w:r>
              <w:rPr>
                <w:rFonts w:cstheme="minorHAnsi"/>
                <w:bCs/>
                <w:color w:val="000000" w:themeColor="text1"/>
                <w:sz w:val="20"/>
                <w:szCs w:val="20"/>
              </w:rPr>
              <w:t>Increased monthly billings 300%</w:t>
            </w:r>
          </w:p>
        </w:tc>
      </w:tr>
    </w:tbl>
    <w:p w14:paraId="74FB4297" w14:textId="77777777" w:rsidR="00E57C52" w:rsidRDefault="00E57C52" w:rsidP="0046445C">
      <w:pPr>
        <w:rPr>
          <w:sz w:val="36"/>
          <w:szCs w:val="36"/>
        </w:rPr>
      </w:pPr>
    </w:p>
    <w:p w14:paraId="738C3ADF" w14:textId="45AF027C" w:rsidR="00425BBF" w:rsidRPr="00966D92" w:rsidRDefault="003D3767" w:rsidP="0046445C">
      <w:pPr>
        <w:rPr>
          <w:rFonts w:ascii="Open Sans" w:hAnsi="Open Sans" w:cs="Open Sans"/>
          <w:sz w:val="36"/>
          <w:szCs w:val="36"/>
        </w:rPr>
      </w:pPr>
      <w:r w:rsidRPr="00966D92">
        <w:rPr>
          <w:rFonts w:ascii="Open Sans" w:hAnsi="Open Sans" w:cs="Open Sans"/>
          <w:b/>
          <w:sz w:val="36"/>
          <w:szCs w:val="36"/>
        </w:rPr>
        <w:lastRenderedPageBreak/>
        <w:t>I</w:t>
      </w:r>
      <w:r w:rsidR="00966D92" w:rsidRPr="00966D92">
        <w:rPr>
          <w:rFonts w:ascii="Open Sans" w:hAnsi="Open Sans" w:cs="Open Sans"/>
          <w:b/>
          <w:sz w:val="36"/>
          <w:szCs w:val="36"/>
        </w:rPr>
        <w:t xml:space="preserve">mpact Statement </w:t>
      </w:r>
      <w:r w:rsidRPr="00966D92">
        <w:rPr>
          <w:rFonts w:ascii="Open Sans" w:hAnsi="Open Sans" w:cs="Open Sans"/>
          <w:b/>
          <w:sz w:val="36"/>
          <w:szCs w:val="36"/>
        </w:rPr>
        <w:t xml:space="preserve">/ </w:t>
      </w:r>
      <w:r w:rsidRPr="00966D92">
        <w:rPr>
          <w:rFonts w:ascii="Open Sans" w:hAnsi="Open Sans" w:cs="Open Sans"/>
          <w:sz w:val="36"/>
          <w:szCs w:val="36"/>
        </w:rPr>
        <w:t>LeadGen</w:t>
      </w:r>
    </w:p>
    <w:p w14:paraId="37901EC0" w14:textId="11ECB7B3" w:rsidR="003D3767" w:rsidRPr="00966D92" w:rsidRDefault="00966D92" w:rsidP="003D3767">
      <w:pPr>
        <w:rPr>
          <w:rFonts w:ascii="Open Sans" w:hAnsi="Open Sans" w:cs="Open Sans"/>
          <w:sz w:val="28"/>
          <w:szCs w:val="30"/>
        </w:rPr>
      </w:pPr>
      <w:r>
        <w:rPr>
          <w:rFonts w:ascii="Open Sans" w:hAnsi="Open Sans" w:cs="Open Sans"/>
          <w:sz w:val="28"/>
          <w:szCs w:val="30"/>
        </w:rPr>
        <w:t xml:space="preserve">Sales Center Right Sizes its Portfolio </w:t>
      </w:r>
    </w:p>
    <w:p w14:paraId="2EF884B1" w14:textId="77777777" w:rsidR="003D3767" w:rsidRPr="00966D92" w:rsidRDefault="003D3767" w:rsidP="003D3767">
      <w:pPr>
        <w:rPr>
          <w:rFonts w:ascii="Open Sans" w:hAnsi="Open Sans" w:cs="Open Sans"/>
          <w:bCs/>
          <w:color w:val="000000" w:themeColor="text1"/>
          <w:sz w:val="24"/>
        </w:rPr>
      </w:pPr>
      <w:r w:rsidRPr="00966D92">
        <w:rPr>
          <w:rFonts w:ascii="Open Sans" w:hAnsi="Open Sans" w:cs="Open Sans"/>
        </w:rPr>
        <w:t>P&amp;L Impact:</w:t>
      </w: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873"/>
      </w:tblGrid>
      <w:tr w:rsidR="003D3767" w:rsidRPr="00966D92" w14:paraId="71470D1D" w14:textId="77777777" w:rsidTr="00094367">
        <w:trPr>
          <w:trHeight w:val="1486"/>
        </w:trPr>
        <w:tc>
          <w:tcPr>
            <w:tcW w:w="6840" w:type="dxa"/>
            <w:tcBorders>
              <w:right w:val="single" w:sz="4" w:space="0" w:color="auto"/>
            </w:tcBorders>
          </w:tcPr>
          <w:p w14:paraId="0F074515" w14:textId="77777777" w:rsidR="003D3767" w:rsidRPr="00966D92" w:rsidRDefault="003D3767" w:rsidP="007530F0">
            <w:pPr>
              <w:spacing w:afterLines="40" w:after="96"/>
              <w:rPr>
                <w:rFonts w:ascii="Open Sans" w:hAnsi="Open Sans" w:cs="Open Sans"/>
                <w:b/>
                <w:bCs/>
                <w:color w:val="000000" w:themeColor="text1"/>
                <w:sz w:val="24"/>
              </w:rPr>
            </w:pPr>
            <w:r w:rsidRPr="00966D92">
              <w:rPr>
                <w:rFonts w:ascii="Open Sans" w:hAnsi="Open Sans" w:cs="Open Sans"/>
                <w:noProof/>
              </w:rPr>
              <w:drawing>
                <wp:inline distT="0" distB="0" distL="0" distR="0" wp14:anchorId="5FE09094" wp14:editId="755F425A">
                  <wp:extent cx="4114800" cy="106455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1603" cy="1068900"/>
                          </a:xfrm>
                          <a:prstGeom prst="rect">
                            <a:avLst/>
                          </a:prstGeom>
                          <a:noFill/>
                          <a:ln>
                            <a:noFill/>
                          </a:ln>
                        </pic:spPr>
                      </pic:pic>
                    </a:graphicData>
                  </a:graphic>
                </wp:inline>
              </w:drawing>
            </w:r>
          </w:p>
        </w:tc>
        <w:tc>
          <w:tcPr>
            <w:tcW w:w="2873" w:type="dxa"/>
            <w:tcBorders>
              <w:left w:val="single" w:sz="4" w:space="0" w:color="auto"/>
            </w:tcBorders>
          </w:tcPr>
          <w:p w14:paraId="24F1F4BF" w14:textId="5D05E38D" w:rsidR="003D3767" w:rsidRPr="00966D92" w:rsidRDefault="003D3767" w:rsidP="007530F0">
            <w:pPr>
              <w:pStyle w:val="ListParagraph"/>
              <w:numPr>
                <w:ilvl w:val="0"/>
                <w:numId w:val="4"/>
              </w:numPr>
              <w:spacing w:afterLines="40" w:after="96"/>
              <w:rPr>
                <w:rFonts w:ascii="Open Sans" w:hAnsi="Open Sans" w:cs="Open Sans"/>
                <w:bCs/>
                <w:color w:val="000000" w:themeColor="text1"/>
                <w:sz w:val="24"/>
              </w:rPr>
            </w:pPr>
            <w:r w:rsidRPr="00966D92">
              <w:rPr>
                <w:rFonts w:ascii="Open Sans" w:hAnsi="Open Sans" w:cs="Open Sans"/>
                <w:bCs/>
                <w:color w:val="000000" w:themeColor="text1"/>
                <w:sz w:val="24"/>
              </w:rPr>
              <w:t xml:space="preserve">Improved Profitability of the company by </w:t>
            </w:r>
            <w:r w:rsidR="00966D92">
              <w:rPr>
                <w:rFonts w:ascii="Open Sans" w:hAnsi="Open Sans" w:cs="Open Sans"/>
                <w:bCs/>
                <w:color w:val="000000" w:themeColor="text1"/>
                <w:sz w:val="24"/>
              </w:rPr>
              <w:t>solution</w:t>
            </w:r>
            <w:r w:rsidRPr="00966D92">
              <w:rPr>
                <w:rFonts w:ascii="Open Sans" w:hAnsi="Open Sans" w:cs="Open Sans"/>
                <w:bCs/>
                <w:color w:val="000000" w:themeColor="text1"/>
                <w:sz w:val="24"/>
              </w:rPr>
              <w:t xml:space="preserve">, </w:t>
            </w:r>
            <w:r w:rsidR="00966D92">
              <w:rPr>
                <w:rFonts w:ascii="Open Sans" w:hAnsi="Open Sans" w:cs="Open Sans"/>
                <w:bCs/>
                <w:color w:val="000000" w:themeColor="text1"/>
                <w:sz w:val="24"/>
              </w:rPr>
              <w:t xml:space="preserve">and improved overall gross profit from &lt;40% to </w:t>
            </w:r>
            <w:r w:rsidR="00966D92" w:rsidRPr="00966D92">
              <w:rPr>
                <w:rFonts w:ascii="Open Sans" w:hAnsi="Open Sans" w:cs="Open Sans"/>
                <w:b/>
                <w:bCs/>
                <w:color w:val="000000" w:themeColor="text1"/>
                <w:sz w:val="24"/>
              </w:rPr>
              <w:t>5</w:t>
            </w:r>
            <w:r w:rsidR="00966D92">
              <w:rPr>
                <w:rFonts w:ascii="Open Sans" w:hAnsi="Open Sans" w:cs="Open Sans"/>
                <w:b/>
                <w:bCs/>
                <w:color w:val="000000" w:themeColor="text1"/>
                <w:sz w:val="24"/>
              </w:rPr>
              <w:t>3</w:t>
            </w:r>
            <w:r w:rsidR="00966D92" w:rsidRPr="00966D92">
              <w:rPr>
                <w:rFonts w:ascii="Open Sans" w:hAnsi="Open Sans" w:cs="Open Sans"/>
                <w:b/>
                <w:bCs/>
                <w:color w:val="000000" w:themeColor="text1"/>
                <w:sz w:val="24"/>
              </w:rPr>
              <w:t>%</w:t>
            </w:r>
            <w:r w:rsidR="00966D92">
              <w:rPr>
                <w:rFonts w:ascii="Open Sans" w:hAnsi="Open Sans" w:cs="Open Sans"/>
                <w:bCs/>
                <w:color w:val="000000" w:themeColor="text1"/>
                <w:sz w:val="24"/>
              </w:rPr>
              <w:t>, and improved EBITDA &lt;9% to</w:t>
            </w:r>
            <w:r w:rsidRPr="00966D92">
              <w:rPr>
                <w:rFonts w:ascii="Open Sans" w:hAnsi="Open Sans" w:cs="Open Sans"/>
                <w:bCs/>
                <w:color w:val="000000" w:themeColor="text1"/>
                <w:sz w:val="24"/>
              </w:rPr>
              <w:t xml:space="preserve"> </w:t>
            </w:r>
            <w:r w:rsidRPr="00966D92">
              <w:rPr>
                <w:rFonts w:ascii="Open Sans" w:hAnsi="Open Sans" w:cs="Open Sans"/>
                <w:b/>
                <w:bCs/>
                <w:color w:val="000000" w:themeColor="text1"/>
                <w:sz w:val="24"/>
              </w:rPr>
              <w:t>17%.</w:t>
            </w:r>
          </w:p>
        </w:tc>
      </w:tr>
    </w:tbl>
    <w:p w14:paraId="4DCF078C" w14:textId="77777777" w:rsidR="003D3767" w:rsidRPr="00966D92" w:rsidRDefault="003D3767" w:rsidP="003D3767">
      <w:pPr>
        <w:spacing w:afterLines="40" w:after="96" w:line="240" w:lineRule="auto"/>
        <w:jc w:val="center"/>
        <w:rPr>
          <w:rFonts w:ascii="Open Sans" w:hAnsi="Open Sans" w:cs="Open Sans"/>
          <w:bCs/>
          <w:color w:val="000000" w:themeColor="text1"/>
          <w:sz w:val="24"/>
        </w:rPr>
      </w:pPr>
      <w:r w:rsidRPr="00966D92">
        <w:rPr>
          <w:rFonts w:ascii="Open Sans" w:hAnsi="Open Sans" w:cs="Open Sans"/>
          <w:bCs/>
          <w:color w:val="000000" w:themeColor="text1"/>
          <w:sz w:val="24"/>
        </w:rPr>
        <w:t>How the Results Were Achieved:</w:t>
      </w:r>
    </w:p>
    <w:tbl>
      <w:tblPr>
        <w:tblStyle w:val="TableGrid"/>
        <w:tblW w:w="9805" w:type="dxa"/>
        <w:jc w:val="center"/>
        <w:tblLook w:val="04A0" w:firstRow="1" w:lastRow="0" w:firstColumn="1" w:lastColumn="0" w:noHBand="0" w:noVBand="1"/>
      </w:tblPr>
      <w:tblGrid>
        <w:gridCol w:w="2875"/>
        <w:gridCol w:w="1799"/>
        <w:gridCol w:w="3061"/>
        <w:gridCol w:w="2070"/>
      </w:tblGrid>
      <w:tr w:rsidR="003D3767" w:rsidRPr="00966D92" w14:paraId="48347C12" w14:textId="77777777" w:rsidTr="007530F0">
        <w:trPr>
          <w:jc w:val="center"/>
        </w:trPr>
        <w:tc>
          <w:tcPr>
            <w:tcW w:w="2875" w:type="dxa"/>
          </w:tcPr>
          <w:p w14:paraId="1A6162FF" w14:textId="77777777" w:rsidR="003D3767" w:rsidRPr="00966D92" w:rsidRDefault="003D3767" w:rsidP="007530F0">
            <w:pPr>
              <w:spacing w:afterLines="40" w:after="96"/>
              <w:jc w:val="center"/>
              <w:rPr>
                <w:rFonts w:ascii="Open Sans" w:hAnsi="Open Sans" w:cs="Open Sans"/>
                <w:b/>
                <w:bCs/>
                <w:color w:val="000000" w:themeColor="text1"/>
                <w:sz w:val="28"/>
              </w:rPr>
            </w:pPr>
            <w:r w:rsidRPr="00966D92">
              <w:rPr>
                <w:rFonts w:ascii="Open Sans" w:hAnsi="Open Sans" w:cs="Open Sans"/>
                <w:b/>
                <w:bCs/>
                <w:color w:val="000000" w:themeColor="text1"/>
                <w:sz w:val="36"/>
                <w:szCs w:val="36"/>
              </w:rPr>
              <w:br/>
              <w:t>4.25X</w:t>
            </w:r>
            <w:r w:rsidRPr="00966D92">
              <w:rPr>
                <w:rFonts w:ascii="Open Sans" w:hAnsi="Open Sans" w:cs="Open Sans"/>
                <w:b/>
                <w:bCs/>
                <w:color w:val="000000" w:themeColor="text1"/>
                <w:sz w:val="28"/>
              </w:rPr>
              <w:t xml:space="preserve"> </w:t>
            </w:r>
            <w:r w:rsidRPr="00966D92">
              <w:rPr>
                <w:rFonts w:ascii="Open Sans" w:hAnsi="Open Sans" w:cs="Open Sans"/>
                <w:b/>
                <w:bCs/>
                <w:color w:val="000000" w:themeColor="text1"/>
                <w:sz w:val="28"/>
              </w:rPr>
              <w:br/>
            </w:r>
            <w:r w:rsidRPr="00966D92">
              <w:rPr>
                <w:rFonts w:ascii="Open Sans" w:hAnsi="Open Sans" w:cs="Open Sans"/>
                <w:b/>
                <w:bCs/>
                <w:color w:val="000000" w:themeColor="text1"/>
                <w:sz w:val="24"/>
                <w:szCs w:val="24"/>
              </w:rPr>
              <w:t>Profit Improvement Realized</w:t>
            </w:r>
          </w:p>
        </w:tc>
        <w:tc>
          <w:tcPr>
            <w:tcW w:w="4860" w:type="dxa"/>
            <w:gridSpan w:val="2"/>
          </w:tcPr>
          <w:p w14:paraId="251FA203" w14:textId="77777777" w:rsidR="003D3767" w:rsidRPr="00966D92" w:rsidRDefault="003D3767" w:rsidP="007530F0">
            <w:pPr>
              <w:spacing w:afterLines="40" w:after="96"/>
              <w:rPr>
                <w:rFonts w:ascii="Open Sans" w:hAnsi="Open Sans" w:cs="Open Sans"/>
                <w:b/>
                <w:bCs/>
                <w:color w:val="000000" w:themeColor="text1"/>
                <w:sz w:val="20"/>
                <w:szCs w:val="20"/>
              </w:rPr>
            </w:pPr>
          </w:p>
          <w:p w14:paraId="49970A9B" w14:textId="77777777" w:rsidR="003D3767" w:rsidRPr="00966D92" w:rsidRDefault="003D3767" w:rsidP="007530F0">
            <w:pPr>
              <w:spacing w:afterLines="40" w:after="96"/>
              <w:rPr>
                <w:rFonts w:ascii="Open Sans" w:hAnsi="Open Sans" w:cs="Open Sans"/>
                <w:b/>
                <w:bCs/>
                <w:color w:val="000000" w:themeColor="text1"/>
                <w:sz w:val="20"/>
                <w:szCs w:val="20"/>
              </w:rPr>
            </w:pPr>
          </w:p>
          <w:p w14:paraId="427EBB05" w14:textId="77777777" w:rsidR="003D3767" w:rsidRPr="00966D92" w:rsidRDefault="003D3767" w:rsidP="007530F0">
            <w:pPr>
              <w:spacing w:afterLines="40" w:after="96"/>
              <w:rPr>
                <w:rFonts w:ascii="Open Sans" w:hAnsi="Open Sans" w:cs="Open Sans"/>
                <w:b/>
                <w:bCs/>
                <w:color w:val="000000" w:themeColor="text1"/>
                <w:sz w:val="20"/>
                <w:szCs w:val="20"/>
              </w:rPr>
            </w:pPr>
          </w:p>
          <w:p w14:paraId="12D97913" w14:textId="1F5DB28F" w:rsidR="003D3767" w:rsidRPr="00966D92" w:rsidRDefault="003D3767" w:rsidP="007530F0">
            <w:pPr>
              <w:spacing w:afterLines="40" w:after="96"/>
              <w:rPr>
                <w:rFonts w:ascii="Open Sans" w:hAnsi="Open Sans" w:cs="Open Sans"/>
                <w:bCs/>
                <w:color w:val="000000" w:themeColor="text1"/>
                <w:sz w:val="28"/>
              </w:rPr>
            </w:pPr>
            <w:r w:rsidRPr="00966D92">
              <w:rPr>
                <w:rFonts w:ascii="Open Sans" w:hAnsi="Open Sans" w:cs="Open Sans"/>
                <w:bCs/>
                <w:color w:val="000000" w:themeColor="text1"/>
                <w:sz w:val="20"/>
                <w:szCs w:val="20"/>
              </w:rPr>
              <w:t xml:space="preserve">The Model Change Impact on Profitability was based on the shift </w:t>
            </w:r>
            <w:r w:rsidRPr="00966D92">
              <w:rPr>
                <w:rFonts w:ascii="Open Sans" w:hAnsi="Open Sans" w:cs="Open Sans"/>
                <w:bCs/>
                <w:color w:val="FF0000"/>
                <w:sz w:val="20"/>
                <w:szCs w:val="20"/>
              </w:rPr>
              <w:t xml:space="preserve">from </w:t>
            </w:r>
            <w:r w:rsidR="00966D92">
              <w:rPr>
                <w:rFonts w:ascii="Open Sans" w:hAnsi="Open Sans" w:cs="Open Sans"/>
                <w:bCs/>
                <w:color w:val="FF0000"/>
                <w:sz w:val="20"/>
                <w:szCs w:val="20"/>
              </w:rPr>
              <w:t>43</w:t>
            </w:r>
            <w:r w:rsidRPr="00966D92">
              <w:rPr>
                <w:rFonts w:ascii="Open Sans" w:hAnsi="Open Sans" w:cs="Open Sans"/>
                <w:bCs/>
                <w:color w:val="000000" w:themeColor="text1"/>
                <w:sz w:val="20"/>
                <w:szCs w:val="20"/>
              </w:rPr>
              <w:t xml:space="preserve">% to </w:t>
            </w:r>
            <w:r w:rsidR="00966D92" w:rsidRPr="00966D92">
              <w:rPr>
                <w:rFonts w:ascii="Open Sans" w:hAnsi="Open Sans" w:cs="Open Sans"/>
                <w:b/>
                <w:bCs/>
                <w:color w:val="000000" w:themeColor="text1"/>
                <w:sz w:val="20"/>
                <w:szCs w:val="20"/>
              </w:rPr>
              <w:t>53</w:t>
            </w:r>
            <w:r w:rsidRPr="00966D92">
              <w:rPr>
                <w:rFonts w:ascii="Open Sans" w:hAnsi="Open Sans" w:cs="Open Sans"/>
                <w:b/>
                <w:bCs/>
                <w:color w:val="000000" w:themeColor="text1"/>
                <w:sz w:val="24"/>
                <w:szCs w:val="24"/>
              </w:rPr>
              <w:t>%</w:t>
            </w:r>
            <w:r w:rsidRPr="00966D92">
              <w:rPr>
                <w:rFonts w:ascii="Open Sans" w:hAnsi="Open Sans" w:cs="Open Sans"/>
                <w:bCs/>
                <w:color w:val="000000" w:themeColor="text1"/>
                <w:sz w:val="20"/>
                <w:szCs w:val="20"/>
              </w:rPr>
              <w:t xml:space="preserve"> Gross Profit. </w:t>
            </w:r>
          </w:p>
        </w:tc>
        <w:tc>
          <w:tcPr>
            <w:tcW w:w="2070" w:type="dxa"/>
            <w:vMerge w:val="restart"/>
          </w:tcPr>
          <w:p w14:paraId="3C06819A" w14:textId="77777777" w:rsidR="003D3767" w:rsidRPr="00966D92" w:rsidRDefault="003D3767" w:rsidP="007530F0">
            <w:pPr>
              <w:spacing w:afterLines="40" w:after="96"/>
              <w:rPr>
                <w:rFonts w:ascii="Open Sans" w:hAnsi="Open Sans" w:cs="Open Sans"/>
                <w:b/>
                <w:bCs/>
                <w:color w:val="000000" w:themeColor="text1"/>
                <w:sz w:val="28"/>
              </w:rPr>
            </w:pPr>
          </w:p>
          <w:p w14:paraId="60A6D785" w14:textId="77777777" w:rsidR="003D3767" w:rsidRPr="00966D92" w:rsidRDefault="003D3767" w:rsidP="007530F0">
            <w:pPr>
              <w:spacing w:afterLines="40" w:after="96"/>
              <w:rPr>
                <w:rFonts w:ascii="Open Sans" w:hAnsi="Open Sans" w:cs="Open Sans"/>
                <w:b/>
                <w:bCs/>
                <w:color w:val="000000" w:themeColor="text1"/>
                <w:sz w:val="28"/>
              </w:rPr>
            </w:pPr>
          </w:p>
          <w:p w14:paraId="7BA6FCB4" w14:textId="77777777" w:rsidR="003D3767" w:rsidRPr="00966D92" w:rsidRDefault="003D3767" w:rsidP="007530F0">
            <w:pPr>
              <w:spacing w:afterLines="40" w:after="96"/>
              <w:rPr>
                <w:rFonts w:ascii="Open Sans" w:hAnsi="Open Sans" w:cs="Open Sans"/>
                <w:bCs/>
                <w:color w:val="000000" w:themeColor="text1"/>
                <w:sz w:val="20"/>
                <w:szCs w:val="24"/>
              </w:rPr>
            </w:pPr>
            <w:r w:rsidRPr="00966D92">
              <w:rPr>
                <w:rFonts w:ascii="Open Sans" w:hAnsi="Open Sans" w:cs="Open Sans"/>
                <w:b/>
                <w:bCs/>
                <w:color w:val="000000" w:themeColor="text1"/>
                <w:sz w:val="28"/>
              </w:rPr>
              <w:t xml:space="preserve">$8,840 </w:t>
            </w:r>
            <w:r w:rsidRPr="00966D92">
              <w:rPr>
                <w:rFonts w:ascii="Open Sans" w:hAnsi="Open Sans" w:cs="Open Sans"/>
                <w:b/>
                <w:bCs/>
                <w:color w:val="000000" w:themeColor="text1"/>
                <w:sz w:val="28"/>
              </w:rPr>
              <w:br/>
            </w:r>
            <w:r w:rsidRPr="00966D92">
              <w:rPr>
                <w:rFonts w:ascii="Open Sans" w:hAnsi="Open Sans" w:cs="Open Sans"/>
                <w:bCs/>
                <w:color w:val="000000" w:themeColor="text1"/>
                <w:sz w:val="20"/>
                <w:szCs w:val="24"/>
              </w:rPr>
              <w:t xml:space="preserve">average increase in monthly billings for the top 200 customers </w:t>
            </w:r>
          </w:p>
          <w:p w14:paraId="50397B1A" w14:textId="77777777" w:rsidR="003D3767" w:rsidRPr="00966D92" w:rsidRDefault="003D3767" w:rsidP="007530F0">
            <w:pPr>
              <w:spacing w:afterLines="40" w:after="96"/>
              <w:rPr>
                <w:rFonts w:ascii="Open Sans" w:hAnsi="Open Sans" w:cs="Open Sans"/>
                <w:bCs/>
                <w:color w:val="000000" w:themeColor="text1"/>
                <w:sz w:val="20"/>
                <w:szCs w:val="20"/>
              </w:rPr>
            </w:pPr>
          </w:p>
        </w:tc>
      </w:tr>
      <w:tr w:rsidR="003D3767" w:rsidRPr="00966D92" w14:paraId="416439CB" w14:textId="77777777" w:rsidTr="007530F0">
        <w:trPr>
          <w:jc w:val="center"/>
        </w:trPr>
        <w:tc>
          <w:tcPr>
            <w:tcW w:w="2875" w:type="dxa"/>
          </w:tcPr>
          <w:p w14:paraId="2088A066" w14:textId="23389CB4" w:rsidR="003D3767" w:rsidRPr="00966D92" w:rsidRDefault="003D3767" w:rsidP="007530F0">
            <w:pPr>
              <w:spacing w:afterLines="40" w:after="96"/>
              <w:rPr>
                <w:rFonts w:ascii="Open Sans" w:hAnsi="Open Sans" w:cs="Open Sans"/>
                <w:bCs/>
                <w:color w:val="000000" w:themeColor="text1"/>
                <w:sz w:val="20"/>
                <w:szCs w:val="20"/>
              </w:rPr>
            </w:pPr>
            <w:r w:rsidRPr="00966D92">
              <w:rPr>
                <w:rFonts w:ascii="Open Sans" w:hAnsi="Open Sans" w:cs="Open Sans"/>
                <w:bCs/>
                <w:color w:val="000000" w:themeColor="text1"/>
                <w:sz w:val="20"/>
                <w:szCs w:val="20"/>
              </w:rPr>
              <w:t>Increased the number of product, service, technology and vendors</w:t>
            </w:r>
            <w:r w:rsidR="00966D92">
              <w:rPr>
                <w:rFonts w:ascii="Open Sans" w:hAnsi="Open Sans" w:cs="Open Sans"/>
                <w:bCs/>
                <w:color w:val="000000" w:themeColor="text1"/>
                <w:sz w:val="20"/>
                <w:szCs w:val="20"/>
              </w:rPr>
              <w:t>,</w:t>
            </w:r>
            <w:r w:rsidRPr="00966D92">
              <w:rPr>
                <w:rFonts w:ascii="Open Sans" w:hAnsi="Open Sans" w:cs="Open Sans"/>
                <w:bCs/>
                <w:color w:val="000000" w:themeColor="text1"/>
                <w:sz w:val="20"/>
                <w:szCs w:val="20"/>
              </w:rPr>
              <w:t xml:space="preserve"> and partners </w:t>
            </w:r>
            <w:r w:rsidRPr="00966D92">
              <w:rPr>
                <w:rFonts w:ascii="Open Sans" w:hAnsi="Open Sans" w:cs="Open Sans"/>
                <w:b/>
                <w:bCs/>
                <w:color w:val="000000" w:themeColor="text1"/>
                <w:sz w:val="20"/>
                <w:szCs w:val="20"/>
              </w:rPr>
              <w:t>bundled into add-on service packages</w:t>
            </w:r>
            <w:r w:rsidRPr="00966D92">
              <w:rPr>
                <w:rFonts w:ascii="Open Sans" w:hAnsi="Open Sans" w:cs="Open Sans"/>
                <w:bCs/>
                <w:color w:val="000000" w:themeColor="text1"/>
                <w:sz w:val="20"/>
                <w:szCs w:val="20"/>
              </w:rPr>
              <w:t xml:space="preserve"> to increase average contract value </w:t>
            </w:r>
            <w:r w:rsidRPr="00966D92">
              <w:rPr>
                <w:rFonts w:ascii="Open Sans" w:hAnsi="Open Sans" w:cs="Open Sans"/>
                <w:b/>
                <w:bCs/>
                <w:color w:val="000000" w:themeColor="text1"/>
                <w:sz w:val="24"/>
                <w:szCs w:val="24"/>
              </w:rPr>
              <w:t>33%</w:t>
            </w:r>
          </w:p>
        </w:tc>
        <w:tc>
          <w:tcPr>
            <w:tcW w:w="1799" w:type="dxa"/>
          </w:tcPr>
          <w:p w14:paraId="347E2513" w14:textId="77777777" w:rsidR="003D3767" w:rsidRPr="00966D92" w:rsidRDefault="003D3767" w:rsidP="007530F0">
            <w:pPr>
              <w:rPr>
                <w:rFonts w:ascii="Open Sans" w:hAnsi="Open Sans" w:cs="Open Sans"/>
                <w:sz w:val="20"/>
                <w:szCs w:val="20"/>
              </w:rPr>
            </w:pPr>
            <w:r w:rsidRPr="00966D92">
              <w:rPr>
                <w:rFonts w:ascii="Open Sans" w:hAnsi="Open Sans" w:cs="Open Sans"/>
                <w:b/>
                <w:bCs/>
                <w:color w:val="000000" w:themeColor="text1"/>
                <w:sz w:val="20"/>
                <w:szCs w:val="20"/>
              </w:rPr>
              <w:t xml:space="preserve">Optimized </w:t>
            </w:r>
            <w:r w:rsidRPr="00966D92">
              <w:rPr>
                <w:rFonts w:ascii="Open Sans" w:hAnsi="Open Sans" w:cs="Open Sans"/>
                <w:sz w:val="20"/>
                <w:szCs w:val="20"/>
              </w:rPr>
              <w:t xml:space="preserve">compensation </w:t>
            </w:r>
            <w:r w:rsidRPr="00966D92">
              <w:rPr>
                <w:rFonts w:ascii="Open Sans" w:hAnsi="Open Sans" w:cs="Open Sans"/>
                <w:b/>
                <w:sz w:val="20"/>
                <w:szCs w:val="20"/>
              </w:rPr>
              <w:t>from 5% to 26%</w:t>
            </w:r>
            <w:r w:rsidRPr="00966D92">
              <w:rPr>
                <w:rFonts w:ascii="Open Sans" w:hAnsi="Open Sans" w:cs="Open Sans"/>
                <w:sz w:val="20"/>
                <w:szCs w:val="20"/>
              </w:rPr>
              <w:t xml:space="preserve"> variable versus fixed </w:t>
            </w:r>
          </w:p>
          <w:p w14:paraId="66611055" w14:textId="77777777" w:rsidR="003D3767" w:rsidRPr="00966D92" w:rsidRDefault="003D3767" w:rsidP="007530F0">
            <w:pPr>
              <w:spacing w:afterLines="40" w:after="96"/>
              <w:rPr>
                <w:rFonts w:ascii="Open Sans" w:hAnsi="Open Sans" w:cs="Open Sans"/>
                <w:b/>
                <w:bCs/>
                <w:color w:val="000000" w:themeColor="text1"/>
                <w:sz w:val="20"/>
                <w:szCs w:val="20"/>
              </w:rPr>
            </w:pPr>
          </w:p>
        </w:tc>
        <w:tc>
          <w:tcPr>
            <w:tcW w:w="3061" w:type="dxa"/>
          </w:tcPr>
          <w:p w14:paraId="34BC8331" w14:textId="7BDCF818" w:rsidR="003D3767" w:rsidRPr="00966D92" w:rsidRDefault="003D3767" w:rsidP="007530F0">
            <w:pPr>
              <w:spacing w:afterLines="40" w:after="96"/>
              <w:rPr>
                <w:rFonts w:ascii="Open Sans" w:hAnsi="Open Sans" w:cs="Open Sans"/>
                <w:b/>
                <w:bCs/>
                <w:color w:val="000000" w:themeColor="text1"/>
                <w:sz w:val="20"/>
                <w:szCs w:val="20"/>
              </w:rPr>
            </w:pPr>
            <w:r w:rsidRPr="00966D92">
              <w:rPr>
                <w:rFonts w:ascii="Open Sans" w:hAnsi="Open Sans" w:cs="Open Sans"/>
                <w:bCs/>
                <w:color w:val="000000" w:themeColor="text1"/>
                <w:sz w:val="20"/>
                <w:szCs w:val="20"/>
              </w:rPr>
              <w:t xml:space="preserve">The impact </w:t>
            </w:r>
            <w:r w:rsidRPr="00966D92">
              <w:rPr>
                <w:rFonts w:ascii="Open Sans" w:hAnsi="Open Sans" w:cs="Open Sans"/>
                <w:b/>
                <w:bCs/>
                <w:color w:val="000000" w:themeColor="text1"/>
                <w:sz w:val="20"/>
                <w:szCs w:val="20"/>
              </w:rPr>
              <w:t xml:space="preserve">improved return on labor </w:t>
            </w:r>
            <w:r w:rsidRPr="00966D92">
              <w:rPr>
                <w:rFonts w:ascii="Open Sans" w:hAnsi="Open Sans" w:cs="Open Sans"/>
                <w:b/>
                <w:bCs/>
                <w:color w:val="000000" w:themeColor="text1"/>
                <w:sz w:val="24"/>
                <w:szCs w:val="24"/>
              </w:rPr>
              <w:t>30%</w:t>
            </w:r>
            <w:r w:rsidRPr="00966D92">
              <w:rPr>
                <w:rFonts w:ascii="Open Sans" w:hAnsi="Open Sans" w:cs="Open Sans"/>
                <w:b/>
                <w:bCs/>
                <w:color w:val="000000" w:themeColor="text1"/>
                <w:sz w:val="20"/>
                <w:szCs w:val="20"/>
              </w:rPr>
              <w:t xml:space="preserve"> </w:t>
            </w:r>
            <w:r w:rsidRPr="00966D92">
              <w:rPr>
                <w:rFonts w:ascii="Open Sans" w:hAnsi="Open Sans" w:cs="Open Sans"/>
                <w:bCs/>
                <w:color w:val="000000" w:themeColor="text1"/>
                <w:sz w:val="20"/>
                <w:szCs w:val="20"/>
              </w:rPr>
              <w:t>(</w:t>
            </w:r>
            <w:r w:rsidR="00966D92">
              <w:rPr>
                <w:rFonts w:ascii="Open Sans" w:hAnsi="Open Sans" w:cs="Open Sans"/>
                <w:bCs/>
                <w:color w:val="000000" w:themeColor="text1"/>
                <w:sz w:val="20"/>
                <w:szCs w:val="20"/>
              </w:rPr>
              <w:t xml:space="preserve">From less than </w:t>
            </w:r>
            <w:r w:rsidRPr="00966D92">
              <w:rPr>
                <w:rFonts w:ascii="Open Sans" w:hAnsi="Open Sans" w:cs="Open Sans"/>
                <w:bCs/>
                <w:color w:val="000000" w:themeColor="text1"/>
                <w:sz w:val="20"/>
                <w:szCs w:val="20"/>
              </w:rPr>
              <w:t xml:space="preserve">$40k </w:t>
            </w:r>
            <w:r w:rsidR="00966D92">
              <w:rPr>
                <w:rFonts w:ascii="Open Sans" w:hAnsi="Open Sans" w:cs="Open Sans"/>
                <w:bCs/>
                <w:color w:val="000000" w:themeColor="text1"/>
                <w:sz w:val="20"/>
                <w:szCs w:val="20"/>
              </w:rPr>
              <w:t xml:space="preserve">per EE to &gt;$200k – from a staffing center to a solutions </w:t>
            </w:r>
            <w:r w:rsidRPr="00966D92">
              <w:rPr>
                <w:rFonts w:ascii="Open Sans" w:hAnsi="Open Sans" w:cs="Open Sans"/>
                <w:bCs/>
                <w:color w:val="000000" w:themeColor="text1"/>
                <w:sz w:val="20"/>
                <w:szCs w:val="20"/>
              </w:rPr>
              <w:t>model</w:t>
            </w:r>
          </w:p>
        </w:tc>
        <w:tc>
          <w:tcPr>
            <w:tcW w:w="2070" w:type="dxa"/>
            <w:vMerge/>
          </w:tcPr>
          <w:p w14:paraId="3F01C15F" w14:textId="77777777" w:rsidR="003D3767" w:rsidRPr="00966D92" w:rsidRDefault="003D3767" w:rsidP="007530F0">
            <w:pPr>
              <w:spacing w:afterLines="40" w:after="96"/>
              <w:rPr>
                <w:rFonts w:ascii="Open Sans" w:hAnsi="Open Sans" w:cs="Open Sans"/>
                <w:b/>
                <w:bCs/>
                <w:color w:val="000000" w:themeColor="text1"/>
                <w:sz w:val="20"/>
                <w:szCs w:val="20"/>
              </w:rPr>
            </w:pPr>
          </w:p>
        </w:tc>
      </w:tr>
      <w:tr w:rsidR="003D3767" w:rsidRPr="00966D92" w14:paraId="0C117DCD" w14:textId="77777777" w:rsidTr="007530F0">
        <w:trPr>
          <w:jc w:val="center"/>
        </w:trPr>
        <w:tc>
          <w:tcPr>
            <w:tcW w:w="7735" w:type="dxa"/>
            <w:gridSpan w:val="3"/>
            <w:vAlign w:val="center"/>
          </w:tcPr>
          <w:p w14:paraId="3D0A0A3F" w14:textId="32F78BBC" w:rsidR="003D3767" w:rsidRPr="00966D92" w:rsidRDefault="003D3767" w:rsidP="007530F0">
            <w:pPr>
              <w:spacing w:afterLines="40" w:after="96"/>
              <w:jc w:val="center"/>
              <w:rPr>
                <w:rFonts w:ascii="Open Sans" w:hAnsi="Open Sans" w:cs="Open Sans"/>
                <w:bCs/>
                <w:color w:val="000000" w:themeColor="text1"/>
              </w:rPr>
            </w:pPr>
            <w:r w:rsidRPr="00966D92">
              <w:rPr>
                <w:rFonts w:ascii="Open Sans" w:hAnsi="Open Sans" w:cs="Open Sans"/>
                <w:bCs/>
                <w:color w:val="000000" w:themeColor="text1"/>
                <w:sz w:val="20"/>
              </w:rPr>
              <w:t xml:space="preserve">Improved bottom-line EBITDA from </w:t>
            </w:r>
            <w:r w:rsidRPr="00966D92">
              <w:rPr>
                <w:rFonts w:ascii="Open Sans" w:hAnsi="Open Sans" w:cs="Open Sans"/>
                <w:bCs/>
                <w:color w:val="FF0000"/>
                <w:sz w:val="20"/>
              </w:rPr>
              <w:t xml:space="preserve">less than </w:t>
            </w:r>
            <w:r w:rsidR="00966D92">
              <w:rPr>
                <w:rFonts w:ascii="Open Sans" w:hAnsi="Open Sans" w:cs="Open Sans"/>
                <w:bCs/>
                <w:color w:val="FF0000"/>
                <w:sz w:val="20"/>
              </w:rPr>
              <w:t>9</w:t>
            </w:r>
            <w:r w:rsidRPr="00966D92">
              <w:rPr>
                <w:rFonts w:ascii="Open Sans" w:hAnsi="Open Sans" w:cs="Open Sans"/>
                <w:bCs/>
                <w:color w:val="FF0000"/>
                <w:sz w:val="20"/>
              </w:rPr>
              <w:t xml:space="preserve">% </w:t>
            </w:r>
            <w:r w:rsidRPr="00966D92">
              <w:rPr>
                <w:rFonts w:ascii="Open Sans" w:hAnsi="Open Sans" w:cs="Open Sans"/>
                <w:bCs/>
                <w:color w:val="000000" w:themeColor="text1"/>
                <w:sz w:val="20"/>
              </w:rPr>
              <w:t xml:space="preserve">to </w:t>
            </w:r>
            <w:r w:rsidRPr="00966D92">
              <w:rPr>
                <w:rFonts w:ascii="Open Sans" w:hAnsi="Open Sans" w:cs="Open Sans"/>
                <w:b/>
                <w:bCs/>
                <w:color w:val="000000" w:themeColor="text1"/>
                <w:sz w:val="24"/>
              </w:rPr>
              <w:t>17%</w:t>
            </w:r>
          </w:p>
        </w:tc>
        <w:tc>
          <w:tcPr>
            <w:tcW w:w="2070" w:type="dxa"/>
            <w:vMerge/>
          </w:tcPr>
          <w:p w14:paraId="4537E323" w14:textId="77777777" w:rsidR="003D3767" w:rsidRPr="00966D92" w:rsidRDefault="003D3767" w:rsidP="007530F0">
            <w:pPr>
              <w:spacing w:afterLines="40" w:after="96"/>
              <w:jc w:val="center"/>
              <w:rPr>
                <w:rFonts w:ascii="Open Sans" w:hAnsi="Open Sans" w:cs="Open Sans"/>
                <w:bCs/>
                <w:color w:val="000000" w:themeColor="text1"/>
              </w:rPr>
            </w:pPr>
          </w:p>
        </w:tc>
      </w:tr>
    </w:tbl>
    <w:p w14:paraId="1613CAE9" w14:textId="77777777" w:rsidR="003D3767" w:rsidRPr="00094367" w:rsidRDefault="003D3767" w:rsidP="003D3767">
      <w:pPr>
        <w:spacing w:afterLines="40" w:after="96" w:line="240" w:lineRule="auto"/>
        <w:rPr>
          <w:rFonts w:ascii="Open Sans" w:hAnsi="Open Sans" w:cs="Open Sans"/>
          <w:b/>
          <w:bCs/>
          <w:color w:val="000000" w:themeColor="text1"/>
          <w:sz w:val="8"/>
          <w:szCs w:val="8"/>
        </w:rPr>
      </w:pPr>
    </w:p>
    <w:p w14:paraId="105C1148" w14:textId="77777777" w:rsidR="003D3767" w:rsidRPr="00966D92" w:rsidRDefault="003D3767" w:rsidP="003D3767">
      <w:pPr>
        <w:spacing w:afterLines="40" w:after="96" w:line="240" w:lineRule="auto"/>
        <w:jc w:val="center"/>
        <w:rPr>
          <w:rFonts w:ascii="Open Sans" w:hAnsi="Open Sans" w:cs="Open Sans"/>
          <w:bCs/>
          <w:color w:val="000000" w:themeColor="text1"/>
          <w:sz w:val="24"/>
        </w:rPr>
      </w:pPr>
      <w:r w:rsidRPr="00966D92">
        <w:rPr>
          <w:rFonts w:ascii="Open Sans" w:hAnsi="Open Sans" w:cs="Open Sans"/>
          <w:bCs/>
          <w:color w:val="000000" w:themeColor="text1"/>
          <w:sz w:val="24"/>
        </w:rPr>
        <w:t>Crossing the Chasm to an Optimized Portfolio: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3D3767" w:rsidRPr="00966D92" w14:paraId="4457C08B" w14:textId="77777777" w:rsidTr="00094367">
        <w:tc>
          <w:tcPr>
            <w:tcW w:w="4320" w:type="dxa"/>
            <w:tcBorders>
              <w:right w:val="single" w:sz="4" w:space="0" w:color="auto"/>
            </w:tcBorders>
          </w:tcPr>
          <w:p w14:paraId="370FB952" w14:textId="77777777" w:rsidR="003D3767" w:rsidRPr="00966D92" w:rsidRDefault="003D3767" w:rsidP="007530F0">
            <w:pPr>
              <w:spacing w:afterLines="40" w:after="96"/>
              <w:jc w:val="center"/>
              <w:rPr>
                <w:rFonts w:ascii="Open Sans" w:hAnsi="Open Sans" w:cs="Open Sans"/>
                <w:bCs/>
                <w:color w:val="000000" w:themeColor="text1"/>
                <w:sz w:val="24"/>
              </w:rPr>
            </w:pPr>
            <w:r w:rsidRPr="00966D92">
              <w:rPr>
                <w:rFonts w:ascii="Open Sans" w:hAnsi="Open Sans" w:cs="Open Sans"/>
                <w:noProof/>
              </w:rPr>
              <w:drawing>
                <wp:inline distT="0" distB="0" distL="0" distR="0" wp14:anchorId="2C6BBCC4" wp14:editId="245850B0">
                  <wp:extent cx="1451254" cy="100148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82220" cy="1022855"/>
                          </a:xfrm>
                          <a:prstGeom prst="rect">
                            <a:avLst/>
                          </a:prstGeom>
                        </pic:spPr>
                      </pic:pic>
                    </a:graphicData>
                  </a:graphic>
                </wp:inline>
              </w:drawing>
            </w:r>
          </w:p>
        </w:tc>
        <w:tc>
          <w:tcPr>
            <w:tcW w:w="5030" w:type="dxa"/>
            <w:tcBorders>
              <w:left w:val="single" w:sz="4" w:space="0" w:color="auto"/>
            </w:tcBorders>
          </w:tcPr>
          <w:p w14:paraId="7145412C" w14:textId="4072E839" w:rsidR="003D3767" w:rsidRPr="00094367" w:rsidRDefault="003D3767" w:rsidP="007530F0">
            <w:pPr>
              <w:spacing w:afterLines="40" w:after="96"/>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 xml:space="preserve">Changed from staffing </w:t>
            </w:r>
            <w:r w:rsidR="00966D92" w:rsidRPr="00094367">
              <w:rPr>
                <w:rFonts w:ascii="Open Sans" w:hAnsi="Open Sans" w:cs="Open Sans"/>
                <w:bCs/>
                <w:color w:val="000000" w:themeColor="text1"/>
                <w:sz w:val="18"/>
                <w:szCs w:val="18"/>
              </w:rPr>
              <w:t>center to solution model</w:t>
            </w:r>
          </w:p>
          <w:p w14:paraId="68BD8894" w14:textId="77777777" w:rsidR="003D3767" w:rsidRPr="00094367" w:rsidRDefault="003D3767" w:rsidP="007530F0">
            <w:pPr>
              <w:spacing w:afterLines="40" w:after="96"/>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Created Account Management for top 20%</w:t>
            </w:r>
          </w:p>
          <w:p w14:paraId="4A2D8F26" w14:textId="77777777" w:rsidR="003D3767" w:rsidRPr="00094367" w:rsidRDefault="003D3767" w:rsidP="007530F0">
            <w:pPr>
              <w:spacing w:afterLines="40" w:after="96"/>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Bundled products and services</w:t>
            </w:r>
          </w:p>
          <w:p w14:paraId="50D98889" w14:textId="77777777" w:rsidR="003D3767" w:rsidRPr="00966D92" w:rsidRDefault="003D3767" w:rsidP="007530F0">
            <w:pPr>
              <w:spacing w:afterLines="40" w:after="96"/>
              <w:rPr>
                <w:rFonts w:ascii="Open Sans" w:hAnsi="Open Sans" w:cs="Open Sans"/>
                <w:bCs/>
                <w:color w:val="000000" w:themeColor="text1"/>
                <w:sz w:val="24"/>
              </w:rPr>
            </w:pPr>
            <w:r w:rsidRPr="00094367">
              <w:rPr>
                <w:rFonts w:ascii="Open Sans" w:hAnsi="Open Sans" w:cs="Open Sans"/>
                <w:bCs/>
                <w:color w:val="000000" w:themeColor="text1"/>
                <w:sz w:val="18"/>
                <w:szCs w:val="18"/>
              </w:rPr>
              <w:t>Added upsell packages</w:t>
            </w:r>
            <w:r w:rsidRPr="00094367">
              <w:rPr>
                <w:rFonts w:ascii="Open Sans" w:hAnsi="Open Sans" w:cs="Open Sans"/>
                <w:bCs/>
                <w:color w:val="000000" w:themeColor="text1"/>
                <w:sz w:val="20"/>
              </w:rPr>
              <w:t xml:space="preserve"> </w:t>
            </w:r>
          </w:p>
        </w:tc>
      </w:tr>
    </w:tbl>
    <w:p w14:paraId="758266FD" w14:textId="77777777" w:rsidR="003D3767" w:rsidRPr="00966D92" w:rsidRDefault="003D3767" w:rsidP="003D3767">
      <w:pPr>
        <w:spacing w:afterLines="40" w:after="96" w:line="240" w:lineRule="auto"/>
        <w:jc w:val="center"/>
        <w:rPr>
          <w:rFonts w:ascii="Open Sans" w:hAnsi="Open Sans" w:cs="Open Sans"/>
          <w:bCs/>
          <w:color w:val="000000" w:themeColor="text1"/>
          <w:sz w:val="24"/>
        </w:rPr>
      </w:pPr>
      <w:r w:rsidRPr="00966D92">
        <w:rPr>
          <w:rFonts w:ascii="Open Sans" w:hAnsi="Open Sans" w:cs="Open Sans"/>
          <w:bCs/>
          <w:color w:val="000000" w:themeColor="text1"/>
          <w:sz w:val="24"/>
        </w:rPr>
        <w:t>Impact of Services:</w:t>
      </w:r>
    </w:p>
    <w:tbl>
      <w:tblPr>
        <w:tblStyle w:val="TableGrid"/>
        <w:tblW w:w="9535" w:type="dxa"/>
        <w:tblLook w:val="04A0" w:firstRow="1" w:lastRow="0" w:firstColumn="1" w:lastColumn="0" w:noHBand="0" w:noVBand="1"/>
      </w:tblPr>
      <w:tblGrid>
        <w:gridCol w:w="5252"/>
        <w:gridCol w:w="4283"/>
      </w:tblGrid>
      <w:tr w:rsidR="003D3767" w:rsidRPr="00966D92" w14:paraId="3D97DF69" w14:textId="77777777" w:rsidTr="007530F0">
        <w:tc>
          <w:tcPr>
            <w:tcW w:w="5252" w:type="dxa"/>
            <w:shd w:val="clear" w:color="auto" w:fill="70AD47" w:themeFill="accent6"/>
          </w:tcPr>
          <w:p w14:paraId="26B5F797" w14:textId="77777777" w:rsidR="003D3767" w:rsidRPr="00094367" w:rsidRDefault="003D3767" w:rsidP="007530F0">
            <w:pPr>
              <w:spacing w:afterLines="40" w:after="96"/>
              <w:jc w:val="center"/>
              <w:rPr>
                <w:rFonts w:ascii="Open Sans" w:hAnsi="Open Sans" w:cs="Open Sans"/>
                <w:bCs/>
                <w:smallCaps/>
                <w:color w:val="FFFFFF" w:themeColor="background1"/>
                <w:sz w:val="18"/>
                <w:szCs w:val="18"/>
              </w:rPr>
            </w:pPr>
            <w:r w:rsidRPr="00094367">
              <w:rPr>
                <w:rFonts w:ascii="Open Sans" w:hAnsi="Open Sans" w:cs="Open Sans"/>
                <w:bCs/>
                <w:smallCaps/>
                <w:color w:val="FFFFFF" w:themeColor="background1"/>
                <w:sz w:val="18"/>
                <w:szCs w:val="18"/>
              </w:rPr>
              <w:t>Financial Impact</w:t>
            </w:r>
          </w:p>
        </w:tc>
        <w:tc>
          <w:tcPr>
            <w:tcW w:w="4283" w:type="dxa"/>
            <w:shd w:val="clear" w:color="auto" w:fill="4472C4" w:themeFill="accent1"/>
          </w:tcPr>
          <w:p w14:paraId="2DE8231D" w14:textId="77777777" w:rsidR="003D3767" w:rsidRPr="00094367" w:rsidRDefault="003D3767" w:rsidP="007530F0">
            <w:pPr>
              <w:spacing w:afterLines="40" w:after="96"/>
              <w:jc w:val="center"/>
              <w:rPr>
                <w:rFonts w:ascii="Open Sans" w:hAnsi="Open Sans" w:cs="Open Sans"/>
                <w:bCs/>
                <w:smallCaps/>
                <w:color w:val="FFFFFF" w:themeColor="background1"/>
                <w:sz w:val="18"/>
                <w:szCs w:val="18"/>
              </w:rPr>
            </w:pPr>
            <w:r w:rsidRPr="00094367">
              <w:rPr>
                <w:rFonts w:ascii="Open Sans" w:hAnsi="Open Sans" w:cs="Open Sans"/>
                <w:bCs/>
                <w:smallCaps/>
                <w:color w:val="FFFFFF" w:themeColor="background1"/>
                <w:sz w:val="18"/>
                <w:szCs w:val="18"/>
              </w:rPr>
              <w:t>Resources Impact</w:t>
            </w:r>
          </w:p>
        </w:tc>
      </w:tr>
      <w:tr w:rsidR="003D3767" w:rsidRPr="00966D92" w14:paraId="5948FB61" w14:textId="77777777" w:rsidTr="007530F0">
        <w:tc>
          <w:tcPr>
            <w:tcW w:w="5252" w:type="dxa"/>
            <w:shd w:val="clear" w:color="auto" w:fill="E2EFD9" w:themeFill="accent6" w:themeFillTint="33"/>
          </w:tcPr>
          <w:p w14:paraId="06628AC0" w14:textId="77777777" w:rsidR="003D3767" w:rsidRPr="00094367" w:rsidRDefault="003D3767" w:rsidP="007530F0">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Improved profitability from single to double digits</w:t>
            </w:r>
          </w:p>
          <w:p w14:paraId="0D71A5CB" w14:textId="28E76548" w:rsidR="003D3767" w:rsidRPr="00094367" w:rsidRDefault="003D3767" w:rsidP="007530F0">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 xml:space="preserve">Improved Gross Profit from </w:t>
            </w:r>
            <w:r w:rsidR="00966D92" w:rsidRPr="00094367">
              <w:rPr>
                <w:rFonts w:ascii="Open Sans" w:hAnsi="Open Sans" w:cs="Open Sans"/>
                <w:bCs/>
                <w:color w:val="000000" w:themeColor="text1"/>
                <w:sz w:val="18"/>
                <w:szCs w:val="18"/>
              </w:rPr>
              <w:t>43</w:t>
            </w:r>
            <w:r w:rsidRPr="00094367">
              <w:rPr>
                <w:rFonts w:ascii="Open Sans" w:hAnsi="Open Sans" w:cs="Open Sans"/>
                <w:bCs/>
                <w:color w:val="000000" w:themeColor="text1"/>
                <w:sz w:val="18"/>
                <w:szCs w:val="18"/>
              </w:rPr>
              <w:t xml:space="preserve">% to </w:t>
            </w:r>
            <w:r w:rsidR="00966D92" w:rsidRPr="00094367">
              <w:rPr>
                <w:rFonts w:ascii="Open Sans" w:hAnsi="Open Sans" w:cs="Open Sans"/>
                <w:bCs/>
                <w:color w:val="000000" w:themeColor="text1"/>
                <w:sz w:val="18"/>
                <w:szCs w:val="18"/>
              </w:rPr>
              <w:t>53</w:t>
            </w:r>
            <w:r w:rsidRPr="00094367">
              <w:rPr>
                <w:rFonts w:ascii="Open Sans" w:hAnsi="Open Sans" w:cs="Open Sans"/>
                <w:bCs/>
                <w:color w:val="000000" w:themeColor="text1"/>
                <w:sz w:val="18"/>
                <w:szCs w:val="18"/>
              </w:rPr>
              <w:t>%</w:t>
            </w:r>
          </w:p>
          <w:p w14:paraId="5BF21F81" w14:textId="77777777" w:rsidR="003D3767" w:rsidRPr="00094367" w:rsidRDefault="003D3767" w:rsidP="007530F0">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 xml:space="preserve">Improved top 200 customer billings by $8840 per month </w:t>
            </w:r>
          </w:p>
        </w:tc>
        <w:tc>
          <w:tcPr>
            <w:tcW w:w="4283" w:type="dxa"/>
            <w:shd w:val="clear" w:color="auto" w:fill="D5DCE4" w:themeFill="text2" w:themeFillTint="33"/>
          </w:tcPr>
          <w:p w14:paraId="3791BE3C" w14:textId="77777777" w:rsidR="00966D92" w:rsidRPr="00094367" w:rsidRDefault="00966D92" w:rsidP="00966D92">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Staffing model to tech-enabled solutions</w:t>
            </w:r>
          </w:p>
          <w:p w14:paraId="72AF91FE" w14:textId="50FDBB4F" w:rsidR="003D3767" w:rsidRPr="00094367" w:rsidRDefault="003D3767" w:rsidP="007530F0">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color w:val="000000"/>
                <w:sz w:val="18"/>
                <w:szCs w:val="18"/>
              </w:rPr>
              <w:t xml:space="preserve">Improved revenues per </w:t>
            </w:r>
            <w:r w:rsidRPr="00094367">
              <w:rPr>
                <w:rFonts w:ascii="Open Sans" w:hAnsi="Open Sans" w:cs="Open Sans"/>
                <w:bCs/>
                <w:color w:val="000000" w:themeColor="text1"/>
                <w:sz w:val="18"/>
                <w:szCs w:val="18"/>
              </w:rPr>
              <w:t>by 30</w:t>
            </w:r>
            <w:proofErr w:type="gramStart"/>
            <w:r w:rsidRPr="00094367">
              <w:rPr>
                <w:rFonts w:ascii="Open Sans" w:hAnsi="Open Sans" w:cs="Open Sans"/>
                <w:bCs/>
                <w:color w:val="000000" w:themeColor="text1"/>
                <w:sz w:val="18"/>
                <w:szCs w:val="18"/>
              </w:rPr>
              <w:t xml:space="preserve">%  </w:t>
            </w:r>
            <w:r w:rsidR="00966D92" w:rsidRPr="00094367">
              <w:rPr>
                <w:rFonts w:ascii="Open Sans" w:hAnsi="Open Sans" w:cs="Open Sans"/>
                <w:bCs/>
                <w:color w:val="000000" w:themeColor="text1"/>
                <w:sz w:val="18"/>
                <w:szCs w:val="18"/>
              </w:rPr>
              <w:t>per</w:t>
            </w:r>
            <w:proofErr w:type="gramEnd"/>
            <w:r w:rsidR="00966D92" w:rsidRPr="00094367">
              <w:rPr>
                <w:rFonts w:ascii="Open Sans" w:hAnsi="Open Sans" w:cs="Open Sans"/>
                <w:bCs/>
                <w:color w:val="000000" w:themeColor="text1"/>
                <w:sz w:val="18"/>
                <w:szCs w:val="18"/>
              </w:rPr>
              <w:t xml:space="preserve"> client</w:t>
            </w:r>
          </w:p>
          <w:p w14:paraId="6A5EFE27" w14:textId="77777777" w:rsidR="003D3767" w:rsidRPr="00094367" w:rsidRDefault="003D3767" w:rsidP="007530F0">
            <w:pPr>
              <w:pStyle w:val="ListParagraph"/>
              <w:numPr>
                <w:ilvl w:val="0"/>
                <w:numId w:val="5"/>
              </w:numPr>
              <w:spacing w:afterLines="10" w:after="24"/>
              <w:rPr>
                <w:rFonts w:ascii="Open Sans" w:hAnsi="Open Sans" w:cs="Open Sans"/>
                <w:bCs/>
                <w:color w:val="000000" w:themeColor="text1"/>
                <w:sz w:val="18"/>
                <w:szCs w:val="18"/>
              </w:rPr>
            </w:pPr>
            <w:r w:rsidRPr="00094367">
              <w:rPr>
                <w:rFonts w:ascii="Open Sans" w:hAnsi="Open Sans" w:cs="Open Sans"/>
                <w:bCs/>
                <w:color w:val="000000" w:themeColor="text1"/>
                <w:sz w:val="18"/>
                <w:szCs w:val="18"/>
              </w:rPr>
              <w:t>Increased monthly billings 300%</w:t>
            </w:r>
          </w:p>
        </w:tc>
      </w:tr>
    </w:tbl>
    <w:p w14:paraId="511C58CA" w14:textId="77777777" w:rsidR="00353424" w:rsidRPr="00966D92" w:rsidRDefault="00353424" w:rsidP="0046445C">
      <w:pPr>
        <w:rPr>
          <w:rFonts w:ascii="Open Sans" w:hAnsi="Open Sans" w:cs="Open Sans"/>
          <w:sz w:val="36"/>
          <w:szCs w:val="36"/>
        </w:rPr>
      </w:pPr>
    </w:p>
    <w:sectPr w:rsidR="00353424" w:rsidRPr="00966D92" w:rsidSect="00497904">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A89D" w14:textId="77777777" w:rsidR="007530F0" w:rsidRDefault="007530F0" w:rsidP="002A5FF1">
      <w:pPr>
        <w:spacing w:after="0" w:line="240" w:lineRule="auto"/>
      </w:pPr>
      <w:r>
        <w:separator/>
      </w:r>
    </w:p>
  </w:endnote>
  <w:endnote w:type="continuationSeparator" w:id="0">
    <w:p w14:paraId="1F3AD1E7" w14:textId="77777777" w:rsidR="007530F0" w:rsidRDefault="007530F0" w:rsidP="002A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1AB8" w14:textId="77777777" w:rsidR="007530F0" w:rsidRDefault="007530F0" w:rsidP="002A5FF1">
      <w:pPr>
        <w:spacing w:after="0" w:line="240" w:lineRule="auto"/>
      </w:pPr>
      <w:r>
        <w:separator/>
      </w:r>
    </w:p>
  </w:footnote>
  <w:footnote w:type="continuationSeparator" w:id="0">
    <w:p w14:paraId="4A49B571" w14:textId="77777777" w:rsidR="007530F0" w:rsidRDefault="007530F0" w:rsidP="002A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D446" w14:textId="77777777" w:rsidR="007530F0" w:rsidRDefault="007530F0">
    <w:pPr>
      <w:pStyle w:val="Header"/>
    </w:pPr>
    <w:r>
      <w:rPr>
        <w:noProof/>
      </w:rPr>
      <w:drawing>
        <wp:anchor distT="0" distB="0" distL="114300" distR="114300" simplePos="0" relativeHeight="251659264" behindDoc="1" locked="0" layoutInCell="1" allowOverlap="1" wp14:anchorId="6D12FF5F" wp14:editId="0CDBC3B2">
          <wp:simplePos x="0" y="0"/>
          <wp:positionH relativeFrom="page">
            <wp:align>right</wp:align>
          </wp:positionH>
          <wp:positionV relativeFrom="paragraph">
            <wp:posOffset>-438150</wp:posOffset>
          </wp:positionV>
          <wp:extent cx="7800975" cy="1009542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tombston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975" cy="100954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7B1"/>
    <w:multiLevelType w:val="hybridMultilevel"/>
    <w:tmpl w:val="CACEC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D3A"/>
    <w:multiLevelType w:val="hybridMultilevel"/>
    <w:tmpl w:val="567C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5FD6"/>
    <w:multiLevelType w:val="hybridMultilevel"/>
    <w:tmpl w:val="CACE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14EA"/>
    <w:multiLevelType w:val="hybridMultilevel"/>
    <w:tmpl w:val="EF5414F4"/>
    <w:lvl w:ilvl="0" w:tplc="B3601F6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F2264"/>
    <w:multiLevelType w:val="hybridMultilevel"/>
    <w:tmpl w:val="B656B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B1494A"/>
    <w:multiLevelType w:val="hybridMultilevel"/>
    <w:tmpl w:val="CACE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F41FB"/>
    <w:multiLevelType w:val="hybridMultilevel"/>
    <w:tmpl w:val="115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43D93"/>
    <w:multiLevelType w:val="hybridMultilevel"/>
    <w:tmpl w:val="F4FC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378CD"/>
    <w:multiLevelType w:val="hybridMultilevel"/>
    <w:tmpl w:val="34C6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8"/>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9C"/>
    <w:rsid w:val="00006ADE"/>
    <w:rsid w:val="00015140"/>
    <w:rsid w:val="00015ABF"/>
    <w:rsid w:val="0002337B"/>
    <w:rsid w:val="00027E95"/>
    <w:rsid w:val="00033EE4"/>
    <w:rsid w:val="00047ED9"/>
    <w:rsid w:val="00075C3F"/>
    <w:rsid w:val="00091DBF"/>
    <w:rsid w:val="00094367"/>
    <w:rsid w:val="000B140A"/>
    <w:rsid w:val="000E68EC"/>
    <w:rsid w:val="0012752A"/>
    <w:rsid w:val="00154A25"/>
    <w:rsid w:val="00162EAB"/>
    <w:rsid w:val="00167E3F"/>
    <w:rsid w:val="0017500B"/>
    <w:rsid w:val="00181E14"/>
    <w:rsid w:val="00191329"/>
    <w:rsid w:val="00191465"/>
    <w:rsid w:val="00196A1A"/>
    <w:rsid w:val="001B6CC7"/>
    <w:rsid w:val="001C1BCF"/>
    <w:rsid w:val="001E58DA"/>
    <w:rsid w:val="001F19CC"/>
    <w:rsid w:val="001F36AC"/>
    <w:rsid w:val="00200575"/>
    <w:rsid w:val="002116C1"/>
    <w:rsid w:val="00213FD0"/>
    <w:rsid w:val="00222F85"/>
    <w:rsid w:val="00231B9C"/>
    <w:rsid w:val="00233005"/>
    <w:rsid w:val="00236D6D"/>
    <w:rsid w:val="002542DD"/>
    <w:rsid w:val="00257C8D"/>
    <w:rsid w:val="00275F71"/>
    <w:rsid w:val="00294488"/>
    <w:rsid w:val="002A3AC4"/>
    <w:rsid w:val="002A5FF1"/>
    <w:rsid w:val="002C639C"/>
    <w:rsid w:val="002D0C96"/>
    <w:rsid w:val="002F0B6C"/>
    <w:rsid w:val="002F2283"/>
    <w:rsid w:val="002F3DBA"/>
    <w:rsid w:val="002F45D9"/>
    <w:rsid w:val="00326DDB"/>
    <w:rsid w:val="00341DE4"/>
    <w:rsid w:val="00342AF5"/>
    <w:rsid w:val="003437CE"/>
    <w:rsid w:val="00353424"/>
    <w:rsid w:val="003541E0"/>
    <w:rsid w:val="00354FAC"/>
    <w:rsid w:val="0038427B"/>
    <w:rsid w:val="003B2EE2"/>
    <w:rsid w:val="003D32A4"/>
    <w:rsid w:val="003D3767"/>
    <w:rsid w:val="003E5091"/>
    <w:rsid w:val="003E6798"/>
    <w:rsid w:val="00425BBF"/>
    <w:rsid w:val="004424CF"/>
    <w:rsid w:val="00445C12"/>
    <w:rsid w:val="00454D0C"/>
    <w:rsid w:val="0046445C"/>
    <w:rsid w:val="00490574"/>
    <w:rsid w:val="00497904"/>
    <w:rsid w:val="004A09F9"/>
    <w:rsid w:val="004A3A5B"/>
    <w:rsid w:val="004B416E"/>
    <w:rsid w:val="004D0D51"/>
    <w:rsid w:val="004D2EF6"/>
    <w:rsid w:val="004E0EBE"/>
    <w:rsid w:val="004E168B"/>
    <w:rsid w:val="004E1939"/>
    <w:rsid w:val="00510A6D"/>
    <w:rsid w:val="00572B11"/>
    <w:rsid w:val="00582CF5"/>
    <w:rsid w:val="00583954"/>
    <w:rsid w:val="005A2A95"/>
    <w:rsid w:val="005A4A27"/>
    <w:rsid w:val="005B67BC"/>
    <w:rsid w:val="006249ED"/>
    <w:rsid w:val="00640E6D"/>
    <w:rsid w:val="00643089"/>
    <w:rsid w:val="006606C0"/>
    <w:rsid w:val="0066114E"/>
    <w:rsid w:val="00677077"/>
    <w:rsid w:val="006877F9"/>
    <w:rsid w:val="00694424"/>
    <w:rsid w:val="006A4276"/>
    <w:rsid w:val="006C1D76"/>
    <w:rsid w:val="006D09D2"/>
    <w:rsid w:val="006E142F"/>
    <w:rsid w:val="006E70E1"/>
    <w:rsid w:val="006E735F"/>
    <w:rsid w:val="006F622F"/>
    <w:rsid w:val="0071493F"/>
    <w:rsid w:val="00714A40"/>
    <w:rsid w:val="00722E1E"/>
    <w:rsid w:val="00730273"/>
    <w:rsid w:val="00733079"/>
    <w:rsid w:val="00743F21"/>
    <w:rsid w:val="007518DE"/>
    <w:rsid w:val="007530F0"/>
    <w:rsid w:val="00753698"/>
    <w:rsid w:val="00777F29"/>
    <w:rsid w:val="007B0720"/>
    <w:rsid w:val="007B3C19"/>
    <w:rsid w:val="007F593F"/>
    <w:rsid w:val="00811375"/>
    <w:rsid w:val="00840F67"/>
    <w:rsid w:val="00851CF4"/>
    <w:rsid w:val="008950EE"/>
    <w:rsid w:val="008B5E2B"/>
    <w:rsid w:val="008C1C33"/>
    <w:rsid w:val="008C4136"/>
    <w:rsid w:val="008F01AC"/>
    <w:rsid w:val="008F5E9A"/>
    <w:rsid w:val="008F645D"/>
    <w:rsid w:val="009017D9"/>
    <w:rsid w:val="009111CA"/>
    <w:rsid w:val="00966D92"/>
    <w:rsid w:val="00987107"/>
    <w:rsid w:val="00996B5E"/>
    <w:rsid w:val="009A0140"/>
    <w:rsid w:val="009A1AEA"/>
    <w:rsid w:val="009C78C7"/>
    <w:rsid w:val="009C7B79"/>
    <w:rsid w:val="009F7C00"/>
    <w:rsid w:val="00A111B0"/>
    <w:rsid w:val="00A16863"/>
    <w:rsid w:val="00A25ED0"/>
    <w:rsid w:val="00A27157"/>
    <w:rsid w:val="00A53652"/>
    <w:rsid w:val="00A56CF8"/>
    <w:rsid w:val="00A744DC"/>
    <w:rsid w:val="00A903A8"/>
    <w:rsid w:val="00AA4ECF"/>
    <w:rsid w:val="00AA66A4"/>
    <w:rsid w:val="00AA6769"/>
    <w:rsid w:val="00AB5037"/>
    <w:rsid w:val="00AB510C"/>
    <w:rsid w:val="00AB524E"/>
    <w:rsid w:val="00AD48B0"/>
    <w:rsid w:val="00AD548E"/>
    <w:rsid w:val="00AE16CF"/>
    <w:rsid w:val="00AE5084"/>
    <w:rsid w:val="00AE589F"/>
    <w:rsid w:val="00AF5A20"/>
    <w:rsid w:val="00AF6AAA"/>
    <w:rsid w:val="00B065EB"/>
    <w:rsid w:val="00B22A1C"/>
    <w:rsid w:val="00B32401"/>
    <w:rsid w:val="00B57CE0"/>
    <w:rsid w:val="00B66B0E"/>
    <w:rsid w:val="00B757CA"/>
    <w:rsid w:val="00B80A44"/>
    <w:rsid w:val="00B8145E"/>
    <w:rsid w:val="00B83D9F"/>
    <w:rsid w:val="00B96C57"/>
    <w:rsid w:val="00BA3B3E"/>
    <w:rsid w:val="00BD7A86"/>
    <w:rsid w:val="00BE7662"/>
    <w:rsid w:val="00C32053"/>
    <w:rsid w:val="00C9770F"/>
    <w:rsid w:val="00CA4C61"/>
    <w:rsid w:val="00CB3FEB"/>
    <w:rsid w:val="00CC67FD"/>
    <w:rsid w:val="00CD2F27"/>
    <w:rsid w:val="00D05C2F"/>
    <w:rsid w:val="00D11F2A"/>
    <w:rsid w:val="00D12B21"/>
    <w:rsid w:val="00D17571"/>
    <w:rsid w:val="00D17BBC"/>
    <w:rsid w:val="00D42A33"/>
    <w:rsid w:val="00D43728"/>
    <w:rsid w:val="00D50693"/>
    <w:rsid w:val="00D551C8"/>
    <w:rsid w:val="00D551EE"/>
    <w:rsid w:val="00D57FFB"/>
    <w:rsid w:val="00D73023"/>
    <w:rsid w:val="00DA2B6B"/>
    <w:rsid w:val="00DA61FE"/>
    <w:rsid w:val="00DB3BB5"/>
    <w:rsid w:val="00DC4C05"/>
    <w:rsid w:val="00DC5ABF"/>
    <w:rsid w:val="00DD0143"/>
    <w:rsid w:val="00DD1B21"/>
    <w:rsid w:val="00DF58F0"/>
    <w:rsid w:val="00E11172"/>
    <w:rsid w:val="00E1689A"/>
    <w:rsid w:val="00E23557"/>
    <w:rsid w:val="00E34B2E"/>
    <w:rsid w:val="00E42A64"/>
    <w:rsid w:val="00E47031"/>
    <w:rsid w:val="00E57C52"/>
    <w:rsid w:val="00E718C9"/>
    <w:rsid w:val="00E76D87"/>
    <w:rsid w:val="00EC4BB5"/>
    <w:rsid w:val="00EC6B4F"/>
    <w:rsid w:val="00EC7988"/>
    <w:rsid w:val="00F0685A"/>
    <w:rsid w:val="00F30978"/>
    <w:rsid w:val="00F37FA9"/>
    <w:rsid w:val="00F76D44"/>
    <w:rsid w:val="00FB70F5"/>
    <w:rsid w:val="00FC0A2B"/>
    <w:rsid w:val="00FC2A15"/>
    <w:rsid w:val="00FC32DD"/>
    <w:rsid w:val="00FD2ED9"/>
    <w:rsid w:val="00FF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23868F"/>
  <w15:chartTrackingRefBased/>
  <w15:docId w15:val="{BB2CE5B4-4899-4E16-8EC6-2463578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40E6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
    <w:basedOn w:val="Normal"/>
    <w:link w:val="ListParagraphChar"/>
    <w:uiPriority w:val="34"/>
    <w:qFormat/>
    <w:rsid w:val="001F36AC"/>
    <w:pPr>
      <w:ind w:left="720"/>
      <w:contextualSpacing/>
    </w:pPr>
  </w:style>
  <w:style w:type="character" w:styleId="Hyperlink">
    <w:name w:val="Hyperlink"/>
    <w:basedOn w:val="DefaultParagraphFont"/>
    <w:uiPriority w:val="99"/>
    <w:unhideWhenUsed/>
    <w:rsid w:val="004A3A5B"/>
    <w:rPr>
      <w:color w:val="0563C1" w:themeColor="hyperlink"/>
      <w:u w:val="single"/>
    </w:rPr>
  </w:style>
  <w:style w:type="character" w:styleId="UnresolvedMention">
    <w:name w:val="Unresolved Mention"/>
    <w:basedOn w:val="DefaultParagraphFont"/>
    <w:uiPriority w:val="99"/>
    <w:semiHidden/>
    <w:unhideWhenUsed/>
    <w:rsid w:val="004A3A5B"/>
    <w:rPr>
      <w:color w:val="808080"/>
      <w:shd w:val="clear" w:color="auto" w:fill="E6E6E6"/>
    </w:rPr>
  </w:style>
  <w:style w:type="paragraph" w:styleId="Header">
    <w:name w:val="header"/>
    <w:basedOn w:val="Normal"/>
    <w:link w:val="HeaderChar"/>
    <w:uiPriority w:val="99"/>
    <w:unhideWhenUsed/>
    <w:rsid w:val="002A5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F1"/>
  </w:style>
  <w:style w:type="paragraph" w:styleId="Footer">
    <w:name w:val="footer"/>
    <w:basedOn w:val="Normal"/>
    <w:link w:val="FooterChar"/>
    <w:uiPriority w:val="99"/>
    <w:unhideWhenUsed/>
    <w:rsid w:val="002A5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F1"/>
  </w:style>
  <w:style w:type="character" w:customStyle="1" w:styleId="ListParagraphChar">
    <w:name w:val="List Paragraph Char"/>
    <w:aliases w:val="Recommendations Char"/>
    <w:link w:val="ListParagraph"/>
    <w:uiPriority w:val="34"/>
    <w:locked/>
    <w:rsid w:val="00640E6D"/>
  </w:style>
  <w:style w:type="character" w:customStyle="1" w:styleId="Heading2Char">
    <w:name w:val="Heading 2 Char"/>
    <w:basedOn w:val="DefaultParagraphFont"/>
    <w:link w:val="Heading2"/>
    <w:rsid w:val="00640E6D"/>
    <w:rPr>
      <w:rFonts w:ascii="Arial" w:eastAsia="Times New Roman" w:hAnsi="Arial" w:cs="Arial"/>
      <w:b/>
      <w:bCs/>
      <w:i/>
      <w:iCs/>
      <w:sz w:val="28"/>
      <w:szCs w:val="28"/>
    </w:rPr>
  </w:style>
  <w:style w:type="paragraph" w:styleId="BodyText2">
    <w:name w:val="Body Text 2"/>
    <w:basedOn w:val="Normal"/>
    <w:link w:val="BodyText2Char"/>
    <w:rsid w:val="00640E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40E6D"/>
    <w:rPr>
      <w:rFonts w:ascii="Times New Roman" w:eastAsia="Times New Roman" w:hAnsi="Times New Roman" w:cs="Times New Roman"/>
      <w:sz w:val="24"/>
      <w:szCs w:val="24"/>
    </w:rPr>
  </w:style>
  <w:style w:type="paragraph" w:customStyle="1" w:styleId="Default">
    <w:name w:val="Default"/>
    <w:rsid w:val="00640E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033EE4"/>
  </w:style>
  <w:style w:type="table" w:styleId="TableGrid">
    <w:name w:val="Table Grid"/>
    <w:basedOn w:val="TableNormal"/>
    <w:uiPriority w:val="39"/>
    <w:rsid w:val="008F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FB"/>
    <w:rPr>
      <w:rFonts w:ascii="Segoe UI" w:hAnsi="Segoe UI" w:cs="Segoe UI"/>
      <w:sz w:val="18"/>
      <w:szCs w:val="18"/>
    </w:rPr>
  </w:style>
  <w:style w:type="paragraph" w:styleId="NormalWeb">
    <w:name w:val="Normal (Web)"/>
    <w:basedOn w:val="Normal"/>
    <w:uiPriority w:val="99"/>
    <w:unhideWhenUsed/>
    <w:rsid w:val="00583954"/>
    <w:pPr>
      <w:spacing w:before="100" w:beforeAutospacing="1" w:after="100" w:afterAutospacing="1" w:line="240" w:lineRule="auto"/>
    </w:pPr>
    <w:rPr>
      <w:rFonts w:ascii="Calibri" w:hAnsi="Calibri" w:cs="Calibri"/>
    </w:rPr>
  </w:style>
  <w:style w:type="character" w:customStyle="1" w:styleId="hoenzb">
    <w:name w:val="hoenzb"/>
    <w:basedOn w:val="DefaultParagraphFont"/>
    <w:rsid w:val="00583954"/>
  </w:style>
  <w:style w:type="paragraph" w:styleId="FootnoteText">
    <w:name w:val="footnote text"/>
    <w:basedOn w:val="Normal"/>
    <w:link w:val="FootnoteTextChar"/>
    <w:unhideWhenUsed/>
    <w:rsid w:val="00DA61FE"/>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DA61FE"/>
    <w:rPr>
      <w:rFonts w:ascii="Calibri" w:eastAsia="Calibri" w:hAnsi="Calibri" w:cs="Times New Roman"/>
      <w:sz w:val="20"/>
      <w:szCs w:val="20"/>
      <w:lang w:val="x-none" w:eastAsia="x-none"/>
    </w:rPr>
  </w:style>
  <w:style w:type="character" w:styleId="FootnoteReference">
    <w:name w:val="footnote reference"/>
    <w:unhideWhenUsed/>
    <w:rsid w:val="00DA61FE"/>
    <w:rPr>
      <w:vertAlign w:val="superscript"/>
    </w:rPr>
  </w:style>
  <w:style w:type="character" w:styleId="CommentReference">
    <w:name w:val="annotation reference"/>
    <w:basedOn w:val="DefaultParagraphFont"/>
    <w:uiPriority w:val="99"/>
    <w:semiHidden/>
    <w:unhideWhenUsed/>
    <w:rsid w:val="00677077"/>
    <w:rPr>
      <w:sz w:val="16"/>
      <w:szCs w:val="16"/>
    </w:rPr>
  </w:style>
  <w:style w:type="paragraph" w:styleId="CommentText">
    <w:name w:val="annotation text"/>
    <w:basedOn w:val="Normal"/>
    <w:link w:val="CommentTextChar"/>
    <w:uiPriority w:val="99"/>
    <w:semiHidden/>
    <w:unhideWhenUsed/>
    <w:rsid w:val="00677077"/>
    <w:pPr>
      <w:spacing w:line="240" w:lineRule="auto"/>
    </w:pPr>
    <w:rPr>
      <w:sz w:val="20"/>
      <w:szCs w:val="20"/>
    </w:rPr>
  </w:style>
  <w:style w:type="character" w:customStyle="1" w:styleId="CommentTextChar">
    <w:name w:val="Comment Text Char"/>
    <w:basedOn w:val="DefaultParagraphFont"/>
    <w:link w:val="CommentText"/>
    <w:uiPriority w:val="99"/>
    <w:semiHidden/>
    <w:rsid w:val="00677077"/>
    <w:rPr>
      <w:sz w:val="20"/>
      <w:szCs w:val="20"/>
    </w:rPr>
  </w:style>
  <w:style w:type="paragraph" w:styleId="CommentSubject">
    <w:name w:val="annotation subject"/>
    <w:basedOn w:val="CommentText"/>
    <w:next w:val="CommentText"/>
    <w:link w:val="CommentSubjectChar"/>
    <w:uiPriority w:val="99"/>
    <w:semiHidden/>
    <w:unhideWhenUsed/>
    <w:rsid w:val="00677077"/>
    <w:rPr>
      <w:b/>
      <w:bCs/>
    </w:rPr>
  </w:style>
  <w:style w:type="character" w:customStyle="1" w:styleId="CommentSubjectChar">
    <w:name w:val="Comment Subject Char"/>
    <w:basedOn w:val="CommentTextChar"/>
    <w:link w:val="CommentSubject"/>
    <w:uiPriority w:val="99"/>
    <w:semiHidden/>
    <w:rsid w:val="00677077"/>
    <w:rPr>
      <w:b/>
      <w:bCs/>
      <w:sz w:val="20"/>
      <w:szCs w:val="20"/>
    </w:rPr>
  </w:style>
  <w:style w:type="character" w:styleId="FollowedHyperlink">
    <w:name w:val="FollowedHyperlink"/>
    <w:basedOn w:val="DefaultParagraphFont"/>
    <w:uiPriority w:val="99"/>
    <w:semiHidden/>
    <w:unhideWhenUsed/>
    <w:rsid w:val="00E76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44">
      <w:bodyDiv w:val="1"/>
      <w:marLeft w:val="0"/>
      <w:marRight w:val="0"/>
      <w:marTop w:val="0"/>
      <w:marBottom w:val="0"/>
      <w:divBdr>
        <w:top w:val="none" w:sz="0" w:space="0" w:color="auto"/>
        <w:left w:val="none" w:sz="0" w:space="0" w:color="auto"/>
        <w:bottom w:val="none" w:sz="0" w:space="0" w:color="auto"/>
        <w:right w:val="none" w:sz="0" w:space="0" w:color="auto"/>
      </w:divBdr>
    </w:div>
    <w:div w:id="146476096">
      <w:bodyDiv w:val="1"/>
      <w:marLeft w:val="0"/>
      <w:marRight w:val="0"/>
      <w:marTop w:val="0"/>
      <w:marBottom w:val="0"/>
      <w:divBdr>
        <w:top w:val="none" w:sz="0" w:space="0" w:color="auto"/>
        <w:left w:val="none" w:sz="0" w:space="0" w:color="auto"/>
        <w:bottom w:val="none" w:sz="0" w:space="0" w:color="auto"/>
        <w:right w:val="none" w:sz="0" w:space="0" w:color="auto"/>
      </w:divBdr>
    </w:div>
    <w:div w:id="229124170">
      <w:bodyDiv w:val="1"/>
      <w:marLeft w:val="0"/>
      <w:marRight w:val="0"/>
      <w:marTop w:val="0"/>
      <w:marBottom w:val="0"/>
      <w:divBdr>
        <w:top w:val="none" w:sz="0" w:space="0" w:color="auto"/>
        <w:left w:val="none" w:sz="0" w:space="0" w:color="auto"/>
        <w:bottom w:val="none" w:sz="0" w:space="0" w:color="auto"/>
        <w:right w:val="none" w:sz="0" w:space="0" w:color="auto"/>
      </w:divBdr>
    </w:div>
    <w:div w:id="529951508">
      <w:bodyDiv w:val="1"/>
      <w:marLeft w:val="0"/>
      <w:marRight w:val="0"/>
      <w:marTop w:val="0"/>
      <w:marBottom w:val="0"/>
      <w:divBdr>
        <w:top w:val="none" w:sz="0" w:space="0" w:color="auto"/>
        <w:left w:val="none" w:sz="0" w:space="0" w:color="auto"/>
        <w:bottom w:val="none" w:sz="0" w:space="0" w:color="auto"/>
        <w:right w:val="none" w:sz="0" w:space="0" w:color="auto"/>
      </w:divBdr>
    </w:div>
    <w:div w:id="741295426">
      <w:bodyDiv w:val="1"/>
      <w:marLeft w:val="0"/>
      <w:marRight w:val="0"/>
      <w:marTop w:val="0"/>
      <w:marBottom w:val="0"/>
      <w:divBdr>
        <w:top w:val="none" w:sz="0" w:space="0" w:color="auto"/>
        <w:left w:val="none" w:sz="0" w:space="0" w:color="auto"/>
        <w:bottom w:val="none" w:sz="0" w:space="0" w:color="auto"/>
        <w:right w:val="none" w:sz="0" w:space="0" w:color="auto"/>
      </w:divBdr>
    </w:div>
    <w:div w:id="1160460580">
      <w:bodyDiv w:val="1"/>
      <w:marLeft w:val="0"/>
      <w:marRight w:val="0"/>
      <w:marTop w:val="0"/>
      <w:marBottom w:val="0"/>
      <w:divBdr>
        <w:top w:val="none" w:sz="0" w:space="0" w:color="auto"/>
        <w:left w:val="none" w:sz="0" w:space="0" w:color="auto"/>
        <w:bottom w:val="none" w:sz="0" w:space="0" w:color="auto"/>
        <w:right w:val="none" w:sz="0" w:space="0" w:color="auto"/>
      </w:divBdr>
    </w:div>
    <w:div w:id="1171993290">
      <w:bodyDiv w:val="1"/>
      <w:marLeft w:val="0"/>
      <w:marRight w:val="0"/>
      <w:marTop w:val="0"/>
      <w:marBottom w:val="0"/>
      <w:divBdr>
        <w:top w:val="none" w:sz="0" w:space="0" w:color="auto"/>
        <w:left w:val="none" w:sz="0" w:space="0" w:color="auto"/>
        <w:bottom w:val="none" w:sz="0" w:space="0" w:color="auto"/>
        <w:right w:val="none" w:sz="0" w:space="0" w:color="auto"/>
      </w:divBdr>
    </w:div>
    <w:div w:id="1692342200">
      <w:bodyDiv w:val="1"/>
      <w:marLeft w:val="0"/>
      <w:marRight w:val="0"/>
      <w:marTop w:val="0"/>
      <w:marBottom w:val="0"/>
      <w:divBdr>
        <w:top w:val="none" w:sz="0" w:space="0" w:color="auto"/>
        <w:left w:val="none" w:sz="0" w:space="0" w:color="auto"/>
        <w:bottom w:val="none" w:sz="0" w:space="0" w:color="auto"/>
        <w:right w:val="none" w:sz="0" w:space="0" w:color="auto"/>
      </w:divBdr>
    </w:div>
    <w:div w:id="1873222018">
      <w:bodyDiv w:val="1"/>
      <w:marLeft w:val="0"/>
      <w:marRight w:val="0"/>
      <w:marTop w:val="0"/>
      <w:marBottom w:val="0"/>
      <w:divBdr>
        <w:top w:val="none" w:sz="0" w:space="0" w:color="auto"/>
        <w:left w:val="none" w:sz="0" w:space="0" w:color="auto"/>
        <w:bottom w:val="none" w:sz="0" w:space="0" w:color="auto"/>
        <w:right w:val="none" w:sz="0" w:space="0" w:color="auto"/>
      </w:divBdr>
      <w:divsChild>
        <w:div w:id="1806463461">
          <w:marLeft w:val="0"/>
          <w:marRight w:val="0"/>
          <w:marTop w:val="0"/>
          <w:marBottom w:val="0"/>
          <w:divBdr>
            <w:top w:val="none" w:sz="0" w:space="0" w:color="auto"/>
            <w:left w:val="none" w:sz="0" w:space="0" w:color="auto"/>
            <w:bottom w:val="none" w:sz="0" w:space="0" w:color="auto"/>
            <w:right w:val="none" w:sz="0" w:space="0" w:color="auto"/>
          </w:divBdr>
        </w:div>
        <w:div w:id="190384188">
          <w:marLeft w:val="0"/>
          <w:marRight w:val="0"/>
          <w:marTop w:val="0"/>
          <w:marBottom w:val="0"/>
          <w:divBdr>
            <w:top w:val="none" w:sz="0" w:space="0" w:color="auto"/>
            <w:left w:val="none" w:sz="0" w:space="0" w:color="auto"/>
            <w:bottom w:val="none" w:sz="0" w:space="0" w:color="auto"/>
            <w:right w:val="none" w:sz="0" w:space="0" w:color="auto"/>
          </w:divBdr>
        </w:div>
      </w:divsChild>
    </w:div>
    <w:div w:id="20515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salesforce.com/dreamforce/exp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crunchbase.com/organization/astadia" TargetMode="External"/><Relationship Id="rId17" Type="http://schemas.openxmlformats.org/officeDocument/2006/relationships/hyperlink" Target="https://www.astadia.com/news-events/pr/astadia-announces-a-majority-investment-by-spring-lake-equity-partn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unchbase.com/organization/appirio" TargetMode="External"/><Relationship Id="rId20" Type="http://schemas.openxmlformats.org/officeDocument/2006/relationships/hyperlink" Target="https://www.salesforce.com/content/dam/web/en_us/dreamforce/resources/DF16Prospect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nchbase.com/organization/theiko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runchbase.com/organization/bluewolf" TargetMode="External"/><Relationship Id="rId23" Type="http://schemas.openxmlformats.org/officeDocument/2006/relationships/image" Target="media/image5.png"/><Relationship Id="rId10" Type="http://schemas.openxmlformats.org/officeDocument/2006/relationships/hyperlink" Target="https://www.linkedin.com/in/blakewolff/" TargetMode="External"/><Relationship Id="rId19" Type="http://schemas.openxmlformats.org/officeDocument/2006/relationships/hyperlink" Target="https://news.thomasnet.com/companystory/salesforce-com-announces-dreamforce-2007-the-on-demand-conference-of-the-year-520467" TargetMode="External"/><Relationship Id="rId4" Type="http://schemas.openxmlformats.org/officeDocument/2006/relationships/settings" Target="settings.xml"/><Relationship Id="rId9" Type="http://schemas.openxmlformats.org/officeDocument/2006/relationships/hyperlink" Target="https://en.wikipedia.org/wiki/Salesforce.com" TargetMode="External"/><Relationship Id="rId14" Type="http://schemas.openxmlformats.org/officeDocument/2006/relationships/hyperlink" Target="https://www.crunchbase.com/organization/velteo" TargetMode="Externa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BE88-BAA6-4C41-8486-A2F34498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Bedard</dc:creator>
  <cp:keywords/>
  <dc:description/>
  <cp:lastModifiedBy>Charles Bedard</cp:lastModifiedBy>
  <cp:revision>3</cp:revision>
  <cp:lastPrinted>2018-11-06T22:39:00Z</cp:lastPrinted>
  <dcterms:created xsi:type="dcterms:W3CDTF">2018-11-06T22:39:00Z</dcterms:created>
  <dcterms:modified xsi:type="dcterms:W3CDTF">2018-11-06T22:55:00Z</dcterms:modified>
</cp:coreProperties>
</file>