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B86D2" w14:textId="77777777" w:rsidR="00ED6EC6" w:rsidRDefault="00ED6EC6" w:rsidP="00ED6EC6">
      <w:pPr>
        <w:jc w:val="both"/>
        <w:rPr>
          <w:rFonts w:ascii="Titillium Web" w:hAnsi="Titillium Web" w:cs="Arial"/>
          <w:b/>
          <w:sz w:val="22"/>
          <w:szCs w:val="22"/>
          <w:lang w:val="es-CL"/>
        </w:rPr>
      </w:pPr>
      <w:r>
        <w:rPr>
          <w:rFonts w:ascii="Titillium Web" w:hAnsi="Titillium Web" w:cs="Arial"/>
          <w:b/>
          <w:sz w:val="22"/>
          <w:szCs w:val="22"/>
          <w:lang w:val="es-CL"/>
        </w:rPr>
        <w:t>Etiquetas de contacto:</w:t>
      </w:r>
    </w:p>
    <w:p w14:paraId="58C00213" w14:textId="77777777" w:rsidR="00ED6EC6" w:rsidRDefault="00ED6EC6" w:rsidP="00ED6EC6">
      <w:pPr>
        <w:jc w:val="both"/>
        <w:rPr>
          <w:rFonts w:ascii="Titillium Web" w:hAnsi="Titillium Web" w:cs="Arial"/>
          <w:b/>
          <w:sz w:val="22"/>
          <w:szCs w:val="22"/>
          <w:lang w:val="es-CL"/>
        </w:rPr>
      </w:pPr>
    </w:p>
    <w:p w14:paraId="591C804C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sz w:val="22"/>
          <w:szCs w:val="22"/>
          <w:lang w:val="es-CL"/>
        </w:rPr>
        <w:t xml:space="preserve">Las etiquetas son las marcas que van a identificar a los candidatos de futuros mensajes en base a sus comportamientos o intereses, estas pueden ser creadas a partir de datos fuentes procesados por un </w:t>
      </w:r>
      <w:proofErr w:type="spellStart"/>
      <w:r>
        <w:rPr>
          <w:rFonts w:ascii="Titillium Web" w:hAnsi="Titillium Web" w:cs="Arial"/>
          <w:sz w:val="22"/>
          <w:szCs w:val="22"/>
          <w:lang w:val="es-CL"/>
        </w:rPr>
        <w:t>Automata</w:t>
      </w:r>
      <w:proofErr w:type="spellEnd"/>
      <w:r>
        <w:rPr>
          <w:rFonts w:ascii="Titillium Web" w:hAnsi="Titillium Web" w:cs="Arial"/>
          <w:sz w:val="22"/>
          <w:szCs w:val="22"/>
          <w:lang w:val="es-CL"/>
        </w:rPr>
        <w:t xml:space="preserve"> virtual (</w:t>
      </w:r>
      <w:r w:rsidRPr="00924253">
        <w:rPr>
          <w:rFonts w:ascii="Titillium Web" w:hAnsi="Titillium Web" w:cs="Arial"/>
          <w:i/>
          <w:sz w:val="22"/>
          <w:szCs w:val="22"/>
          <w:lang w:val="es-CL"/>
        </w:rPr>
        <w:t xml:space="preserve">ver manual Configuración de un </w:t>
      </w:r>
      <w:proofErr w:type="spellStart"/>
      <w:r w:rsidRPr="00924253">
        <w:rPr>
          <w:rFonts w:ascii="Titillium Web" w:hAnsi="Titillium Web" w:cs="Arial"/>
          <w:i/>
          <w:sz w:val="22"/>
          <w:szCs w:val="22"/>
          <w:lang w:val="es-CL"/>
        </w:rPr>
        <w:t>Automata</w:t>
      </w:r>
      <w:proofErr w:type="spellEnd"/>
      <w:r w:rsidRPr="00924253">
        <w:rPr>
          <w:rFonts w:ascii="Titillium Web" w:hAnsi="Titillium Web" w:cs="Arial"/>
          <w:i/>
          <w:sz w:val="22"/>
          <w:szCs w:val="22"/>
          <w:lang w:val="es-CL"/>
        </w:rPr>
        <w:t xml:space="preserve"> Virtual AV1</w:t>
      </w:r>
      <w:r>
        <w:rPr>
          <w:rFonts w:ascii="Titillium Web" w:hAnsi="Titillium Web" w:cs="Arial"/>
          <w:sz w:val="22"/>
          <w:szCs w:val="22"/>
          <w:lang w:val="es-CL"/>
        </w:rPr>
        <w:t xml:space="preserve">) o bien pueden ser cargadas manualmente en el sistema. </w:t>
      </w:r>
    </w:p>
    <w:p w14:paraId="3572C4F1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0EFA2985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sz w:val="22"/>
          <w:szCs w:val="22"/>
          <w:lang w:val="es-CL"/>
        </w:rPr>
        <w:t>Existen conceptos muy relevantes que se deben comprender respecto a las etiquetas de contacto:</w:t>
      </w:r>
    </w:p>
    <w:p w14:paraId="2E17903C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59051B1F" w14:textId="77777777" w:rsidR="00ED6EC6" w:rsidRDefault="00ED6EC6" w:rsidP="00ED6EC6">
      <w:pPr>
        <w:pStyle w:val="Prrafodelista"/>
        <w:numPr>
          <w:ilvl w:val="0"/>
          <w:numId w:val="1"/>
        </w:numPr>
        <w:jc w:val="both"/>
        <w:rPr>
          <w:rFonts w:ascii="Titillium Web" w:hAnsi="Titillium Web" w:cs="Arial"/>
          <w:sz w:val="22"/>
          <w:szCs w:val="22"/>
          <w:lang w:val="es-CL"/>
        </w:rPr>
      </w:pPr>
      <w:r w:rsidRPr="00924253">
        <w:rPr>
          <w:rFonts w:ascii="Titillium Web" w:hAnsi="Titillium Web" w:cs="Arial"/>
          <w:b/>
          <w:sz w:val="22"/>
          <w:szCs w:val="22"/>
          <w:lang w:val="es-CL"/>
        </w:rPr>
        <w:t>Vigencia:</w:t>
      </w:r>
      <w:r>
        <w:rPr>
          <w:rFonts w:ascii="Titillium Web" w:hAnsi="Titillium Web" w:cs="Arial"/>
          <w:sz w:val="22"/>
          <w:szCs w:val="22"/>
          <w:lang w:val="es-CL"/>
        </w:rPr>
        <w:t xml:space="preserve"> es la duración la cual esa etiqueta estará asociado a un contacto. También es referenciada en el sistema bajo la sigla TTL, que en ingles significa “time </w:t>
      </w:r>
      <w:proofErr w:type="spellStart"/>
      <w:r>
        <w:rPr>
          <w:rFonts w:ascii="Titillium Web" w:hAnsi="Titillium Web" w:cs="Arial"/>
          <w:sz w:val="22"/>
          <w:szCs w:val="22"/>
          <w:lang w:val="es-CL"/>
        </w:rPr>
        <w:t>to</w:t>
      </w:r>
      <w:proofErr w:type="spellEnd"/>
      <w:r>
        <w:rPr>
          <w:rFonts w:ascii="Titillium Web" w:hAnsi="Titillium Web" w:cs="Arial"/>
          <w:sz w:val="22"/>
          <w:szCs w:val="22"/>
          <w:lang w:val="es-CL"/>
        </w:rPr>
        <w:t xml:space="preserve"> </w:t>
      </w:r>
      <w:proofErr w:type="spellStart"/>
      <w:r>
        <w:rPr>
          <w:rFonts w:ascii="Titillium Web" w:hAnsi="Titillium Web" w:cs="Arial"/>
          <w:sz w:val="22"/>
          <w:szCs w:val="22"/>
          <w:lang w:val="es-CL"/>
        </w:rPr>
        <w:t>live</w:t>
      </w:r>
      <w:proofErr w:type="spellEnd"/>
      <w:r>
        <w:rPr>
          <w:rFonts w:ascii="Titillium Web" w:hAnsi="Titillium Web" w:cs="Arial"/>
          <w:sz w:val="22"/>
          <w:szCs w:val="22"/>
          <w:lang w:val="es-CL"/>
        </w:rPr>
        <w:t>”</w:t>
      </w:r>
    </w:p>
    <w:p w14:paraId="33EE5F7C" w14:textId="77777777" w:rsidR="00ED6EC6" w:rsidRDefault="00ED6EC6" w:rsidP="00ED6EC6">
      <w:pPr>
        <w:pStyle w:val="Prrafodelista"/>
        <w:numPr>
          <w:ilvl w:val="0"/>
          <w:numId w:val="1"/>
        </w:num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b/>
          <w:sz w:val="22"/>
          <w:szCs w:val="22"/>
          <w:lang w:val="es-CL"/>
        </w:rPr>
        <w:t>Estructura:</w:t>
      </w:r>
      <w:r>
        <w:rPr>
          <w:rFonts w:ascii="Titillium Web" w:hAnsi="Titillium Web" w:cs="Arial"/>
          <w:sz w:val="22"/>
          <w:szCs w:val="22"/>
          <w:lang w:val="es-CL"/>
        </w:rPr>
        <w:t xml:space="preserve"> dependiendo de la definición de una etiqueta esta puede contener hasta 10 dimensiones (/D1/D2/D3</w:t>
      </w:r>
      <w:proofErr w:type="gramStart"/>
      <w:r>
        <w:rPr>
          <w:rFonts w:ascii="Titillium Web" w:hAnsi="Titillium Web" w:cs="Arial"/>
          <w:sz w:val="22"/>
          <w:szCs w:val="22"/>
          <w:lang w:val="es-CL"/>
        </w:rPr>
        <w:t>/….</w:t>
      </w:r>
      <w:proofErr w:type="gramEnd"/>
      <w:r>
        <w:rPr>
          <w:rFonts w:ascii="Titillium Web" w:hAnsi="Titillium Web" w:cs="Arial"/>
          <w:sz w:val="22"/>
          <w:szCs w:val="22"/>
          <w:lang w:val="es-CL"/>
        </w:rPr>
        <w:t>/D10):</w:t>
      </w:r>
    </w:p>
    <w:p w14:paraId="5AD1EF1D" w14:textId="77777777" w:rsidR="00ED6EC6" w:rsidRDefault="00ED6EC6" w:rsidP="00ED6EC6">
      <w:pPr>
        <w:ind w:left="1416"/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sz w:val="22"/>
          <w:szCs w:val="22"/>
          <w:lang w:val="es-CL"/>
        </w:rPr>
        <w:t>Ej. /WEB/CATEGORIA/SUBCATEGORIA/PRODUCTO/SKU/</w:t>
      </w:r>
    </w:p>
    <w:p w14:paraId="42CF07EC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1B6FC127" w14:textId="77777777" w:rsidR="00ED6EC6" w:rsidRDefault="00ED6EC6" w:rsidP="00ED6EC6">
      <w:pPr>
        <w:jc w:val="both"/>
        <w:rPr>
          <w:rFonts w:ascii="Titillium Web" w:hAnsi="Titillium Web" w:cs="Arial"/>
          <w:i/>
          <w:sz w:val="22"/>
          <w:szCs w:val="22"/>
          <w:lang w:val="es-CL"/>
        </w:rPr>
      </w:pPr>
      <w:r w:rsidRPr="00924253">
        <w:rPr>
          <w:rFonts w:ascii="Titillium Web" w:hAnsi="Titillium Web" w:cs="Arial"/>
          <w:i/>
          <w:sz w:val="22"/>
          <w:szCs w:val="22"/>
          <w:lang w:val="es-CL"/>
        </w:rPr>
        <w:t>*Para efectos de esta prueba de envío conductual debe cargar el archivo “Etiquetas de contacto STARTKIT.csv</w:t>
      </w:r>
      <w:r>
        <w:rPr>
          <w:rFonts w:ascii="Titillium Web" w:hAnsi="Titillium Web" w:cs="Arial"/>
          <w:i/>
          <w:sz w:val="22"/>
          <w:szCs w:val="22"/>
          <w:lang w:val="es-CL"/>
        </w:rPr>
        <w:t>:</w:t>
      </w:r>
    </w:p>
    <w:p w14:paraId="2951B588" w14:textId="77777777" w:rsidR="00ED6EC6" w:rsidRDefault="00ED6EC6" w:rsidP="00ED6EC6">
      <w:pPr>
        <w:jc w:val="both"/>
        <w:rPr>
          <w:rFonts w:ascii="Titillium Web" w:hAnsi="Titillium Web" w:cs="Arial"/>
          <w:i/>
          <w:sz w:val="22"/>
          <w:szCs w:val="22"/>
          <w:lang w:val="es-CL"/>
        </w:rPr>
      </w:pPr>
    </w:p>
    <w:p w14:paraId="3EADFD5F" w14:textId="77777777" w:rsidR="00ED6EC6" w:rsidRPr="00924253" w:rsidRDefault="00ED6EC6" w:rsidP="00ED6EC6">
      <w:pPr>
        <w:jc w:val="both"/>
        <w:rPr>
          <w:rFonts w:ascii="Titillium Web" w:hAnsi="Titillium Web" w:cs="Arial"/>
          <w:i/>
          <w:sz w:val="22"/>
          <w:szCs w:val="22"/>
          <w:lang w:val="es-CL"/>
        </w:rPr>
      </w:pPr>
      <w:r>
        <w:rPr>
          <w:rFonts w:ascii="Titillium Web" w:hAnsi="Titillium Web" w:cs="Arial"/>
          <w:sz w:val="22"/>
          <w:szCs w:val="22"/>
          <w:lang w:val="es-CL"/>
        </w:rPr>
        <w:t>Para realizar la carga masiva de etiquetas debe ir al módulo “Etiquetas” menú “Etiquetas de contacto” y seleccionar “Carga masiva”. Debe asegurarse que el archivo este guardado en formato .</w:t>
      </w:r>
      <w:proofErr w:type="spellStart"/>
      <w:r>
        <w:rPr>
          <w:rFonts w:ascii="Titillium Web" w:hAnsi="Titillium Web" w:cs="Arial"/>
          <w:sz w:val="22"/>
          <w:szCs w:val="22"/>
          <w:lang w:val="es-CL"/>
        </w:rPr>
        <w:t>csv</w:t>
      </w:r>
      <w:proofErr w:type="spellEnd"/>
      <w:r>
        <w:rPr>
          <w:rFonts w:ascii="Titillium Web" w:hAnsi="Titillium Web" w:cs="Arial"/>
          <w:sz w:val="22"/>
          <w:szCs w:val="22"/>
          <w:lang w:val="es-CL"/>
        </w:rPr>
        <w:t xml:space="preserve"> y que contenga los nombres de columna: Email, Tag (estructura de etiqueta) y TTL (vigencia) como muestra el ejemplo:</w:t>
      </w:r>
    </w:p>
    <w:p w14:paraId="33DDEC9F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63CB51B2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i/>
          <w:noProof/>
          <w:sz w:val="22"/>
          <w:szCs w:val="22"/>
          <w:lang w:val="en-US" w:eastAsia="en-US"/>
        </w:rPr>
        <w:drawing>
          <wp:inline distT="0" distB="0" distL="0" distR="0" wp14:anchorId="7CB1D22E" wp14:editId="4CD935BB">
            <wp:extent cx="4297045" cy="1226185"/>
            <wp:effectExtent l="0" t="0" r="825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4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A13E0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3FA935AB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sz w:val="22"/>
          <w:szCs w:val="22"/>
          <w:lang w:val="es-CL"/>
        </w:rPr>
        <w:t>(Puede agregar casillas de correo adicionales si lo desea)</w:t>
      </w:r>
    </w:p>
    <w:p w14:paraId="597CAAED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1EB61CB8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sz w:val="22"/>
          <w:szCs w:val="22"/>
          <w:lang w:val="es-CL"/>
        </w:rPr>
        <w:t>Luego al ingresar en el módulo debe ir paso a paso, seleccionando el archivo, validando los registros y finamente procesando los mismos, un proceso similar al que se emplea para la carga masiva de contactos en la base de MasterBase®.</w:t>
      </w:r>
    </w:p>
    <w:p w14:paraId="4B78716C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66A40703" w14:textId="77777777" w:rsidR="00ED6EC6" w:rsidRDefault="00ED6EC6" w:rsidP="00ED6EC6">
      <w:pPr>
        <w:pStyle w:val="Prrafodelista"/>
        <w:numPr>
          <w:ilvl w:val="0"/>
          <w:numId w:val="2"/>
        </w:num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sz w:val="22"/>
          <w:szCs w:val="22"/>
          <w:lang w:val="es-CL"/>
        </w:rPr>
        <w:t>Seleccionar la lista base y el archivo a cargar, en donde puede indicar que cree a los contactos si estos no existen en la base:</w:t>
      </w:r>
    </w:p>
    <w:p w14:paraId="3DADE292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52D9C4C5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43EF2D10" wp14:editId="49A08864">
            <wp:extent cx="5396230" cy="2722245"/>
            <wp:effectExtent l="0" t="0" r="0" b="190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E8938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50C2E00A" w14:textId="77777777" w:rsidR="00ED6EC6" w:rsidRDefault="00ED6EC6" w:rsidP="00ED6EC6">
      <w:pPr>
        <w:pStyle w:val="Prrafodelista"/>
        <w:numPr>
          <w:ilvl w:val="0"/>
          <w:numId w:val="2"/>
        </w:num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sz w:val="22"/>
          <w:szCs w:val="22"/>
          <w:lang w:val="es-CL"/>
        </w:rPr>
        <w:t>Luego se muestra una muestra de la base a cargar y se muestra la asociación de campos entre el archivo y el sistema (si existe alguna discrepancia con el nombre de uno o más campos estos se pueden asociar manualmente)</w:t>
      </w:r>
    </w:p>
    <w:p w14:paraId="5F19D066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noProof/>
          <w:sz w:val="22"/>
          <w:szCs w:val="22"/>
          <w:lang w:val="en-US" w:eastAsia="en-US"/>
        </w:rPr>
        <w:drawing>
          <wp:inline distT="0" distB="0" distL="0" distR="0" wp14:anchorId="2E9D4C68" wp14:editId="6388F0B8">
            <wp:extent cx="5391150" cy="3747770"/>
            <wp:effectExtent l="0" t="0" r="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C10D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0D67146D" w14:textId="77777777" w:rsidR="00ED6EC6" w:rsidRDefault="00ED6EC6" w:rsidP="00ED6EC6">
      <w:pPr>
        <w:pStyle w:val="Prrafodelista"/>
        <w:numPr>
          <w:ilvl w:val="0"/>
          <w:numId w:val="2"/>
        </w:num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sz w:val="22"/>
          <w:szCs w:val="22"/>
          <w:lang w:val="es-CL"/>
        </w:rPr>
        <w:t xml:space="preserve">Finalmente se procede a validar a los registros correspondientes, identificando si existe algún registro invalido (no tiene estructura de casilla de correos) y se procesa la carga de </w:t>
      </w:r>
      <w:r>
        <w:rPr>
          <w:rFonts w:ascii="Titillium Web" w:hAnsi="Titillium Web" w:cs="Arial"/>
          <w:sz w:val="22"/>
          <w:szCs w:val="22"/>
          <w:lang w:val="es-CL"/>
        </w:rPr>
        <w:lastRenderedPageBreak/>
        <w:t>etiquetas indicando cuantas etiquetas fueron creadas (toda esta información se puede descargar en formato XML):</w:t>
      </w:r>
    </w:p>
    <w:p w14:paraId="46874116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4DD8B844" w14:textId="77777777" w:rsidR="00ED6EC6" w:rsidRPr="0085292F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noProof/>
          <w:sz w:val="22"/>
          <w:szCs w:val="22"/>
          <w:lang w:val="en-US" w:eastAsia="en-US"/>
        </w:rPr>
        <w:drawing>
          <wp:inline distT="0" distB="0" distL="0" distR="0" wp14:anchorId="1787B2DD" wp14:editId="4BE590F7">
            <wp:extent cx="5420995" cy="3200400"/>
            <wp:effectExtent l="0" t="0" r="825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1E94A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45FF7487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sz w:val="22"/>
          <w:szCs w:val="22"/>
          <w:lang w:val="es-CL"/>
        </w:rPr>
        <w:t>Una vez que se procesa la carga de etiquetas de manera exitosa se puede validar la creación de estas etiquetas desde la lista de etiquetas de contacto:</w:t>
      </w:r>
    </w:p>
    <w:p w14:paraId="7426452B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7B387290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noProof/>
          <w:sz w:val="22"/>
          <w:szCs w:val="22"/>
          <w:lang w:val="en-US" w:eastAsia="en-US"/>
        </w:rPr>
        <w:drawing>
          <wp:inline distT="0" distB="0" distL="0" distR="0" wp14:anchorId="40F734EA" wp14:editId="66B5BF09">
            <wp:extent cx="5391150" cy="1807845"/>
            <wp:effectExtent l="0" t="0" r="0" b="190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FE68A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0E8C0916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sz w:val="22"/>
          <w:szCs w:val="22"/>
          <w:lang w:val="es-CL"/>
        </w:rPr>
        <w:t>En la opción de “Acciones” podrá ver los contactos asociados a esa etiqueta y exportarlos, ver detalle de la etiqueta generada y expirar a los contactos asociados a esa etiqueta.</w:t>
      </w:r>
    </w:p>
    <w:p w14:paraId="2D455960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58827D2F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656EA7CA" wp14:editId="6127E352">
            <wp:extent cx="5420995" cy="2808605"/>
            <wp:effectExtent l="0" t="0" r="825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94E97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68F0DBC7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bookmarkStart w:id="0" w:name="_GoBack"/>
      <w:bookmarkEnd w:id="0"/>
      <w:r>
        <w:rPr>
          <w:rFonts w:ascii="Titillium Web" w:hAnsi="Titillium Web" w:cs="Arial"/>
          <w:noProof/>
          <w:sz w:val="22"/>
          <w:szCs w:val="22"/>
          <w:lang w:val="en-US" w:eastAsia="en-US"/>
        </w:rPr>
        <w:drawing>
          <wp:inline distT="0" distB="0" distL="0" distR="0" wp14:anchorId="31439595" wp14:editId="08CE4B4D">
            <wp:extent cx="5396230" cy="305498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C5AE6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6FA82230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2034765D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sz w:val="22"/>
          <w:szCs w:val="22"/>
          <w:lang w:val="es-CL"/>
        </w:rPr>
        <w:t>Una vez que se validan los candidatos correspondientes, se debe asociar esta etiqueta de búsqueda en el contenido previamente creado, para lo cual se debe ir a modificar el contenido que estaba en estado “Borrador”:</w:t>
      </w:r>
    </w:p>
    <w:p w14:paraId="17AD890E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776FAB8F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  <w:r>
        <w:rPr>
          <w:rFonts w:ascii="Titillium Web" w:hAnsi="Titillium Web" w:cs="Arial"/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6D2B781A" wp14:editId="37AB60F3">
            <wp:extent cx="5391150" cy="3974465"/>
            <wp:effectExtent l="0" t="0" r="0" b="698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861D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5EC6AF12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073729A6" w14:textId="77777777" w:rsidR="00ED6EC6" w:rsidRDefault="00ED6EC6" w:rsidP="00ED6EC6">
      <w:pPr>
        <w:jc w:val="both"/>
        <w:rPr>
          <w:rFonts w:ascii="Titillium Web" w:hAnsi="Titillium Web" w:cs="Arial"/>
          <w:sz w:val="22"/>
          <w:szCs w:val="22"/>
          <w:lang w:val="es-CL"/>
        </w:rPr>
      </w:pPr>
    </w:p>
    <w:p w14:paraId="6A456C31" w14:textId="77777777" w:rsidR="00ED6EC6" w:rsidRPr="00982BBD" w:rsidRDefault="00ED6EC6" w:rsidP="00ED6EC6">
      <w:pPr>
        <w:jc w:val="both"/>
        <w:rPr>
          <w:rFonts w:ascii="Titillium Web" w:hAnsi="Titillium Web" w:cs="Arial"/>
          <w:szCs w:val="22"/>
          <w:lang w:val="es-CL"/>
        </w:rPr>
      </w:pPr>
      <w:r w:rsidRPr="00982BBD">
        <w:rPr>
          <w:rFonts w:ascii="Titillium Web" w:hAnsi="Titillium Web" w:cs="Arial"/>
          <w:szCs w:val="22"/>
          <w:lang w:val="es-CL"/>
        </w:rPr>
        <w:t>Una vez asociado la etiqueta de contacto con el contenido, se puede cambiar el estado de este último a “Aprobado” y esperar que corra el ciclo de procesamiento de envío conductual.</w:t>
      </w:r>
    </w:p>
    <w:p w14:paraId="0454780F" w14:textId="77777777" w:rsidR="00ED6EC6" w:rsidRPr="00982BBD" w:rsidRDefault="00ED6EC6" w:rsidP="00ED6EC6">
      <w:pPr>
        <w:jc w:val="both"/>
        <w:rPr>
          <w:rFonts w:ascii="Titillium Web" w:hAnsi="Titillium Web" w:cs="Arial"/>
          <w:szCs w:val="22"/>
          <w:lang w:val="es-CL"/>
        </w:rPr>
      </w:pPr>
    </w:p>
    <w:p w14:paraId="378E8C46" w14:textId="77777777" w:rsidR="00ED6EC6" w:rsidRPr="00982BBD" w:rsidRDefault="00ED6EC6" w:rsidP="00ED6EC6">
      <w:pPr>
        <w:jc w:val="both"/>
        <w:rPr>
          <w:rFonts w:ascii="Titillium Web" w:hAnsi="Titillium Web" w:cs="Arial"/>
          <w:szCs w:val="22"/>
          <w:lang w:val="es-CL"/>
        </w:rPr>
      </w:pPr>
      <w:r w:rsidRPr="00982BBD">
        <w:rPr>
          <w:rFonts w:ascii="Titillium Web" w:hAnsi="Titillium Web" w:cs="Arial"/>
          <w:noProof/>
          <w:szCs w:val="22"/>
          <w:lang w:val="en-US" w:eastAsia="en-US"/>
        </w:rPr>
        <w:drawing>
          <wp:inline distT="0" distB="0" distL="0" distR="0" wp14:anchorId="44B32C82" wp14:editId="28BF5616">
            <wp:extent cx="5391150" cy="1707515"/>
            <wp:effectExtent l="0" t="0" r="0" b="698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83570" w14:textId="77777777" w:rsidR="00ED6EC6" w:rsidRPr="00982BBD" w:rsidRDefault="00ED6EC6" w:rsidP="00ED6EC6">
      <w:pPr>
        <w:jc w:val="both"/>
        <w:rPr>
          <w:rFonts w:ascii="Titillium Web" w:hAnsi="Titillium Web" w:cs="Arial"/>
          <w:i/>
          <w:szCs w:val="22"/>
          <w:lang w:val="es-CL"/>
        </w:rPr>
      </w:pPr>
    </w:p>
    <w:p w14:paraId="3A170BFD" w14:textId="77777777" w:rsidR="00ED6EC6" w:rsidRPr="00982BBD" w:rsidRDefault="00ED6EC6" w:rsidP="00ED6EC6">
      <w:pPr>
        <w:jc w:val="both"/>
        <w:rPr>
          <w:rFonts w:ascii="Titillium Web" w:hAnsi="Titillium Web" w:cs="Arial"/>
          <w:szCs w:val="22"/>
          <w:lang w:val="es-CL"/>
        </w:rPr>
      </w:pPr>
      <w:r w:rsidRPr="00982BBD">
        <w:rPr>
          <w:rFonts w:ascii="Titillium Web" w:hAnsi="Titillium Web" w:cs="Arial"/>
          <w:szCs w:val="22"/>
          <w:lang w:val="es-CL"/>
        </w:rPr>
        <w:t>Luego de algunos segundos después de confirmar la aprobación del contenido, se podrán consultar sobre los candidatos asociados a ese contenido:</w:t>
      </w:r>
    </w:p>
    <w:p w14:paraId="2133BDF5" w14:textId="77777777" w:rsidR="00ED6EC6" w:rsidRPr="00982BBD" w:rsidRDefault="00ED6EC6" w:rsidP="00ED6EC6">
      <w:pPr>
        <w:jc w:val="both"/>
        <w:rPr>
          <w:rFonts w:ascii="Titillium Web" w:hAnsi="Titillium Web" w:cs="Arial"/>
          <w:szCs w:val="22"/>
          <w:lang w:val="es-CL"/>
        </w:rPr>
      </w:pPr>
    </w:p>
    <w:p w14:paraId="590B19B3" w14:textId="77777777" w:rsidR="00ED6EC6" w:rsidRPr="00982BBD" w:rsidRDefault="00ED6EC6" w:rsidP="00ED6EC6">
      <w:pPr>
        <w:jc w:val="both"/>
        <w:rPr>
          <w:rFonts w:ascii="Titillium Web" w:hAnsi="Titillium Web" w:cs="Arial"/>
          <w:i/>
          <w:szCs w:val="22"/>
          <w:lang w:val="es-CL"/>
        </w:rPr>
      </w:pPr>
      <w:r w:rsidRPr="00982BBD">
        <w:rPr>
          <w:rFonts w:ascii="Titillium Web" w:hAnsi="Titillium Web" w:cs="Arial"/>
          <w:i/>
          <w:noProof/>
          <w:szCs w:val="22"/>
          <w:lang w:val="en-US" w:eastAsia="en-US"/>
        </w:rPr>
        <w:lastRenderedPageBreak/>
        <w:drawing>
          <wp:inline distT="0" distB="0" distL="0" distR="0" wp14:anchorId="4F56622F" wp14:editId="400176E5">
            <wp:extent cx="5396230" cy="3694430"/>
            <wp:effectExtent l="0" t="0" r="0" b="127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5BCA0" w14:textId="77777777" w:rsidR="00ED6EC6" w:rsidRPr="00982BBD" w:rsidRDefault="00ED6EC6" w:rsidP="00ED6EC6">
      <w:pPr>
        <w:jc w:val="both"/>
        <w:rPr>
          <w:rFonts w:ascii="Titillium Web" w:hAnsi="Titillium Web" w:cs="Arial"/>
          <w:i/>
          <w:szCs w:val="22"/>
          <w:lang w:val="es-CL"/>
        </w:rPr>
      </w:pPr>
    </w:p>
    <w:p w14:paraId="1D81FC60" w14:textId="77777777" w:rsidR="00ED6EC6" w:rsidRPr="00982BBD" w:rsidRDefault="00ED6EC6" w:rsidP="00ED6EC6">
      <w:pPr>
        <w:jc w:val="both"/>
        <w:rPr>
          <w:rFonts w:ascii="Titillium Web" w:hAnsi="Titillium Web" w:cs="Arial"/>
          <w:szCs w:val="22"/>
          <w:lang w:val="es-CL"/>
        </w:rPr>
      </w:pPr>
      <w:r w:rsidRPr="00982BBD">
        <w:rPr>
          <w:rFonts w:ascii="Titillium Web" w:hAnsi="Titillium Web" w:cs="Arial"/>
          <w:szCs w:val="22"/>
          <w:lang w:val="es-CL"/>
        </w:rPr>
        <w:t>Luego de algunos minutos (15 aproximadamente en condiciones normales) se comienzan a enviar los mensajes conductuales, los cuales pueden ser consultados también a través del contenido:</w:t>
      </w:r>
    </w:p>
    <w:p w14:paraId="1EBBB5D6" w14:textId="77777777" w:rsidR="00A704EA" w:rsidRPr="00ED6EC6" w:rsidRDefault="00A704EA">
      <w:pPr>
        <w:rPr>
          <w:lang w:val="es-CL"/>
        </w:rPr>
      </w:pPr>
    </w:p>
    <w:sectPr w:rsidR="00A704EA" w:rsidRPr="00ED6E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tillium Web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B50A3"/>
    <w:multiLevelType w:val="hybridMultilevel"/>
    <w:tmpl w:val="0D7A7AF4"/>
    <w:lvl w:ilvl="0" w:tplc="ED52FC8C">
      <w:start w:val="3"/>
      <w:numFmt w:val="bullet"/>
      <w:lvlText w:val="-"/>
      <w:lvlJc w:val="left"/>
      <w:pPr>
        <w:ind w:left="720" w:hanging="360"/>
      </w:pPr>
      <w:rPr>
        <w:rFonts w:ascii="Titillium Web" w:eastAsiaTheme="minorEastAsia" w:hAnsi="Titillium Web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1FF6"/>
    <w:multiLevelType w:val="hybridMultilevel"/>
    <w:tmpl w:val="C5EED0A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C6"/>
    <w:rsid w:val="004018FC"/>
    <w:rsid w:val="00A704EA"/>
    <w:rsid w:val="00E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B24C"/>
  <w15:chartTrackingRefBased/>
  <w15:docId w15:val="{F672DC83-2F4F-4763-85ED-04A3BE80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EC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Barahona A</dc:creator>
  <cp:keywords/>
  <dc:description/>
  <cp:lastModifiedBy>Alvaro Barahona A</cp:lastModifiedBy>
  <cp:revision>2</cp:revision>
  <dcterms:created xsi:type="dcterms:W3CDTF">2018-05-31T21:03:00Z</dcterms:created>
  <dcterms:modified xsi:type="dcterms:W3CDTF">2018-05-31T21:04:00Z</dcterms:modified>
</cp:coreProperties>
</file>